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0BB3" w:rsidRPr="00FE5193" w:rsidRDefault="001C51DE" w:rsidP="00DE73CF">
      <w:pPr>
        <w:shd w:val="clear" w:color="auto" w:fill="FFFFFF"/>
        <w:jc w:val="center"/>
        <w:rPr>
          <w:rFonts w:ascii="Times New Roman" w:hAnsi="Times New Roman"/>
          <w:b/>
          <w:color w:val="000000"/>
          <w:sz w:val="24"/>
          <w:szCs w:val="24"/>
        </w:rPr>
      </w:pPr>
      <w:r w:rsidRPr="00FE5193">
        <w:rPr>
          <w:rFonts w:ascii="Times New Roman" w:hAnsi="Times New Roman"/>
          <w:b/>
          <w:color w:val="000000"/>
          <w:sz w:val="24"/>
          <w:szCs w:val="24"/>
        </w:rPr>
        <w:t xml:space="preserve">LIETUVOS RESPUBLIKOS </w:t>
      </w:r>
      <w:r w:rsidR="00DE73CF">
        <w:rPr>
          <w:rFonts w:ascii="Times New Roman" w:hAnsi="Times New Roman"/>
          <w:b/>
          <w:color w:val="000000"/>
          <w:sz w:val="24"/>
          <w:szCs w:val="24"/>
        </w:rPr>
        <w:t xml:space="preserve">PINIGŲ </w:t>
      </w:r>
      <w:r w:rsidR="00DE73CF" w:rsidRPr="000F66C6">
        <w:rPr>
          <w:rFonts w:ascii="Times New Roman" w:hAnsi="Times New Roman"/>
          <w:b/>
          <w:color w:val="000000"/>
          <w:sz w:val="24"/>
          <w:szCs w:val="24"/>
        </w:rPr>
        <w:t>PLOVIMO IR TERORISTŲ FINANSAVIMO PREVENCIJOS ĮSTATYMO</w:t>
      </w:r>
      <w:r w:rsidRPr="000F66C6">
        <w:rPr>
          <w:rFonts w:ascii="Times New Roman" w:hAnsi="Times New Roman"/>
          <w:b/>
          <w:color w:val="000000"/>
          <w:sz w:val="24"/>
          <w:szCs w:val="24"/>
        </w:rPr>
        <w:t xml:space="preserve"> </w:t>
      </w:r>
      <w:r w:rsidR="00AA73E7" w:rsidRPr="000F66C6">
        <w:rPr>
          <w:rFonts w:ascii="Times New Roman" w:hAnsi="Times New Roman"/>
          <w:b/>
          <w:color w:val="000000"/>
          <w:sz w:val="24"/>
          <w:szCs w:val="24"/>
        </w:rPr>
        <w:t xml:space="preserve">Nr. VIII-275 </w:t>
      </w:r>
      <w:r w:rsidR="000F66C6" w:rsidRPr="000F66C6">
        <w:rPr>
          <w:rFonts w:ascii="Times New Roman" w:hAnsi="Times New Roman"/>
          <w:b/>
          <w:bCs/>
          <w:caps/>
          <w:sz w:val="24"/>
          <w:szCs w:val="24"/>
          <w:lang w:eastAsia="lt-LT"/>
        </w:rPr>
        <w:t xml:space="preserve">2, 3, 4, 5, 7, 8, 9, 10, 11, 12, 13, 14, 15, 17, 21, 22, 24, 25, 26, 27, 28, 29, 39, 40, 48, 49 ir 51 straipsniŲ IR PRIEDO PAKEITIMO IR Įstatymo papildymo </w:t>
      </w:r>
      <w:r w:rsidR="000F66C6" w:rsidRPr="000F66C6">
        <w:rPr>
          <w:rFonts w:ascii="Times New Roman" w:hAnsi="Times New Roman"/>
          <w:b/>
          <w:bCs/>
          <w:color w:val="000000"/>
          <w:sz w:val="24"/>
          <w:szCs w:val="24"/>
        </w:rPr>
        <w:t>7</w:t>
      </w:r>
      <w:r w:rsidR="000F66C6" w:rsidRPr="000F66C6">
        <w:rPr>
          <w:rFonts w:ascii="Times New Roman" w:hAnsi="Times New Roman"/>
          <w:b/>
          <w:bCs/>
          <w:color w:val="000000"/>
          <w:sz w:val="24"/>
          <w:szCs w:val="24"/>
          <w:vertAlign w:val="superscript"/>
        </w:rPr>
        <w:t>1</w:t>
      </w:r>
      <w:r w:rsidR="000F66C6" w:rsidRPr="000F66C6">
        <w:rPr>
          <w:rFonts w:ascii="Times New Roman" w:hAnsi="Times New Roman"/>
          <w:b/>
          <w:bCs/>
          <w:color w:val="000000"/>
          <w:sz w:val="24"/>
          <w:szCs w:val="24"/>
        </w:rPr>
        <w:t>, 14</w:t>
      </w:r>
      <w:r w:rsidR="000F66C6" w:rsidRPr="000F66C6">
        <w:rPr>
          <w:rFonts w:ascii="Times New Roman" w:hAnsi="Times New Roman"/>
          <w:b/>
          <w:bCs/>
          <w:color w:val="000000"/>
          <w:sz w:val="24"/>
          <w:szCs w:val="24"/>
          <w:vertAlign w:val="superscript"/>
        </w:rPr>
        <w:t xml:space="preserve">1 </w:t>
      </w:r>
      <w:r w:rsidR="000F66C6" w:rsidRPr="000F66C6">
        <w:rPr>
          <w:rFonts w:ascii="Times New Roman" w:hAnsi="Times New Roman"/>
          <w:b/>
          <w:bCs/>
          <w:color w:val="000000"/>
          <w:sz w:val="24"/>
          <w:szCs w:val="24"/>
        </w:rPr>
        <w:t>IR 25</w:t>
      </w:r>
      <w:r w:rsidR="000F66C6" w:rsidRPr="000F66C6">
        <w:rPr>
          <w:rFonts w:ascii="Times New Roman" w:hAnsi="Times New Roman"/>
          <w:b/>
          <w:bCs/>
          <w:color w:val="000000"/>
          <w:sz w:val="24"/>
          <w:szCs w:val="24"/>
          <w:vertAlign w:val="superscript"/>
        </w:rPr>
        <w:t xml:space="preserve">1 </w:t>
      </w:r>
      <w:r w:rsidR="000F66C6" w:rsidRPr="000F66C6">
        <w:rPr>
          <w:rFonts w:ascii="Times New Roman" w:hAnsi="Times New Roman"/>
          <w:b/>
          <w:bCs/>
          <w:color w:val="000000"/>
          <w:sz w:val="24"/>
          <w:szCs w:val="24"/>
        </w:rPr>
        <w:t>STRAIPSNIAIS</w:t>
      </w:r>
      <w:r w:rsidR="000F66C6" w:rsidRPr="000F66C6">
        <w:rPr>
          <w:rFonts w:ascii="Times New Roman" w:hAnsi="Times New Roman"/>
          <w:b/>
          <w:color w:val="000000"/>
          <w:sz w:val="24"/>
          <w:szCs w:val="24"/>
        </w:rPr>
        <w:t xml:space="preserve"> </w:t>
      </w:r>
      <w:r w:rsidR="00AA73E7">
        <w:rPr>
          <w:rFonts w:ascii="Times New Roman" w:hAnsi="Times New Roman"/>
          <w:b/>
          <w:color w:val="000000"/>
          <w:sz w:val="24"/>
          <w:szCs w:val="24"/>
        </w:rPr>
        <w:t xml:space="preserve">ĮSTATYMO </w:t>
      </w:r>
      <w:r w:rsidRPr="00FE5193">
        <w:rPr>
          <w:rFonts w:ascii="Times New Roman" w:hAnsi="Times New Roman"/>
          <w:b/>
          <w:color w:val="000000"/>
          <w:sz w:val="24"/>
          <w:szCs w:val="24"/>
        </w:rPr>
        <w:t>PROJEKTO</w:t>
      </w:r>
    </w:p>
    <w:p w:rsidR="00DE73CF" w:rsidRPr="00FE5193" w:rsidRDefault="00DE73CF" w:rsidP="00DE73CF">
      <w:pPr>
        <w:shd w:val="clear" w:color="auto" w:fill="FFFFFF"/>
        <w:jc w:val="center"/>
        <w:rPr>
          <w:rFonts w:ascii="Times New Roman" w:hAnsi="Times New Roman"/>
          <w:b/>
          <w:color w:val="000000"/>
          <w:sz w:val="24"/>
          <w:szCs w:val="24"/>
        </w:rPr>
      </w:pPr>
      <w:r w:rsidRPr="00FE5193">
        <w:rPr>
          <w:rFonts w:ascii="Times New Roman" w:hAnsi="Times New Roman"/>
          <w:b/>
          <w:color w:val="000000"/>
          <w:sz w:val="24"/>
          <w:szCs w:val="24"/>
        </w:rPr>
        <w:t>DERINIMO PAŽYMA</w:t>
      </w:r>
    </w:p>
    <w:p w:rsidR="001C51DE" w:rsidRPr="00FE5193" w:rsidRDefault="001C51DE" w:rsidP="009C4F87">
      <w:pPr>
        <w:jc w:val="center"/>
        <w:rPr>
          <w:rFonts w:ascii="Times New Roman" w:hAnsi="Times New Roman"/>
          <w:b/>
          <w:sz w:val="22"/>
          <w:szCs w:val="22"/>
        </w:rPr>
      </w:pPr>
    </w:p>
    <w:tbl>
      <w:tblPr>
        <w:tblStyle w:val="Lentelstinklelis"/>
        <w:tblW w:w="14850" w:type="dxa"/>
        <w:tblLayout w:type="fixed"/>
        <w:tblLook w:val="04A0" w:firstRow="1" w:lastRow="0" w:firstColumn="1" w:lastColumn="0" w:noHBand="0" w:noVBand="1"/>
      </w:tblPr>
      <w:tblGrid>
        <w:gridCol w:w="534"/>
        <w:gridCol w:w="1559"/>
        <w:gridCol w:w="6379"/>
        <w:gridCol w:w="6378"/>
      </w:tblGrid>
      <w:tr w:rsidR="0009692B" w:rsidRPr="00126CEB" w:rsidTr="00AA506B">
        <w:tc>
          <w:tcPr>
            <w:tcW w:w="534" w:type="dxa"/>
          </w:tcPr>
          <w:p w:rsidR="0009692B" w:rsidRPr="00DC72D7" w:rsidRDefault="0009692B" w:rsidP="00DE73CF">
            <w:pPr>
              <w:jc w:val="center"/>
              <w:rPr>
                <w:rFonts w:ascii="Times New Roman" w:hAnsi="Times New Roman"/>
                <w:bCs/>
                <w:sz w:val="22"/>
                <w:szCs w:val="22"/>
              </w:rPr>
            </w:pPr>
          </w:p>
        </w:tc>
        <w:tc>
          <w:tcPr>
            <w:tcW w:w="1559" w:type="dxa"/>
          </w:tcPr>
          <w:p w:rsidR="0009692B" w:rsidRPr="00DC72D7" w:rsidRDefault="0009692B" w:rsidP="00DE73CF">
            <w:pPr>
              <w:jc w:val="center"/>
              <w:rPr>
                <w:rFonts w:ascii="Times New Roman" w:hAnsi="Times New Roman"/>
                <w:sz w:val="22"/>
                <w:szCs w:val="22"/>
              </w:rPr>
            </w:pPr>
            <w:r w:rsidRPr="00DC72D7">
              <w:rPr>
                <w:rFonts w:ascii="Times New Roman" w:hAnsi="Times New Roman"/>
                <w:b/>
                <w:bCs/>
                <w:sz w:val="22"/>
                <w:szCs w:val="22"/>
              </w:rPr>
              <w:t>Institucijos pavadinimas, rašto data, numeris</w:t>
            </w:r>
          </w:p>
        </w:tc>
        <w:tc>
          <w:tcPr>
            <w:tcW w:w="6379" w:type="dxa"/>
          </w:tcPr>
          <w:p w:rsidR="0009692B" w:rsidRPr="00DC72D7" w:rsidRDefault="0009692B" w:rsidP="00DE73CF">
            <w:pPr>
              <w:shd w:val="clear" w:color="auto" w:fill="FFFFFF"/>
              <w:jc w:val="center"/>
              <w:rPr>
                <w:rFonts w:ascii="Times New Roman" w:hAnsi="Times New Roman"/>
                <w:b/>
                <w:color w:val="000000"/>
                <w:sz w:val="22"/>
                <w:szCs w:val="22"/>
              </w:rPr>
            </w:pPr>
            <w:r w:rsidRPr="00DC72D7">
              <w:rPr>
                <w:rFonts w:ascii="Times New Roman" w:hAnsi="Times New Roman"/>
                <w:b/>
                <w:sz w:val="22"/>
                <w:szCs w:val="22"/>
              </w:rPr>
              <w:t>Pastabos ir pasiūlymai</w:t>
            </w:r>
          </w:p>
        </w:tc>
        <w:tc>
          <w:tcPr>
            <w:tcW w:w="6378" w:type="dxa"/>
          </w:tcPr>
          <w:p w:rsidR="0009692B" w:rsidRPr="00DC72D7" w:rsidRDefault="0009692B" w:rsidP="0009692B">
            <w:pPr>
              <w:ind w:right="1851"/>
              <w:jc w:val="center"/>
              <w:rPr>
                <w:rFonts w:ascii="Times New Roman" w:hAnsi="Times New Roman"/>
                <w:sz w:val="22"/>
                <w:szCs w:val="22"/>
              </w:rPr>
            </w:pPr>
            <w:r w:rsidRPr="00DC72D7">
              <w:rPr>
                <w:rFonts w:ascii="Times New Roman" w:hAnsi="Times New Roman"/>
                <w:b/>
                <w:bCs/>
                <w:sz w:val="22"/>
                <w:szCs w:val="22"/>
              </w:rPr>
              <w:t>Žyma apie iš dalies priimtas ir nepriimtas (nurodant motyvus) pastabas ir pasiūlymus</w:t>
            </w:r>
          </w:p>
        </w:tc>
      </w:tr>
      <w:tr w:rsidR="00DC72D7" w:rsidRPr="00126CEB" w:rsidTr="00AA506B">
        <w:tc>
          <w:tcPr>
            <w:tcW w:w="534" w:type="dxa"/>
          </w:tcPr>
          <w:p w:rsidR="00DC72D7" w:rsidRPr="00DC72D7" w:rsidRDefault="00DC72D7" w:rsidP="00380164">
            <w:pPr>
              <w:jc w:val="both"/>
              <w:rPr>
                <w:rFonts w:ascii="Times New Roman" w:hAnsi="Times New Roman"/>
                <w:spacing w:val="-2"/>
                <w:sz w:val="22"/>
                <w:szCs w:val="22"/>
              </w:rPr>
            </w:pPr>
            <w:r w:rsidRPr="00DC72D7">
              <w:rPr>
                <w:rFonts w:ascii="Times New Roman" w:hAnsi="Times New Roman"/>
                <w:spacing w:val="-2"/>
                <w:sz w:val="22"/>
                <w:szCs w:val="22"/>
              </w:rPr>
              <w:t>1.</w:t>
            </w:r>
          </w:p>
        </w:tc>
        <w:tc>
          <w:tcPr>
            <w:tcW w:w="1559" w:type="dxa"/>
            <w:shd w:val="clear" w:color="auto" w:fill="auto"/>
          </w:tcPr>
          <w:p w:rsidR="00DC72D7" w:rsidRPr="00DC72D7" w:rsidRDefault="00DC72D7" w:rsidP="00952CBE">
            <w:pPr>
              <w:rPr>
                <w:rFonts w:ascii="Times New Roman" w:hAnsi="Times New Roman"/>
                <w:sz w:val="22"/>
                <w:szCs w:val="22"/>
              </w:rPr>
            </w:pPr>
            <w:r w:rsidRPr="00DC72D7">
              <w:rPr>
                <w:rFonts w:ascii="Times New Roman" w:hAnsi="Times New Roman"/>
                <w:sz w:val="22"/>
                <w:szCs w:val="22"/>
              </w:rPr>
              <w:t>Lietuvos Respublikos teisingumo ministerija</w:t>
            </w:r>
          </w:p>
          <w:p w:rsidR="00DC72D7" w:rsidRPr="00DC72D7" w:rsidRDefault="00DC72D7" w:rsidP="00952CBE">
            <w:pPr>
              <w:rPr>
                <w:rFonts w:ascii="Times New Roman" w:hAnsi="Times New Roman"/>
                <w:sz w:val="22"/>
                <w:szCs w:val="22"/>
              </w:rPr>
            </w:pPr>
            <w:r w:rsidRPr="00DC72D7">
              <w:rPr>
                <w:rFonts w:ascii="Times New Roman" w:hAnsi="Times New Roman"/>
                <w:sz w:val="22"/>
                <w:szCs w:val="22"/>
              </w:rPr>
              <w:t>2019-01-25</w:t>
            </w:r>
          </w:p>
          <w:p w:rsidR="00DC72D7" w:rsidRPr="00DC72D7" w:rsidRDefault="00DC72D7" w:rsidP="00952CBE">
            <w:pPr>
              <w:rPr>
                <w:rFonts w:ascii="Times New Roman" w:hAnsi="Times New Roman"/>
                <w:spacing w:val="-2"/>
                <w:sz w:val="22"/>
                <w:szCs w:val="22"/>
              </w:rPr>
            </w:pPr>
            <w:r w:rsidRPr="00DC72D7">
              <w:rPr>
                <w:rFonts w:ascii="Times New Roman" w:hAnsi="Times New Roman"/>
                <w:sz w:val="22"/>
                <w:szCs w:val="22"/>
              </w:rPr>
              <w:t>Nr. 18-15329</w:t>
            </w:r>
          </w:p>
        </w:tc>
        <w:tc>
          <w:tcPr>
            <w:tcW w:w="6379" w:type="dxa"/>
            <w:shd w:val="clear" w:color="auto" w:fill="auto"/>
          </w:tcPr>
          <w:p w:rsidR="00DC72D7" w:rsidRPr="00DC72D7" w:rsidRDefault="00DC72D7" w:rsidP="00952CBE">
            <w:pPr>
              <w:shd w:val="clear" w:color="auto" w:fill="FFFFFF"/>
              <w:ind w:left="-69"/>
              <w:jc w:val="both"/>
              <w:rPr>
                <w:rFonts w:ascii="Times New Roman" w:hAnsi="Times New Roman"/>
                <w:spacing w:val="-4"/>
                <w:sz w:val="22"/>
                <w:szCs w:val="22"/>
              </w:rPr>
            </w:pPr>
            <w:r w:rsidRPr="00DC72D7">
              <w:rPr>
                <w:rFonts w:ascii="Times New Roman" w:hAnsi="Times New Roman"/>
                <w:spacing w:val="-4"/>
                <w:sz w:val="22"/>
                <w:szCs w:val="22"/>
              </w:rPr>
              <w:t>3.    Įvertinus Direktyvos 3 str. 9 d. pateiktą pavyzdinį sąrašą, pastebėtina, kad jame nurodomi taip pat ir subjektai, patenkantys į kitų ministrų valdymo sritis (pavyzdžiui, audito rūmų ar centrinių bankų valdybų nariai – finansų ministro, ambasadoriai, aukšto rango ginkluotųjų pajėgų karininkai – užsienio reikalų ir krašto apsaugos ministrų, valstybės valdomų įmonių administracinių, valdymo ir priežiūros organų nariai – ekonomikos ir inovacijų ministro), todėl manome, kad Projekto 6 str. dėstomoje Įstatymo 7</w:t>
            </w:r>
            <w:r w:rsidRPr="00DC72D7">
              <w:rPr>
                <w:rFonts w:ascii="Times New Roman" w:hAnsi="Times New Roman"/>
                <w:spacing w:val="-4"/>
                <w:sz w:val="22"/>
                <w:szCs w:val="22"/>
                <w:vertAlign w:val="superscript"/>
              </w:rPr>
              <w:t>os</w:t>
            </w:r>
            <w:r w:rsidRPr="00DC72D7">
              <w:rPr>
                <w:rFonts w:ascii="Times New Roman" w:hAnsi="Times New Roman"/>
                <w:spacing w:val="-4"/>
                <w:sz w:val="22"/>
                <w:szCs w:val="22"/>
              </w:rPr>
              <w:t xml:space="preserve"> str. 1 d. nurodytų pareigų sąrašą turėtų sudaryti keli ministrai bendru įsakymu (t. y. ne vien teisingumo ministras).</w:t>
            </w:r>
          </w:p>
        </w:tc>
        <w:tc>
          <w:tcPr>
            <w:tcW w:w="6378" w:type="dxa"/>
          </w:tcPr>
          <w:p w:rsidR="00DC72D7" w:rsidRPr="00DC72D7" w:rsidRDefault="00DC72D7" w:rsidP="00952CBE">
            <w:pPr>
              <w:shd w:val="clear" w:color="auto" w:fill="FFFFFF"/>
              <w:jc w:val="both"/>
              <w:rPr>
                <w:rFonts w:ascii="Times New Roman" w:hAnsi="Times New Roman"/>
                <w:b/>
                <w:spacing w:val="-4"/>
                <w:sz w:val="22"/>
                <w:szCs w:val="22"/>
              </w:rPr>
            </w:pPr>
            <w:r w:rsidRPr="00DC72D7">
              <w:rPr>
                <w:rFonts w:ascii="Times New Roman" w:hAnsi="Times New Roman"/>
                <w:b/>
                <w:spacing w:val="-4"/>
                <w:sz w:val="22"/>
                <w:szCs w:val="22"/>
              </w:rPr>
              <w:t>Iš dalies atsižvelgta.</w:t>
            </w:r>
          </w:p>
          <w:p w:rsidR="00DC72D7" w:rsidRPr="00DC72D7" w:rsidRDefault="00DC72D7" w:rsidP="00952CBE">
            <w:pPr>
              <w:shd w:val="clear" w:color="auto" w:fill="FFFFFF"/>
              <w:jc w:val="both"/>
              <w:rPr>
                <w:rFonts w:ascii="Times New Roman" w:hAnsi="Times New Roman"/>
                <w:spacing w:val="-4"/>
                <w:sz w:val="22"/>
                <w:szCs w:val="22"/>
              </w:rPr>
            </w:pPr>
            <w:r w:rsidRPr="00DC72D7">
              <w:rPr>
                <w:rFonts w:ascii="Times New Roman" w:hAnsi="Times New Roman"/>
                <w:spacing w:val="-4"/>
                <w:sz w:val="22"/>
                <w:szCs w:val="22"/>
              </w:rPr>
              <w:t>Manytina, kad kelių ministrų bendro įsakymo ruošimas pareikalautų perteklinių procedūrų. atsižvelgiant į Teisingumo ministerijos argumentus, Įstatymo projekto 7</w:t>
            </w:r>
            <w:r w:rsidRPr="00DC72D7">
              <w:rPr>
                <w:rFonts w:ascii="Times New Roman" w:hAnsi="Times New Roman"/>
                <w:spacing w:val="-4"/>
                <w:sz w:val="22"/>
                <w:szCs w:val="22"/>
                <w:vertAlign w:val="superscript"/>
              </w:rPr>
              <w:t>1</w:t>
            </w:r>
            <w:r w:rsidRPr="00DC72D7">
              <w:rPr>
                <w:rFonts w:ascii="Times New Roman" w:hAnsi="Times New Roman"/>
                <w:spacing w:val="-4"/>
                <w:sz w:val="22"/>
                <w:szCs w:val="22"/>
              </w:rPr>
              <w:t xml:space="preserve"> straipsni papildytas 2 dalimi, numatančia Teisingumo ministerijos teisę gauti iš institucijų informaciją, reikalingą svarbių viešųjų pareigų Lietuvos Respublikoje sąrašui sudaryti ir atnaujinti.</w:t>
            </w:r>
          </w:p>
          <w:p w:rsidR="00DC72D7" w:rsidRPr="00DC72D7" w:rsidRDefault="00DC72D7" w:rsidP="00952CBE">
            <w:pPr>
              <w:shd w:val="clear" w:color="auto" w:fill="FFFFFF"/>
              <w:jc w:val="both"/>
              <w:rPr>
                <w:rFonts w:ascii="Times New Roman" w:hAnsi="Times New Roman"/>
                <w:b/>
                <w:spacing w:val="-4"/>
                <w:sz w:val="22"/>
                <w:szCs w:val="22"/>
              </w:rPr>
            </w:pPr>
          </w:p>
        </w:tc>
      </w:tr>
      <w:tr w:rsidR="00DC72D7" w:rsidRPr="00126CEB" w:rsidTr="00AA506B">
        <w:tc>
          <w:tcPr>
            <w:tcW w:w="534" w:type="dxa"/>
          </w:tcPr>
          <w:p w:rsidR="00DC72D7" w:rsidRPr="00DC72D7" w:rsidRDefault="00DC72D7" w:rsidP="00380164">
            <w:pPr>
              <w:jc w:val="both"/>
              <w:rPr>
                <w:rFonts w:ascii="Times New Roman" w:hAnsi="Times New Roman"/>
                <w:spacing w:val="-2"/>
                <w:sz w:val="22"/>
                <w:szCs w:val="22"/>
              </w:rPr>
            </w:pPr>
            <w:r w:rsidRPr="00DC72D7">
              <w:rPr>
                <w:rFonts w:ascii="Times New Roman" w:hAnsi="Times New Roman"/>
                <w:spacing w:val="-2"/>
                <w:sz w:val="22"/>
                <w:szCs w:val="22"/>
              </w:rPr>
              <w:t>2.</w:t>
            </w:r>
          </w:p>
        </w:tc>
        <w:tc>
          <w:tcPr>
            <w:tcW w:w="1559" w:type="dxa"/>
            <w:shd w:val="clear" w:color="auto" w:fill="auto"/>
          </w:tcPr>
          <w:p w:rsidR="00DC72D7" w:rsidRPr="00DC72D7" w:rsidRDefault="00DC72D7" w:rsidP="001007DF">
            <w:pPr>
              <w:rPr>
                <w:rFonts w:ascii="Times New Roman" w:hAnsi="Times New Roman"/>
                <w:spacing w:val="-2"/>
                <w:sz w:val="22"/>
                <w:szCs w:val="22"/>
              </w:rPr>
            </w:pPr>
          </w:p>
        </w:tc>
        <w:tc>
          <w:tcPr>
            <w:tcW w:w="6379" w:type="dxa"/>
            <w:shd w:val="clear" w:color="auto" w:fill="auto"/>
          </w:tcPr>
          <w:p w:rsidR="00DC72D7" w:rsidRPr="00DC72D7" w:rsidRDefault="00DC72D7" w:rsidP="001C5DE1">
            <w:pPr>
              <w:shd w:val="clear" w:color="auto" w:fill="FFFFFF"/>
              <w:jc w:val="both"/>
              <w:rPr>
                <w:rFonts w:ascii="Times New Roman" w:hAnsi="Times New Roman"/>
                <w:spacing w:val="-4"/>
                <w:sz w:val="22"/>
                <w:szCs w:val="22"/>
              </w:rPr>
            </w:pPr>
            <w:r w:rsidRPr="00DC72D7">
              <w:rPr>
                <w:rFonts w:ascii="Times New Roman" w:hAnsi="Times New Roman"/>
                <w:spacing w:val="-4"/>
                <w:sz w:val="22"/>
                <w:szCs w:val="22"/>
              </w:rPr>
              <w:t>12.    Pažymėtina, kad pagal Lietuvos Respublikos akcinių bendrovių įstatymo 411 str. 5 ir 6 d. ir kitus atskiras juridinių asmenų teisines formas reguliuojančius įstatymus, kuriuose numatyta JADIS kaupti juridinių asmenų dalyvių duomenis, nustatyta, kad JADIS kaupiama informacija turintiems teisę ją gauti fiziniams ir juridiniams asmenims teikiama už atlyginimą, išskyrus atvejus, kai ji: 1) teikiama juridinio asmens dalyviams, kai JADIS tvarkomi duomenys apie juos; 2) perduodama susijusiems registrams, valstybės informacinėms sistemoms; 3) teikiama valstybės ir savivaldybių institucijoms ir įstaigoms teisės aktuose nustatytoms funkcijoms atlikti pagal prašymą ir (arba) sutartis; atlyginimo už informacijos teikimą dydis neturi viršyti JADIS administravimo išlaidų kartu su pagrįsta investicijų grąža. Atkreipiamas dėmesys, kad Direktyvos, kuria įgyvendinamas Įstatymas, 30 str. 5a d. taip pat numatyta, kad galimybei susipažinti su informacija apie tikruosius savininkus taikomos duomenų apsaugos taisyklės ir, vadovaujantis Direktyvos 30 str. 5a d., gali būti taikoma registracija internetu bei mokestis; už informacijos pateikimą renkami mokesčiai neviršija tokiems veiksmams atlikti reikalingų administracinių sąnaudų.</w:t>
            </w:r>
          </w:p>
          <w:p w:rsidR="00DC72D7" w:rsidRPr="00DC72D7" w:rsidRDefault="00DC72D7" w:rsidP="001C5DE1">
            <w:pPr>
              <w:shd w:val="clear" w:color="auto" w:fill="FFFFFF"/>
              <w:jc w:val="both"/>
              <w:rPr>
                <w:rFonts w:ascii="Times New Roman" w:hAnsi="Times New Roman"/>
                <w:spacing w:val="-4"/>
                <w:sz w:val="22"/>
                <w:szCs w:val="22"/>
              </w:rPr>
            </w:pPr>
            <w:r w:rsidRPr="00DC72D7">
              <w:rPr>
                <w:rFonts w:ascii="Times New Roman" w:hAnsi="Times New Roman"/>
                <w:spacing w:val="-4"/>
                <w:sz w:val="22"/>
                <w:szCs w:val="22"/>
              </w:rPr>
              <w:t xml:space="preserve">Įvertinus visa tai, kas išdėstyta, taip pat JADIS naudos gavėjų funkcionalumo kūrimui bei palaikymui tenkančias finansines sąnaudas ir </w:t>
            </w:r>
            <w:r w:rsidRPr="00DC72D7">
              <w:rPr>
                <w:rFonts w:ascii="Times New Roman" w:hAnsi="Times New Roman"/>
                <w:spacing w:val="-4"/>
                <w:sz w:val="22"/>
                <w:szCs w:val="22"/>
              </w:rPr>
              <w:lastRenderedPageBreak/>
              <w:t>tai, kad JADIS tvarkytojui – valstybės įmonei Registrų centrui šioms sąnaudoms padengti valstybės biudžeto lėšų nėra skiriama, bei atsižvelgiant į teisingumo ministro 2018 m. gegužės 7 d. įsakymu Nr. 1R-76 „Dėl duomenų apie juridinių asmenų tikruosius naudos gavėjus teikimo Juridinių asmenų dalyvių informacinės sistemos tvarkytojui darbo grupės sudarymo“ sudarytoje darbo grupėje priimtus susitarimus dėl Įstatymo papildymo nuostatomis dėl JADIS kaupiamos informacijos atlygintinumo, prašome Įstatymo 25 str. papildyti analogiškomis Akcinių bendrovių įstatymo 41</w:t>
            </w:r>
            <w:r w:rsidRPr="00DC72D7">
              <w:rPr>
                <w:rFonts w:ascii="Times New Roman" w:hAnsi="Times New Roman"/>
                <w:spacing w:val="-4"/>
                <w:sz w:val="22"/>
                <w:szCs w:val="22"/>
                <w:vertAlign w:val="superscript"/>
              </w:rPr>
              <w:t>1</w:t>
            </w:r>
            <w:r w:rsidRPr="00DC72D7">
              <w:rPr>
                <w:rFonts w:ascii="Times New Roman" w:hAnsi="Times New Roman"/>
                <w:spacing w:val="-4"/>
                <w:sz w:val="22"/>
                <w:szCs w:val="22"/>
              </w:rPr>
              <w:t xml:space="preserve"> str. 5 ir 6 d. numatytomis nuostatomis dėl JADIS teikiamų duomenų atlygintinumo.</w:t>
            </w:r>
          </w:p>
        </w:tc>
        <w:tc>
          <w:tcPr>
            <w:tcW w:w="6378" w:type="dxa"/>
          </w:tcPr>
          <w:p w:rsidR="00DC72D7" w:rsidRPr="00DC72D7" w:rsidRDefault="00DC72D7" w:rsidP="001C5DE1">
            <w:pPr>
              <w:shd w:val="clear" w:color="auto" w:fill="FFFFFF"/>
              <w:jc w:val="both"/>
              <w:rPr>
                <w:rFonts w:ascii="Times New Roman" w:hAnsi="Times New Roman"/>
                <w:b/>
                <w:spacing w:val="-4"/>
                <w:sz w:val="22"/>
                <w:szCs w:val="22"/>
              </w:rPr>
            </w:pPr>
            <w:r w:rsidRPr="00DC72D7">
              <w:rPr>
                <w:rFonts w:ascii="Times New Roman" w:hAnsi="Times New Roman"/>
                <w:b/>
                <w:spacing w:val="-4"/>
                <w:sz w:val="22"/>
                <w:szCs w:val="22"/>
              </w:rPr>
              <w:lastRenderedPageBreak/>
              <w:t>Neatsižvelgta.</w:t>
            </w:r>
          </w:p>
          <w:p w:rsidR="00DC72D7" w:rsidRPr="00DC72D7" w:rsidRDefault="00DC72D7" w:rsidP="001C5DE1">
            <w:pPr>
              <w:shd w:val="clear" w:color="auto" w:fill="FFFFFF"/>
              <w:jc w:val="both"/>
              <w:rPr>
                <w:rFonts w:ascii="Times New Roman" w:hAnsi="Times New Roman"/>
                <w:spacing w:val="-4"/>
                <w:sz w:val="22"/>
                <w:szCs w:val="22"/>
              </w:rPr>
            </w:pPr>
            <w:r w:rsidRPr="00DC72D7">
              <w:rPr>
                <w:rFonts w:ascii="Times New Roman" w:hAnsi="Times New Roman"/>
                <w:spacing w:val="-4"/>
                <w:sz w:val="22"/>
                <w:szCs w:val="22"/>
              </w:rPr>
              <w:t xml:space="preserve">Vadovaujantis 2018 m. gegužės 30 d. Europos Parlamento ir Tarybos direktyvos (ES) Nr. 2018/843, kuria iš dalies keičiama Direktyvos (ES) 2015/849 dėl finansų sistemos naudojimo pinigų plovimui ar teroristų finansavimui prevencijos ir iš dalies keičiamos direktyvos 2009/138/EB ir 2013/36/ES (toliau – Direktyva </w:t>
            </w:r>
            <w:r w:rsidRPr="00DC72D7">
              <w:rPr>
                <w:rFonts w:ascii="Times New Roman" w:hAnsi="Times New Roman"/>
                <w:sz w:val="22"/>
                <w:szCs w:val="22"/>
              </w:rPr>
              <w:t>2018/843</w:t>
            </w:r>
            <w:r w:rsidRPr="00DC72D7">
              <w:rPr>
                <w:rFonts w:ascii="Times New Roman" w:hAnsi="Times New Roman"/>
                <w:spacing w:val="-4"/>
                <w:sz w:val="22"/>
                <w:szCs w:val="22"/>
              </w:rPr>
              <w:t>) 9 punktu keičiamo 14 straipsnio 1 dalies nuostata, u</w:t>
            </w:r>
            <w:r w:rsidRPr="00DC72D7">
              <w:rPr>
                <w:rFonts w:ascii="Times New Roman" w:hAnsi="Times New Roman"/>
                <w:sz w:val="22"/>
                <w:szCs w:val="22"/>
              </w:rPr>
              <w:t xml:space="preserve">žmegzdami naujus verslo santykius su bendrove arba kitu juridiniu asmeniu, patikos fondu ar juridine struktūra, turinčia panašią į patikos fondų struktūrą arba funkcijas (toliau – panaši juridinė struktūra), kurių informacija apie tikruosius savininkus turi būti registruojama pagal 30 arba 31 straipsnį, įpareigotieji subjektai turi gauti registracijos įrodymą arba išrašą iš registro. Be to, </w:t>
            </w:r>
            <w:r w:rsidRPr="00DC72D7">
              <w:rPr>
                <w:rFonts w:ascii="Times New Roman" w:hAnsi="Times New Roman"/>
                <w:spacing w:val="-4"/>
                <w:sz w:val="22"/>
                <w:szCs w:val="22"/>
              </w:rPr>
              <w:t xml:space="preserve">vadovaujantis Direktyvos </w:t>
            </w:r>
            <w:r w:rsidRPr="00DC72D7">
              <w:rPr>
                <w:rFonts w:ascii="Times New Roman" w:hAnsi="Times New Roman"/>
                <w:sz w:val="22"/>
                <w:szCs w:val="22"/>
              </w:rPr>
              <w:t xml:space="preserve">2018/843 </w:t>
            </w:r>
            <w:r w:rsidRPr="00DC72D7">
              <w:rPr>
                <w:rFonts w:ascii="Times New Roman" w:hAnsi="Times New Roman"/>
                <w:spacing w:val="-4"/>
                <w:sz w:val="22"/>
                <w:szCs w:val="22"/>
              </w:rPr>
              <w:t xml:space="preserve"> 14 punktu keičiamo 30 straipsnio 4 dalies nuostata, valstybės narės reikalauja, kad įpareigotieji subjektai praneštų apie nustatytus neatitikimus tarp centriniuose registruose esančios ir tų subjektų turimos informacijos apie tikruosius savininkus.</w:t>
            </w:r>
          </w:p>
          <w:p w:rsidR="00DC72D7" w:rsidRPr="00DC72D7" w:rsidRDefault="00DC72D7" w:rsidP="001C5DE1">
            <w:pPr>
              <w:shd w:val="clear" w:color="auto" w:fill="FFFFFF"/>
              <w:jc w:val="both"/>
              <w:rPr>
                <w:rFonts w:ascii="Times New Roman" w:hAnsi="Times New Roman"/>
                <w:sz w:val="22"/>
                <w:szCs w:val="22"/>
              </w:rPr>
            </w:pPr>
            <w:r w:rsidRPr="00DC72D7">
              <w:rPr>
                <w:rFonts w:ascii="Times New Roman" w:hAnsi="Times New Roman"/>
                <w:sz w:val="22"/>
                <w:szCs w:val="22"/>
              </w:rPr>
              <w:t xml:space="preserve">Taigi perkeliant Direktyvos 2018/843  nuostatas į nacionalinę teisę, </w:t>
            </w:r>
            <w:r w:rsidRPr="00DC72D7">
              <w:rPr>
                <w:rFonts w:ascii="Times New Roman" w:hAnsi="Times New Roman"/>
                <w:spacing w:val="-4"/>
                <w:sz w:val="22"/>
                <w:szCs w:val="22"/>
              </w:rPr>
              <w:t xml:space="preserve">Lietuvos Respublikos pinigų plovimo ir teroristų finansavimo prevencijos įstatymo Nr. VIII-275  2, 3, 4, 5, 7, 8, 9, 10, 12, 14, 15, 17, </w:t>
            </w:r>
            <w:r w:rsidRPr="00DC72D7">
              <w:rPr>
                <w:rFonts w:ascii="Times New Roman" w:hAnsi="Times New Roman"/>
                <w:spacing w:val="-4"/>
                <w:sz w:val="22"/>
                <w:szCs w:val="22"/>
              </w:rPr>
              <w:lastRenderedPageBreak/>
              <w:t>22, 24, 26, 27, 28, 29, 39, 40, 49 ir 51 straipsnių pakeitimo ir įstatymo papildymo 7</w:t>
            </w:r>
            <w:r w:rsidRPr="00DC72D7">
              <w:rPr>
                <w:rFonts w:ascii="Times New Roman" w:hAnsi="Times New Roman"/>
                <w:spacing w:val="-4"/>
                <w:sz w:val="22"/>
                <w:szCs w:val="22"/>
                <w:vertAlign w:val="superscript"/>
              </w:rPr>
              <w:t>1</w:t>
            </w:r>
            <w:r w:rsidRPr="00DC72D7">
              <w:rPr>
                <w:rFonts w:ascii="Times New Roman" w:hAnsi="Times New Roman"/>
                <w:spacing w:val="-4"/>
                <w:sz w:val="22"/>
                <w:szCs w:val="22"/>
              </w:rPr>
              <w:t>, 14</w:t>
            </w:r>
            <w:r w:rsidRPr="00DC72D7">
              <w:rPr>
                <w:rFonts w:ascii="Times New Roman" w:hAnsi="Times New Roman"/>
                <w:spacing w:val="-4"/>
                <w:sz w:val="22"/>
                <w:szCs w:val="22"/>
                <w:vertAlign w:val="superscript"/>
              </w:rPr>
              <w:t>1</w:t>
            </w:r>
            <w:r w:rsidRPr="00DC72D7">
              <w:rPr>
                <w:rFonts w:ascii="Times New Roman" w:hAnsi="Times New Roman"/>
                <w:spacing w:val="-4"/>
                <w:sz w:val="22"/>
                <w:szCs w:val="22"/>
              </w:rPr>
              <w:t xml:space="preserve"> ir 25</w:t>
            </w:r>
            <w:r w:rsidRPr="00DC72D7">
              <w:rPr>
                <w:rFonts w:ascii="Times New Roman" w:hAnsi="Times New Roman"/>
                <w:spacing w:val="-4"/>
                <w:sz w:val="22"/>
                <w:szCs w:val="22"/>
                <w:vertAlign w:val="superscript"/>
              </w:rPr>
              <w:t>3</w:t>
            </w:r>
            <w:r w:rsidRPr="00DC72D7">
              <w:rPr>
                <w:rFonts w:ascii="Times New Roman" w:hAnsi="Times New Roman"/>
                <w:spacing w:val="-4"/>
                <w:sz w:val="22"/>
                <w:szCs w:val="22"/>
              </w:rPr>
              <w:t xml:space="preserve"> straipsniais įstatymo projekte  (toliau – Įstatymo projektas) </w:t>
            </w:r>
            <w:r w:rsidRPr="00DC72D7">
              <w:rPr>
                <w:rFonts w:ascii="Times New Roman" w:hAnsi="Times New Roman"/>
                <w:sz w:val="22"/>
                <w:szCs w:val="22"/>
              </w:rPr>
              <w:t xml:space="preserve">finansų įstaigoms ir kitiems įpareigotiesiems subjektams nustatoma pareiga naudoti Juridinių asmenų dalyvių informacine sistema (JADIS), gauti išrašą ar duomenis apie to kliento naudos gavėjus, pranešti klientui apie Juridinių asmenų dalyvių informacinėje sistemoje (JADIS) esančius netikslius duomenis. </w:t>
            </w:r>
          </w:p>
          <w:p w:rsidR="00DC72D7" w:rsidRPr="00DC72D7" w:rsidRDefault="00DC72D7" w:rsidP="001C5DE1">
            <w:pPr>
              <w:shd w:val="clear" w:color="auto" w:fill="FFFFFF"/>
              <w:jc w:val="both"/>
              <w:rPr>
                <w:rFonts w:ascii="Times New Roman" w:hAnsi="Times New Roman"/>
                <w:sz w:val="22"/>
                <w:szCs w:val="22"/>
              </w:rPr>
            </w:pPr>
            <w:r w:rsidRPr="00DC72D7">
              <w:rPr>
                <w:rFonts w:ascii="Times New Roman" w:hAnsi="Times New Roman"/>
                <w:sz w:val="22"/>
                <w:szCs w:val="22"/>
              </w:rPr>
              <w:t>Konstitucinis Teismas yra pažymėjęs, kad pagal Konstituciją įstatymų leidėjas, išleisdamas įstatymą ar kitą teisės aktą, kuriam įgyvendinti reikalingos lėšos, turi numatyti tokiam įstatymui ar kitam teisės aktui įgyvendinti būtinas lėšas; pagal Konstituciją įstatymų leidėjas negali sukurti tokios teisinės situacijos, kai išleidžiamas įstatymas arba kitas teisės aktas, kuriam įgyvendinti reikia lėšų, bet tokių lėšų neskiriama arba jų skiriama nepakankamai (Konstitucinio Teismo 2004 m. gruodžio 13 d., 2006 m. gruodžio 21 d., 2010 m. birželio 29 d. nutarimai).</w:t>
            </w:r>
          </w:p>
          <w:p w:rsidR="00DC72D7" w:rsidRPr="00DC72D7" w:rsidRDefault="00DC72D7" w:rsidP="001C5DE1">
            <w:pPr>
              <w:shd w:val="clear" w:color="auto" w:fill="FFFFFF"/>
              <w:jc w:val="both"/>
              <w:rPr>
                <w:rFonts w:ascii="Times New Roman" w:hAnsi="Times New Roman"/>
                <w:spacing w:val="-4"/>
                <w:sz w:val="22"/>
                <w:szCs w:val="22"/>
              </w:rPr>
            </w:pPr>
            <w:r w:rsidRPr="00DC72D7">
              <w:rPr>
                <w:rFonts w:ascii="Times New Roman" w:hAnsi="Times New Roman"/>
                <w:sz w:val="22"/>
                <w:szCs w:val="22"/>
              </w:rPr>
              <w:t>Kadangi Įstatymo projektu nustatoma pareiga, o ne teisė naudotis Juridinių asmenų dalyvių informacine sistema (JADIS), taip pat į tai, kad finansų įstaigos ir kiti įpareigotieji subjektai prisidės prie Juridinių asmenų dalyvių informacinės sistemos (JADIS) informacijos tikslumo, aktualumo ir teisingumo, manytina, kad yra nepagrįsta Įstatymo projektu nustatyti mokesčio už naudojimąsi Juridinių asmenų dalyvių informacine sistema (JADIS).</w:t>
            </w:r>
          </w:p>
        </w:tc>
      </w:tr>
      <w:tr w:rsidR="00DC72D7" w:rsidRPr="00126CEB" w:rsidTr="00AA506B">
        <w:tc>
          <w:tcPr>
            <w:tcW w:w="534" w:type="dxa"/>
          </w:tcPr>
          <w:p w:rsidR="00DC72D7" w:rsidRPr="00DC72D7" w:rsidRDefault="00DC72D7" w:rsidP="00380164">
            <w:pPr>
              <w:jc w:val="both"/>
              <w:rPr>
                <w:rFonts w:ascii="Times New Roman" w:hAnsi="Times New Roman"/>
                <w:spacing w:val="-2"/>
                <w:sz w:val="22"/>
                <w:szCs w:val="22"/>
              </w:rPr>
            </w:pPr>
            <w:r w:rsidRPr="00DC72D7">
              <w:rPr>
                <w:rFonts w:ascii="Times New Roman" w:hAnsi="Times New Roman"/>
                <w:spacing w:val="-2"/>
                <w:sz w:val="22"/>
                <w:szCs w:val="22"/>
              </w:rPr>
              <w:lastRenderedPageBreak/>
              <w:t>3.</w:t>
            </w:r>
          </w:p>
        </w:tc>
        <w:tc>
          <w:tcPr>
            <w:tcW w:w="1559" w:type="dxa"/>
            <w:shd w:val="clear" w:color="auto" w:fill="auto"/>
          </w:tcPr>
          <w:p w:rsidR="00DC72D7" w:rsidRPr="00DC72D7" w:rsidRDefault="00DC72D7" w:rsidP="00420D81">
            <w:pPr>
              <w:rPr>
                <w:rFonts w:ascii="Times New Roman" w:hAnsi="Times New Roman"/>
                <w:spacing w:val="-2"/>
                <w:sz w:val="22"/>
                <w:szCs w:val="22"/>
              </w:rPr>
            </w:pPr>
            <w:r w:rsidRPr="00DC72D7">
              <w:rPr>
                <w:rFonts w:ascii="Times New Roman" w:hAnsi="Times New Roman"/>
                <w:spacing w:val="-2"/>
                <w:sz w:val="22"/>
                <w:szCs w:val="22"/>
              </w:rPr>
              <w:t>Lietuvos Respublikos finansų ministerija</w:t>
            </w:r>
          </w:p>
          <w:p w:rsidR="00DC72D7" w:rsidRPr="00DC72D7" w:rsidRDefault="00DC72D7" w:rsidP="00420D81">
            <w:pPr>
              <w:rPr>
                <w:rFonts w:ascii="Times New Roman" w:hAnsi="Times New Roman"/>
                <w:spacing w:val="-2"/>
                <w:sz w:val="22"/>
                <w:szCs w:val="22"/>
              </w:rPr>
            </w:pPr>
            <w:r w:rsidRPr="00DC72D7">
              <w:rPr>
                <w:rFonts w:ascii="Times New Roman" w:hAnsi="Times New Roman"/>
                <w:spacing w:val="-2"/>
                <w:sz w:val="22"/>
                <w:szCs w:val="22"/>
              </w:rPr>
              <w:t>2019-01-    Nr.(29E-04 -(5K-1823440))-</w:t>
            </w:r>
          </w:p>
        </w:tc>
        <w:tc>
          <w:tcPr>
            <w:tcW w:w="6379" w:type="dxa"/>
            <w:shd w:val="clear" w:color="auto" w:fill="auto"/>
          </w:tcPr>
          <w:p w:rsidR="00DC72D7" w:rsidRPr="00DC72D7" w:rsidRDefault="00DC72D7" w:rsidP="00420D81">
            <w:pPr>
              <w:shd w:val="clear" w:color="auto" w:fill="FFFFFF"/>
              <w:ind w:left="-69"/>
              <w:jc w:val="both"/>
              <w:rPr>
                <w:rFonts w:ascii="Times New Roman" w:hAnsi="Times New Roman"/>
                <w:spacing w:val="-4"/>
                <w:sz w:val="22"/>
                <w:szCs w:val="22"/>
                <w:highlight w:val="lightGray"/>
              </w:rPr>
            </w:pPr>
            <w:r w:rsidRPr="00DC72D7">
              <w:rPr>
                <w:rFonts w:ascii="Times New Roman" w:hAnsi="Times New Roman"/>
                <w:spacing w:val="-4"/>
                <w:sz w:val="22"/>
                <w:szCs w:val="22"/>
              </w:rPr>
              <w:t>3. Atsižvelgiant į tai, kad  2019 m. sausio 9 d. Lietuvos Respublikos Vyriausybė pasitarime pritarė atnaujintam Priemonių finansinių technologijų sektoriaus plėtrai Lietuvoje skatinti planui (toliau – Planas), įgyvendinant Plane numatytas priemones bus vertinamos galimybės peržiūrėti Pinigų plovimo ir teroristų finansavimo prevencijos įstatymo nuostatas, kurios prisidėtų prie Lietuvos konkurencingumo regione didinimo. Minėtų Plano nuostatų įgyvendinimo terminai yra šių metų I-II ketvirčiai, todėl darbo grupei Finansinių technologijų industrijai Lietuvoje plėtoti pabaigus diskusijas siūlytina atsižvelgti į minėtų diskusijų rezultatus ir darbo grupės siūlymus.</w:t>
            </w:r>
          </w:p>
        </w:tc>
        <w:tc>
          <w:tcPr>
            <w:tcW w:w="6378" w:type="dxa"/>
          </w:tcPr>
          <w:p w:rsidR="00DC72D7" w:rsidRPr="00DC72D7" w:rsidRDefault="00DC72D7" w:rsidP="00420D81">
            <w:pPr>
              <w:shd w:val="clear" w:color="auto" w:fill="FFFFFF"/>
              <w:jc w:val="both"/>
              <w:rPr>
                <w:rFonts w:ascii="Times New Roman" w:hAnsi="Times New Roman"/>
                <w:b/>
                <w:spacing w:val="-4"/>
                <w:sz w:val="22"/>
                <w:szCs w:val="22"/>
              </w:rPr>
            </w:pPr>
            <w:r w:rsidRPr="00DC72D7">
              <w:rPr>
                <w:rFonts w:ascii="Times New Roman" w:hAnsi="Times New Roman"/>
                <w:b/>
                <w:spacing w:val="-4"/>
                <w:sz w:val="22"/>
                <w:szCs w:val="22"/>
              </w:rPr>
              <w:t>Neatsižvelgta.</w:t>
            </w:r>
          </w:p>
          <w:p w:rsidR="00DC72D7" w:rsidRPr="00DC72D7" w:rsidRDefault="00DC72D7" w:rsidP="00420D81">
            <w:pPr>
              <w:shd w:val="clear" w:color="auto" w:fill="FFFFFF"/>
              <w:jc w:val="both"/>
              <w:rPr>
                <w:rFonts w:ascii="Times New Roman" w:hAnsi="Times New Roman"/>
                <w:spacing w:val="-4"/>
                <w:sz w:val="22"/>
                <w:szCs w:val="22"/>
              </w:rPr>
            </w:pPr>
            <w:r w:rsidRPr="00DC72D7">
              <w:rPr>
                <w:rFonts w:ascii="Times New Roman" w:hAnsi="Times New Roman"/>
                <w:spacing w:val="-4"/>
                <w:sz w:val="22"/>
                <w:szCs w:val="22"/>
              </w:rPr>
              <w:t>Įstatymo projektas  parengtas siekiant užtikrinti Direktyvos 2018/843 perkėlimą į nacionalinę teisę.</w:t>
            </w:r>
          </w:p>
          <w:p w:rsidR="00DC72D7" w:rsidRPr="00DC72D7" w:rsidRDefault="00DC72D7" w:rsidP="00420D81">
            <w:pPr>
              <w:shd w:val="clear" w:color="auto" w:fill="FFFFFF"/>
              <w:jc w:val="both"/>
              <w:rPr>
                <w:rFonts w:ascii="Times New Roman" w:hAnsi="Times New Roman"/>
                <w:spacing w:val="-4"/>
                <w:sz w:val="22"/>
                <w:szCs w:val="22"/>
              </w:rPr>
            </w:pPr>
            <w:r w:rsidRPr="00DC72D7">
              <w:rPr>
                <w:rFonts w:ascii="Times New Roman" w:hAnsi="Times New Roman"/>
                <w:spacing w:val="-4"/>
                <w:sz w:val="22"/>
                <w:szCs w:val="22"/>
              </w:rPr>
              <w:t xml:space="preserve">Priemonių finansinių technologijų sektoriaus plėtrai Lietuvoje skatinti plane siūlomos svarstyti priemonės, susijusios su Pinigų plovimo ir teroristų finansavimo prevencijos įstatymo nuostatomis, turi būti tinkamai išanalizuotos specialistų, siekiant įvertinti siūlomų priemonių </w:t>
            </w:r>
            <w:r w:rsidRPr="00DC72D7">
              <w:rPr>
                <w:rFonts w:ascii="Times New Roman" w:hAnsi="Times New Roman"/>
                <w:sz w:val="22"/>
                <w:szCs w:val="22"/>
              </w:rPr>
              <w:t>saugumą, galimą poreikį taikyti papildomas kylančios rizikos mažinimo priemones.</w:t>
            </w:r>
          </w:p>
          <w:p w:rsidR="00DC72D7" w:rsidRPr="00DC72D7" w:rsidRDefault="00DC72D7" w:rsidP="00420D81">
            <w:pPr>
              <w:shd w:val="clear" w:color="auto" w:fill="FFFFFF"/>
              <w:jc w:val="both"/>
              <w:rPr>
                <w:rFonts w:ascii="Times New Roman" w:hAnsi="Times New Roman"/>
                <w:spacing w:val="-4"/>
                <w:sz w:val="22"/>
                <w:szCs w:val="22"/>
              </w:rPr>
            </w:pPr>
            <w:r w:rsidRPr="00DC72D7">
              <w:rPr>
                <w:rFonts w:ascii="Times New Roman" w:hAnsi="Times New Roman"/>
                <w:sz w:val="22"/>
                <w:szCs w:val="22"/>
              </w:rPr>
              <w:t>Kadangi toks procesas dėl laiko sąnaudų nesuderinamas su Įstatymo projekto tikslu laiku perketi Direktyvos 2018/843 nuostatas, į pasiūlymą negali būti atsižvelgta.</w:t>
            </w:r>
          </w:p>
          <w:p w:rsidR="00DC72D7" w:rsidRPr="00DC72D7" w:rsidRDefault="00DC72D7" w:rsidP="00420D81">
            <w:pPr>
              <w:shd w:val="clear" w:color="auto" w:fill="FFFFFF"/>
              <w:jc w:val="both"/>
              <w:rPr>
                <w:rFonts w:ascii="Times New Roman" w:hAnsi="Times New Roman"/>
                <w:spacing w:val="-4"/>
                <w:sz w:val="22"/>
                <w:szCs w:val="22"/>
              </w:rPr>
            </w:pPr>
          </w:p>
        </w:tc>
      </w:tr>
      <w:tr w:rsidR="00DC72D7" w:rsidRPr="00126CEB" w:rsidTr="00AA506B">
        <w:tc>
          <w:tcPr>
            <w:tcW w:w="534" w:type="dxa"/>
          </w:tcPr>
          <w:p w:rsidR="00DC72D7" w:rsidRPr="00DC72D7" w:rsidRDefault="00DC72D7" w:rsidP="00DB7E6A">
            <w:pPr>
              <w:jc w:val="both"/>
              <w:rPr>
                <w:rFonts w:ascii="Times New Roman" w:hAnsi="Times New Roman"/>
                <w:spacing w:val="-2"/>
                <w:sz w:val="22"/>
                <w:szCs w:val="22"/>
              </w:rPr>
            </w:pPr>
            <w:r w:rsidRPr="00DC72D7">
              <w:rPr>
                <w:rFonts w:ascii="Times New Roman" w:hAnsi="Times New Roman"/>
                <w:spacing w:val="-2"/>
                <w:sz w:val="22"/>
                <w:szCs w:val="22"/>
              </w:rPr>
              <w:t>4.</w:t>
            </w:r>
          </w:p>
        </w:tc>
        <w:tc>
          <w:tcPr>
            <w:tcW w:w="1559" w:type="dxa"/>
            <w:shd w:val="clear" w:color="auto" w:fill="auto"/>
          </w:tcPr>
          <w:p w:rsidR="00DC72D7" w:rsidRPr="00DC72D7" w:rsidRDefault="00DC72D7" w:rsidP="00FA4BB0">
            <w:pPr>
              <w:rPr>
                <w:rFonts w:ascii="Times New Roman" w:hAnsi="Times New Roman"/>
                <w:spacing w:val="-2"/>
                <w:sz w:val="22"/>
                <w:szCs w:val="22"/>
              </w:rPr>
            </w:pPr>
            <w:r w:rsidRPr="00DC72D7">
              <w:rPr>
                <w:rFonts w:ascii="Times New Roman" w:hAnsi="Times New Roman"/>
                <w:spacing w:val="-2"/>
                <w:sz w:val="22"/>
                <w:szCs w:val="22"/>
              </w:rPr>
              <w:t>Lietuvos bankas</w:t>
            </w:r>
          </w:p>
          <w:p w:rsidR="00DC72D7" w:rsidRPr="00DC72D7" w:rsidRDefault="00DC72D7" w:rsidP="00FA4BB0">
            <w:pPr>
              <w:rPr>
                <w:rFonts w:ascii="Times New Roman" w:hAnsi="Times New Roman"/>
                <w:spacing w:val="-2"/>
                <w:sz w:val="22"/>
                <w:szCs w:val="22"/>
              </w:rPr>
            </w:pPr>
            <w:r w:rsidRPr="00DC72D7">
              <w:rPr>
                <w:rFonts w:ascii="Times New Roman" w:hAnsi="Times New Roman"/>
                <w:spacing w:val="-2"/>
                <w:sz w:val="22"/>
                <w:szCs w:val="22"/>
              </w:rPr>
              <w:t>1G-525</w:t>
            </w:r>
          </w:p>
        </w:tc>
        <w:tc>
          <w:tcPr>
            <w:tcW w:w="6379" w:type="dxa"/>
          </w:tcPr>
          <w:p w:rsidR="00DC72D7" w:rsidRPr="00DC72D7" w:rsidRDefault="00DC72D7" w:rsidP="00FA4BB0">
            <w:pPr>
              <w:shd w:val="clear" w:color="auto" w:fill="FFFFFF"/>
              <w:ind w:left="-69"/>
              <w:jc w:val="both"/>
              <w:rPr>
                <w:rFonts w:ascii="Times New Roman" w:hAnsi="Times New Roman"/>
                <w:spacing w:val="-4"/>
                <w:sz w:val="22"/>
                <w:szCs w:val="22"/>
              </w:rPr>
            </w:pPr>
            <w:r w:rsidRPr="00DC72D7">
              <w:rPr>
                <w:rFonts w:ascii="Times New Roman" w:hAnsi="Times New Roman"/>
                <w:spacing w:val="-4"/>
                <w:sz w:val="22"/>
                <w:szCs w:val="22"/>
              </w:rPr>
              <w:t xml:space="preserve">2. Atsižvelgdami į tai, kad 2019 m. sausio 9 d. LR Vyriausybės ministrų pasitarime pritartame Priemonių finansinių technologijų sektoriaus plėtrai Lietuvoje skatinti plane yra įtraukti pasiūlymai, susiję su Įstatymo </w:t>
            </w:r>
            <w:r w:rsidRPr="00DC72D7">
              <w:rPr>
                <w:rFonts w:ascii="Times New Roman" w:hAnsi="Times New Roman"/>
                <w:spacing w:val="-4"/>
                <w:sz w:val="22"/>
                <w:szCs w:val="22"/>
              </w:rPr>
              <w:lastRenderedPageBreak/>
              <w:t>nuostatų, įskaitant kliento ir naudos gavėjo tapatybės nustatymo reikalavimų, tobulinimu, manome, kad yra tikslinga šiuos pasiūlymus įvertinti ir atitinkamai patikslinti Projekto nuostatas.</w:t>
            </w:r>
          </w:p>
        </w:tc>
        <w:tc>
          <w:tcPr>
            <w:tcW w:w="6378" w:type="dxa"/>
          </w:tcPr>
          <w:p w:rsidR="00DC72D7" w:rsidRPr="00DC72D7" w:rsidRDefault="00DC72D7" w:rsidP="00FA4BB0">
            <w:pPr>
              <w:shd w:val="clear" w:color="auto" w:fill="FFFFFF"/>
              <w:jc w:val="both"/>
              <w:rPr>
                <w:rFonts w:ascii="Times New Roman" w:hAnsi="Times New Roman"/>
                <w:b/>
                <w:spacing w:val="-4"/>
                <w:sz w:val="22"/>
                <w:szCs w:val="22"/>
              </w:rPr>
            </w:pPr>
            <w:r w:rsidRPr="00DC72D7">
              <w:rPr>
                <w:rFonts w:ascii="Times New Roman" w:hAnsi="Times New Roman"/>
                <w:b/>
                <w:spacing w:val="-4"/>
                <w:sz w:val="22"/>
                <w:szCs w:val="22"/>
              </w:rPr>
              <w:lastRenderedPageBreak/>
              <w:t>Neatsižvelgta.</w:t>
            </w:r>
          </w:p>
          <w:p w:rsidR="00DC72D7" w:rsidRPr="00DC72D7" w:rsidRDefault="00DC72D7" w:rsidP="00FA4BB0">
            <w:pPr>
              <w:shd w:val="clear" w:color="auto" w:fill="FFFFFF"/>
              <w:jc w:val="both"/>
              <w:rPr>
                <w:rFonts w:ascii="Times New Roman" w:hAnsi="Times New Roman"/>
                <w:spacing w:val="-4"/>
                <w:sz w:val="22"/>
                <w:szCs w:val="22"/>
              </w:rPr>
            </w:pPr>
            <w:r w:rsidRPr="00DC72D7">
              <w:rPr>
                <w:rFonts w:ascii="Times New Roman" w:hAnsi="Times New Roman"/>
                <w:spacing w:val="-4"/>
                <w:sz w:val="22"/>
                <w:szCs w:val="22"/>
              </w:rPr>
              <w:t>Įstatymo projektas  parengtas siekiant užtikrinti Direktyvos 2018/843 perkėlimą į nacionalinę teisę.</w:t>
            </w:r>
          </w:p>
          <w:p w:rsidR="00DC72D7" w:rsidRPr="00DC72D7" w:rsidRDefault="00DC72D7" w:rsidP="00FA4BB0">
            <w:pPr>
              <w:shd w:val="clear" w:color="auto" w:fill="FFFFFF"/>
              <w:jc w:val="both"/>
              <w:rPr>
                <w:rFonts w:ascii="Times New Roman" w:hAnsi="Times New Roman"/>
                <w:spacing w:val="-4"/>
                <w:sz w:val="22"/>
                <w:szCs w:val="22"/>
              </w:rPr>
            </w:pPr>
            <w:r w:rsidRPr="00DC72D7">
              <w:rPr>
                <w:rFonts w:ascii="Times New Roman" w:hAnsi="Times New Roman"/>
                <w:spacing w:val="-4"/>
                <w:sz w:val="22"/>
                <w:szCs w:val="22"/>
              </w:rPr>
              <w:lastRenderedPageBreak/>
              <w:t xml:space="preserve">Priemonių finansinių technologijų sektoriaus plėtrai Lietuvoje skatinti plane siūlomos svarstyti priemonės, susijusios su Pinigų plovimo ir teroristų finansavimo prevencijos įstatymo nuostatomis, turi būti tinkamai išanalizuotos specialistų, siekiant įvertinti siūlomų priemonių </w:t>
            </w:r>
            <w:r w:rsidRPr="00DC72D7">
              <w:rPr>
                <w:rFonts w:ascii="Times New Roman" w:hAnsi="Times New Roman"/>
                <w:sz w:val="22"/>
                <w:szCs w:val="22"/>
              </w:rPr>
              <w:t>saugumą, galimą poreikį taikyti papildomas kylančios rizikos mažinimo priemones.</w:t>
            </w:r>
          </w:p>
          <w:p w:rsidR="00DC72D7" w:rsidRPr="00DC72D7" w:rsidRDefault="00DC72D7" w:rsidP="00FA4BB0">
            <w:pPr>
              <w:shd w:val="clear" w:color="auto" w:fill="FFFFFF"/>
              <w:jc w:val="both"/>
              <w:rPr>
                <w:rFonts w:ascii="Times New Roman" w:hAnsi="Times New Roman"/>
                <w:spacing w:val="-4"/>
                <w:sz w:val="22"/>
                <w:szCs w:val="22"/>
              </w:rPr>
            </w:pPr>
            <w:r w:rsidRPr="00DC72D7">
              <w:rPr>
                <w:rFonts w:ascii="Times New Roman" w:hAnsi="Times New Roman"/>
                <w:sz w:val="22"/>
                <w:szCs w:val="22"/>
              </w:rPr>
              <w:t>Kadangi toks procesas dėl laiko sąnaudų nesuderinamas su Įstatymo projekto tikslu laiku perketi Direktyvos 2018/843 nuostatas, į pasiūlymą negali būti atsižvelgta.</w:t>
            </w:r>
          </w:p>
        </w:tc>
      </w:tr>
      <w:tr w:rsidR="00DC72D7" w:rsidRPr="00126CEB" w:rsidTr="00AA506B">
        <w:tc>
          <w:tcPr>
            <w:tcW w:w="534" w:type="dxa"/>
          </w:tcPr>
          <w:p w:rsidR="00DC72D7" w:rsidRPr="00DC72D7" w:rsidRDefault="00DC72D7" w:rsidP="00DB7E6A">
            <w:pPr>
              <w:jc w:val="both"/>
              <w:rPr>
                <w:rFonts w:ascii="Times New Roman" w:hAnsi="Times New Roman"/>
                <w:spacing w:val="-2"/>
                <w:sz w:val="22"/>
                <w:szCs w:val="22"/>
              </w:rPr>
            </w:pPr>
            <w:r w:rsidRPr="00DC72D7">
              <w:rPr>
                <w:rFonts w:ascii="Times New Roman" w:hAnsi="Times New Roman"/>
                <w:spacing w:val="-2"/>
                <w:sz w:val="22"/>
                <w:szCs w:val="22"/>
              </w:rPr>
              <w:lastRenderedPageBreak/>
              <w:t>5.</w:t>
            </w:r>
          </w:p>
        </w:tc>
        <w:tc>
          <w:tcPr>
            <w:tcW w:w="1559" w:type="dxa"/>
            <w:shd w:val="clear" w:color="auto" w:fill="auto"/>
          </w:tcPr>
          <w:p w:rsidR="00DC72D7" w:rsidRPr="00DC72D7" w:rsidRDefault="00DC72D7" w:rsidP="007D5670">
            <w:pPr>
              <w:rPr>
                <w:rFonts w:ascii="Times New Roman" w:hAnsi="Times New Roman"/>
                <w:b/>
                <w:spacing w:val="-2"/>
                <w:sz w:val="22"/>
                <w:szCs w:val="22"/>
              </w:rPr>
            </w:pPr>
            <w:r w:rsidRPr="00DC72D7">
              <w:rPr>
                <w:rFonts w:ascii="Times New Roman" w:hAnsi="Times New Roman"/>
                <w:spacing w:val="-2"/>
                <w:sz w:val="22"/>
                <w:szCs w:val="22"/>
              </w:rPr>
              <w:t>Lošimų priežiūros tarnyba prie Lietuvos Respublikos finansų ministerijos</w:t>
            </w:r>
          </w:p>
        </w:tc>
        <w:tc>
          <w:tcPr>
            <w:tcW w:w="6379" w:type="dxa"/>
          </w:tcPr>
          <w:p w:rsidR="00DC72D7" w:rsidRPr="00DC72D7" w:rsidRDefault="00DC72D7" w:rsidP="001D1529">
            <w:pPr>
              <w:shd w:val="clear" w:color="auto" w:fill="FFFFFF"/>
              <w:ind w:left="-69"/>
              <w:jc w:val="both"/>
              <w:rPr>
                <w:rFonts w:ascii="Times New Roman" w:hAnsi="Times New Roman"/>
                <w:spacing w:val="-4"/>
                <w:sz w:val="22"/>
                <w:szCs w:val="22"/>
              </w:rPr>
            </w:pPr>
            <w:r w:rsidRPr="00DC72D7">
              <w:rPr>
                <w:rFonts w:ascii="Times New Roman" w:hAnsi="Times New Roman"/>
                <w:spacing w:val="-4"/>
                <w:sz w:val="22"/>
                <w:szCs w:val="22"/>
              </w:rPr>
              <w:t>Priežiūros tarnyba, atlikdama patikrinimus susiduria su problema, jog lošimus ir loterijas organizuojančios  bendrovės,  remiantis  PPTFPĮ  9  straipsnio  23  dalies  nuostata,  atsižvelgdamos  į klientų  rizikos  lygį,  nevertina  ar  yra  pagrindas  esamiems  klientams  taikyti  sustiprintą  kliento tapatybės  nustatymo  procedūrą.  Atsižvelgdama  į  tai,  Priežiūros  tarnyba  siūlo  pakeisti  PPTFPĮ  9 straipsnio  23  dalį  nustatant,  kad  visais  atvejais  yra  privaloma  gauti  papildomą  informaciją,  kuri leistų įsitikinti ar yra aplinkybių esamiems klientams taikyti sustiprintą kliento tapatybės nustatymą.</w:t>
            </w:r>
          </w:p>
        </w:tc>
        <w:tc>
          <w:tcPr>
            <w:tcW w:w="6378" w:type="dxa"/>
          </w:tcPr>
          <w:p w:rsidR="00DC72D7" w:rsidRPr="00DC72D7" w:rsidRDefault="00DC72D7" w:rsidP="001D1529">
            <w:pPr>
              <w:shd w:val="clear" w:color="auto" w:fill="FFFFFF"/>
              <w:jc w:val="both"/>
              <w:rPr>
                <w:rFonts w:ascii="Times New Roman" w:hAnsi="Times New Roman"/>
                <w:b/>
                <w:spacing w:val="-4"/>
                <w:sz w:val="22"/>
                <w:szCs w:val="22"/>
              </w:rPr>
            </w:pPr>
            <w:r w:rsidRPr="00DC72D7">
              <w:rPr>
                <w:rFonts w:ascii="Times New Roman" w:hAnsi="Times New Roman"/>
                <w:b/>
                <w:spacing w:val="-4"/>
                <w:sz w:val="22"/>
                <w:szCs w:val="22"/>
              </w:rPr>
              <w:t>Neatsižvelgta.</w:t>
            </w:r>
          </w:p>
          <w:p w:rsidR="00DC72D7" w:rsidRPr="00DC72D7" w:rsidRDefault="00DC72D7" w:rsidP="001D1529">
            <w:pPr>
              <w:shd w:val="clear" w:color="auto" w:fill="FFFFFF"/>
              <w:jc w:val="both"/>
              <w:rPr>
                <w:rFonts w:ascii="Times New Roman" w:hAnsi="Times New Roman"/>
                <w:spacing w:val="-4"/>
                <w:sz w:val="22"/>
                <w:szCs w:val="22"/>
              </w:rPr>
            </w:pPr>
            <w:r w:rsidRPr="00DC72D7">
              <w:rPr>
                <w:rFonts w:ascii="Times New Roman" w:hAnsi="Times New Roman"/>
                <w:spacing w:val="-4"/>
                <w:sz w:val="22"/>
                <w:szCs w:val="22"/>
              </w:rPr>
              <w:t>Pareiga gauti  informaciją,  kuri leistų įsitikinti, ar yra aplinkybių esamiems klientams taikyti sustiprintą kliento tapatybės nustatymą jau yra nustatyta įstatyme: pagal 10 straipsnio 5 dalies 6 punktą (kai klientas dalyvauja fiziškai) ir 11 straipsnio 3 dalį (kai kliento tapatybė nustatoma jam fiziškai nedalyvaujant).</w:t>
            </w:r>
          </w:p>
          <w:p w:rsidR="00DC72D7" w:rsidRPr="00DC72D7" w:rsidRDefault="00DC72D7" w:rsidP="001D1529">
            <w:pPr>
              <w:shd w:val="clear" w:color="auto" w:fill="FFFFFF"/>
              <w:jc w:val="both"/>
              <w:rPr>
                <w:rFonts w:ascii="Times New Roman" w:hAnsi="Times New Roman"/>
                <w:spacing w:val="-4"/>
                <w:sz w:val="22"/>
                <w:szCs w:val="22"/>
              </w:rPr>
            </w:pPr>
          </w:p>
        </w:tc>
      </w:tr>
      <w:tr w:rsidR="00DC72D7" w:rsidRPr="00126CEB" w:rsidTr="00AA506B">
        <w:tc>
          <w:tcPr>
            <w:tcW w:w="534" w:type="dxa"/>
          </w:tcPr>
          <w:p w:rsidR="00DC72D7" w:rsidRPr="00DC72D7" w:rsidRDefault="00DC72D7" w:rsidP="00F157B7">
            <w:pPr>
              <w:jc w:val="both"/>
              <w:rPr>
                <w:rFonts w:ascii="Times New Roman" w:hAnsi="Times New Roman"/>
                <w:spacing w:val="-2"/>
                <w:sz w:val="22"/>
                <w:szCs w:val="22"/>
              </w:rPr>
            </w:pPr>
            <w:r w:rsidRPr="00DC72D7">
              <w:rPr>
                <w:rFonts w:ascii="Times New Roman" w:hAnsi="Times New Roman"/>
                <w:spacing w:val="-2"/>
                <w:sz w:val="22"/>
                <w:szCs w:val="22"/>
              </w:rPr>
              <w:t>6.</w:t>
            </w:r>
          </w:p>
        </w:tc>
        <w:tc>
          <w:tcPr>
            <w:tcW w:w="1559" w:type="dxa"/>
            <w:shd w:val="clear" w:color="auto" w:fill="auto"/>
          </w:tcPr>
          <w:p w:rsidR="00DC72D7" w:rsidRPr="00DC72D7" w:rsidRDefault="00DC72D7" w:rsidP="007D5670">
            <w:pPr>
              <w:rPr>
                <w:rFonts w:ascii="Times New Roman" w:hAnsi="Times New Roman"/>
                <w:spacing w:val="-2"/>
                <w:sz w:val="22"/>
                <w:szCs w:val="22"/>
              </w:rPr>
            </w:pPr>
            <w:r w:rsidRPr="00DC72D7">
              <w:rPr>
                <w:rFonts w:ascii="Times New Roman" w:hAnsi="Times New Roman"/>
                <w:spacing w:val="-2"/>
                <w:sz w:val="22"/>
                <w:szCs w:val="22"/>
              </w:rPr>
              <w:t>Lietuvos notarų rūmai</w:t>
            </w:r>
          </w:p>
          <w:p w:rsidR="00DC72D7" w:rsidRPr="00DC72D7" w:rsidRDefault="00DC72D7" w:rsidP="007D5670">
            <w:pPr>
              <w:rPr>
                <w:rFonts w:ascii="Times New Roman" w:hAnsi="Times New Roman"/>
                <w:spacing w:val="-2"/>
                <w:sz w:val="22"/>
                <w:szCs w:val="22"/>
              </w:rPr>
            </w:pPr>
            <w:r w:rsidRPr="00DC72D7">
              <w:rPr>
                <w:rFonts w:ascii="Times New Roman" w:hAnsi="Times New Roman"/>
                <w:spacing w:val="-2"/>
                <w:sz w:val="22"/>
                <w:szCs w:val="22"/>
              </w:rPr>
              <w:t>2019-01-16 raštas Nr. S-26</w:t>
            </w:r>
          </w:p>
        </w:tc>
        <w:tc>
          <w:tcPr>
            <w:tcW w:w="6379" w:type="dxa"/>
          </w:tcPr>
          <w:p w:rsidR="00DC72D7" w:rsidRPr="00DC72D7" w:rsidRDefault="00DC72D7" w:rsidP="00892BD0">
            <w:pPr>
              <w:shd w:val="clear" w:color="auto" w:fill="FFFFFF"/>
              <w:ind w:left="-69"/>
              <w:jc w:val="both"/>
              <w:rPr>
                <w:rFonts w:ascii="Times New Roman" w:hAnsi="Times New Roman"/>
                <w:spacing w:val="-4"/>
                <w:sz w:val="22"/>
                <w:szCs w:val="22"/>
              </w:rPr>
            </w:pPr>
            <w:r w:rsidRPr="00DC72D7">
              <w:rPr>
                <w:rFonts w:ascii="Times New Roman" w:hAnsi="Times New Roman"/>
                <w:i/>
                <w:spacing w:val="-4"/>
                <w:sz w:val="22"/>
                <w:szCs w:val="22"/>
              </w:rPr>
              <w:t>Dėl Projekto 3 straipsnio (Įstatymo 4 straipsnio 13 dalies)</w:t>
            </w:r>
            <w:r w:rsidR="00892BD0">
              <w:rPr>
                <w:rFonts w:ascii="Times New Roman" w:hAnsi="Times New Roman"/>
                <w:i/>
                <w:spacing w:val="-4"/>
                <w:sz w:val="22"/>
                <w:szCs w:val="22"/>
              </w:rPr>
              <w:t xml:space="preserve">. </w:t>
            </w:r>
            <w:r w:rsidRPr="00DC72D7">
              <w:rPr>
                <w:rFonts w:ascii="Times New Roman" w:hAnsi="Times New Roman"/>
                <w:spacing w:val="-4"/>
                <w:sz w:val="22"/>
                <w:szCs w:val="22"/>
              </w:rPr>
              <w:t xml:space="preserve">Projektu siekiama įtvirtinti, kad Lietuvos advokatūra, Lietuvos notarų rūmai, Lietuvos auditorių rūmai, Lietuvos antstolių rūmai ir Lietuvos prabavimo rūmai kauptų ir savo interneto svetainėje viešai skelbtų atitinkamus statistinius duomenis. Pagal Direktyvos 1 straipsnio 22 punktą, valstybės narės paskirtas savireguliavimo organas turi viešai skelbti metinę ataskaitą, su atitinkamai išvardinta informacija. Atkreiptinas dėmesys, kad Lietuvos advokatūra, Lietuvos notarų rūmai, Lietuvos auditorių rūmai, Lietuvos antstolių rūmai ir Lietuvos prabavimo rūmai yra viešieji juridiniai asmenys, kurių teisinė forma yra asociacija, todėl jie visi savo veikloje be kita ko vadovaujasi ir Lietuvos Respublikos asociacijų įstatymu. Pagal Asociacijų įstatymo 10 straipsnio 1 dalį, asociacijos įstatuose nurodytas valdymo organas per įstatuose nustatytą terminą turi parengti ir pateikti visuotiniam narių susirinkimui kiekvienų praėjusių finansinių metų asociacijos veiklos ataskaitą, kuri yra vieša. Pagal to paties straipsnio 4 dalį be kita ko asociacijos veiklos ataskaita turi būti pateikiama juridinių asmenų registro tvarkytojui ir paskelbiama asociacijos interneto svetainėje. Atsižvelgiant į tai, kas išdėstyta, bei vadovaujantis Teisėkūros pagrindų įstatymo 3 straipsnio 2 dalyje įtvirtintais teisėkūros proporcingumo ir efektyvomo principais, manytume, kad minėtų subjektų atveju norimas įtvirtinti teiinis </w:t>
            </w:r>
            <w:r w:rsidRPr="00DC72D7">
              <w:rPr>
                <w:rFonts w:ascii="Times New Roman" w:hAnsi="Times New Roman"/>
                <w:spacing w:val="-4"/>
                <w:sz w:val="22"/>
                <w:szCs w:val="22"/>
              </w:rPr>
              <w:lastRenderedPageBreak/>
              <w:t>reguliavimas būtų perteklinis, nes atitinkamus direktyvos tikslus įgyvendina Asociacijų įstatymo 10 straipsnis, todėl siūlytina Įstatymo papildymo 4 straipsnio 13 dalimi atsisakyti.</w:t>
            </w:r>
          </w:p>
        </w:tc>
        <w:tc>
          <w:tcPr>
            <w:tcW w:w="6378" w:type="dxa"/>
          </w:tcPr>
          <w:p w:rsidR="00DC72D7" w:rsidRPr="00DC72D7" w:rsidRDefault="00DC72D7" w:rsidP="00B332A1">
            <w:pPr>
              <w:shd w:val="clear" w:color="auto" w:fill="FFFFFF"/>
              <w:jc w:val="both"/>
              <w:rPr>
                <w:rFonts w:ascii="Times New Roman" w:hAnsi="Times New Roman"/>
                <w:spacing w:val="-4"/>
                <w:sz w:val="22"/>
                <w:szCs w:val="22"/>
              </w:rPr>
            </w:pPr>
            <w:r w:rsidRPr="00DC72D7">
              <w:rPr>
                <w:rFonts w:ascii="Times New Roman" w:hAnsi="Times New Roman"/>
                <w:b/>
                <w:spacing w:val="-4"/>
                <w:sz w:val="22"/>
                <w:szCs w:val="22"/>
              </w:rPr>
              <w:lastRenderedPageBreak/>
              <w:t>Iš dalies atsižvelgta.</w:t>
            </w:r>
            <w:r w:rsidRPr="00DC72D7">
              <w:rPr>
                <w:rFonts w:ascii="Times New Roman" w:hAnsi="Times New Roman"/>
                <w:spacing w:val="-4"/>
                <w:sz w:val="22"/>
                <w:szCs w:val="22"/>
              </w:rPr>
              <w:t xml:space="preserve"> </w:t>
            </w:r>
          </w:p>
          <w:p w:rsidR="00DC72D7" w:rsidRPr="00DC72D7" w:rsidRDefault="00DC72D7" w:rsidP="00B332A1">
            <w:pPr>
              <w:shd w:val="clear" w:color="auto" w:fill="FFFFFF"/>
              <w:jc w:val="both"/>
              <w:rPr>
                <w:rFonts w:ascii="Times New Roman" w:hAnsi="Times New Roman"/>
                <w:spacing w:val="-4"/>
                <w:sz w:val="22"/>
                <w:szCs w:val="22"/>
              </w:rPr>
            </w:pPr>
            <w:r w:rsidRPr="00DC72D7">
              <w:rPr>
                <w:rFonts w:ascii="Times New Roman" w:hAnsi="Times New Roman"/>
                <w:spacing w:val="-4"/>
                <w:sz w:val="22"/>
                <w:szCs w:val="22"/>
              </w:rPr>
              <w:t>Įstatymo projektas patikslintas nustatant, kad asociacijos nurodytą informaciją skelbia savo metinėse veiklos ataskaitose, kurias rengia</w:t>
            </w:r>
            <w:r w:rsidRPr="00DC72D7">
              <w:rPr>
                <w:rFonts w:ascii="Times New Roman" w:hAnsi="Times New Roman"/>
                <w:sz w:val="22"/>
                <w:szCs w:val="22"/>
              </w:rPr>
              <w:t xml:space="preserve"> </w:t>
            </w:r>
            <w:r w:rsidRPr="00DC72D7">
              <w:rPr>
                <w:rFonts w:ascii="Times New Roman" w:hAnsi="Times New Roman"/>
                <w:spacing w:val="-4"/>
                <w:sz w:val="22"/>
                <w:szCs w:val="22"/>
              </w:rPr>
              <w:t xml:space="preserve">Asociacijų įstatymo 10 straipsnio pagrindu. Įstatymo projekte nustatomas specialus reikalavimas, apibrėžiantis, kokią informaciją savo metinėse veiklos ataskaitose privalo skelbti </w:t>
            </w:r>
            <w:r w:rsidRPr="00DC72D7">
              <w:rPr>
                <w:rFonts w:ascii="Times New Roman" w:hAnsi="Times New Roman"/>
                <w:sz w:val="22"/>
                <w:szCs w:val="22"/>
              </w:rPr>
              <w:t>Lietuvos advokatūra, Lietuvos notarų rūmai, Lietuvos auditorių rūmai, Lietuvos antstolių rūmai ir Lietuvos prabavimo rūmai, kaip institucijos, vykdančios pinigų plovimo ir (ar) teroristų finansavimo prevencijos priemonių įgyvendinimo priežiūrą.</w:t>
            </w:r>
          </w:p>
          <w:p w:rsidR="00DC72D7" w:rsidRPr="00DC72D7" w:rsidRDefault="00DC72D7" w:rsidP="009374A4">
            <w:pPr>
              <w:shd w:val="clear" w:color="auto" w:fill="FFFFFF"/>
              <w:jc w:val="both"/>
              <w:rPr>
                <w:rFonts w:ascii="Times New Roman" w:hAnsi="Times New Roman"/>
                <w:spacing w:val="-4"/>
                <w:sz w:val="22"/>
                <w:szCs w:val="22"/>
              </w:rPr>
            </w:pPr>
          </w:p>
        </w:tc>
      </w:tr>
      <w:tr w:rsidR="00DC72D7" w:rsidRPr="00126CEB" w:rsidTr="00AA506B">
        <w:tc>
          <w:tcPr>
            <w:tcW w:w="534" w:type="dxa"/>
          </w:tcPr>
          <w:p w:rsidR="00DC72D7" w:rsidRPr="00DC72D7" w:rsidRDefault="00DC72D7" w:rsidP="00DB7E6A">
            <w:pPr>
              <w:jc w:val="both"/>
              <w:rPr>
                <w:rFonts w:ascii="Times New Roman" w:hAnsi="Times New Roman"/>
                <w:spacing w:val="-2"/>
                <w:sz w:val="22"/>
                <w:szCs w:val="22"/>
              </w:rPr>
            </w:pPr>
            <w:r w:rsidRPr="00DC72D7">
              <w:rPr>
                <w:rFonts w:ascii="Times New Roman" w:hAnsi="Times New Roman"/>
                <w:spacing w:val="-2"/>
                <w:sz w:val="22"/>
                <w:szCs w:val="22"/>
              </w:rPr>
              <w:t>7.</w:t>
            </w:r>
          </w:p>
        </w:tc>
        <w:tc>
          <w:tcPr>
            <w:tcW w:w="1559" w:type="dxa"/>
            <w:shd w:val="clear" w:color="auto" w:fill="auto"/>
          </w:tcPr>
          <w:p w:rsidR="00DC72D7" w:rsidRPr="00DC72D7" w:rsidRDefault="00DC72D7" w:rsidP="007D5670">
            <w:pPr>
              <w:rPr>
                <w:rFonts w:ascii="Times New Roman" w:hAnsi="Times New Roman"/>
                <w:b/>
                <w:spacing w:val="-2"/>
                <w:sz w:val="22"/>
                <w:szCs w:val="22"/>
              </w:rPr>
            </w:pPr>
          </w:p>
        </w:tc>
        <w:tc>
          <w:tcPr>
            <w:tcW w:w="6379" w:type="dxa"/>
          </w:tcPr>
          <w:p w:rsidR="00DC72D7" w:rsidRPr="00DC72D7" w:rsidRDefault="00DC72D7" w:rsidP="00B332A1">
            <w:pPr>
              <w:shd w:val="clear" w:color="auto" w:fill="FFFFFF"/>
              <w:ind w:left="-69"/>
              <w:jc w:val="both"/>
              <w:rPr>
                <w:rFonts w:ascii="Times New Roman" w:hAnsi="Times New Roman"/>
                <w:sz w:val="22"/>
                <w:szCs w:val="22"/>
              </w:rPr>
            </w:pPr>
            <w:r w:rsidRPr="00DC72D7">
              <w:rPr>
                <w:rFonts w:ascii="Times New Roman" w:hAnsi="Times New Roman"/>
                <w:sz w:val="22"/>
                <w:szCs w:val="22"/>
              </w:rPr>
              <w:t xml:space="preserve">Dėl </w:t>
            </w:r>
            <w:r w:rsidRPr="00DC72D7">
              <w:rPr>
                <w:rFonts w:ascii="Times New Roman" w:hAnsi="Times New Roman"/>
                <w:i/>
                <w:sz w:val="22"/>
                <w:szCs w:val="22"/>
              </w:rPr>
              <w:t>Projekto 20 straipsnio</w:t>
            </w:r>
            <w:r w:rsidR="00892BD0">
              <w:rPr>
                <w:rFonts w:ascii="Times New Roman" w:hAnsi="Times New Roman"/>
                <w:sz w:val="22"/>
                <w:szCs w:val="22"/>
              </w:rPr>
              <w:t xml:space="preserve">. </w:t>
            </w:r>
            <w:r w:rsidRPr="00DC72D7">
              <w:rPr>
                <w:rFonts w:ascii="Times New Roman" w:hAnsi="Times New Roman"/>
                <w:sz w:val="22"/>
                <w:szCs w:val="22"/>
              </w:rPr>
              <w:t>Projektu siekiama papildyti minėtą 28 straipsnio 4 dalį nuostata, kad nurodyti subjektai be kita ko kauptų ir išsamius statistinius duomenis apie žmogiškuosius ir finansinius išteklius, skirtus pinigų plovimo ir (ar) teroristų finansavimo prevencijai. Šiuo papildymu perkeliamas Direktyvos 1 straipsnio 27 punktas, kuriame išdėstyta, kokie statistiniai duomenys turėtų būti siekiant prisidėti rengiant rizikos vertinimą. Tarp išdėstytų reikalavimų kaupti statistinių duomenų nėra duomens apie tai, kad valstybės narės turėtų kaupti duomenis apie finansinius išteklius. Taip pat Projekto aiškinamajame rašte , nepagrįsta, kodėl Įstatymo 4 straipsnio 1-8 dalyse nurodytos institucijos turėtų kaupti šiuo duomenis. Atsižvelgiant į tai, siūlytume atsisakyti reguliavimo, kuris įpareigotų kaupti statistinius duomenis apie finansinius išteklius, ir atitinkamai Projekto 20 straipsnio 1 dalį siūlytume formuluoti taip:</w:t>
            </w:r>
          </w:p>
          <w:p w:rsidR="00DC72D7" w:rsidRPr="00DC72D7" w:rsidRDefault="00DC72D7" w:rsidP="00B332A1">
            <w:pPr>
              <w:shd w:val="clear" w:color="auto" w:fill="FFFFFF"/>
              <w:ind w:left="-69"/>
              <w:jc w:val="both"/>
              <w:rPr>
                <w:rFonts w:ascii="Times New Roman" w:hAnsi="Times New Roman"/>
                <w:sz w:val="22"/>
                <w:szCs w:val="22"/>
              </w:rPr>
            </w:pPr>
            <w:r w:rsidRPr="00DC72D7">
              <w:rPr>
                <w:rFonts w:ascii="Times New Roman" w:hAnsi="Times New Roman"/>
                <w:sz w:val="22"/>
                <w:szCs w:val="22"/>
              </w:rPr>
              <w:t>„1. Pakeisti 28 straipsnio 5 dalį ir ją išdėstyti taip:</w:t>
            </w:r>
          </w:p>
          <w:p w:rsidR="00DC72D7" w:rsidRPr="00DC72D7" w:rsidRDefault="00DC72D7" w:rsidP="00DC72D7">
            <w:pPr>
              <w:shd w:val="clear" w:color="auto" w:fill="FFFFFF"/>
              <w:ind w:left="-69"/>
              <w:jc w:val="both"/>
              <w:rPr>
                <w:rFonts w:ascii="Times New Roman" w:hAnsi="Times New Roman"/>
                <w:sz w:val="22"/>
                <w:szCs w:val="22"/>
              </w:rPr>
            </w:pPr>
            <w:r w:rsidRPr="00DC72D7">
              <w:rPr>
                <w:rFonts w:ascii="Times New Roman" w:hAnsi="Times New Roman"/>
                <w:sz w:val="22"/>
                <w:szCs w:val="22"/>
              </w:rPr>
              <w:t>„5. Šio įstatymo 4 straipsnio 1-8 dalyse nurodytos institucijos šio straipsnio 3 dalyje nurodytu tikslu kaupia išsamius statistinius duomenis, susijusius su sektoriaus dydžiu ir svarba, įskaitant kiekvieno sektoriaus subjektų ir asmenų skaičių bei reikšmę ekonomikai; žmogiškuosius išteklius, skirtus pinigų plovimo ir (ar) teroristų finansavimo prevencijai.“.</w:t>
            </w:r>
          </w:p>
        </w:tc>
        <w:tc>
          <w:tcPr>
            <w:tcW w:w="6378" w:type="dxa"/>
          </w:tcPr>
          <w:p w:rsidR="00DC72D7" w:rsidRPr="00DC72D7" w:rsidRDefault="00DC72D7" w:rsidP="00380164">
            <w:pPr>
              <w:shd w:val="clear" w:color="auto" w:fill="FFFFFF"/>
              <w:jc w:val="both"/>
              <w:rPr>
                <w:rFonts w:ascii="Times New Roman" w:hAnsi="Times New Roman"/>
                <w:b/>
                <w:spacing w:val="-4"/>
                <w:sz w:val="22"/>
                <w:szCs w:val="22"/>
              </w:rPr>
            </w:pPr>
            <w:r w:rsidRPr="00DC72D7">
              <w:rPr>
                <w:rFonts w:ascii="Times New Roman" w:hAnsi="Times New Roman"/>
                <w:b/>
                <w:spacing w:val="-4"/>
                <w:sz w:val="22"/>
                <w:szCs w:val="22"/>
              </w:rPr>
              <w:t>Neatsižvelgta.</w:t>
            </w:r>
          </w:p>
          <w:p w:rsidR="00DC72D7" w:rsidRPr="00DC72D7" w:rsidRDefault="00DC72D7" w:rsidP="00380164">
            <w:pPr>
              <w:shd w:val="clear" w:color="auto" w:fill="FFFFFF"/>
              <w:jc w:val="both"/>
              <w:rPr>
                <w:rFonts w:ascii="Times New Roman" w:hAnsi="Times New Roman"/>
                <w:sz w:val="22"/>
                <w:szCs w:val="22"/>
              </w:rPr>
            </w:pPr>
            <w:r w:rsidRPr="00DC72D7">
              <w:rPr>
                <w:rFonts w:ascii="Times New Roman" w:hAnsi="Times New Roman"/>
                <w:sz w:val="22"/>
                <w:szCs w:val="22"/>
              </w:rPr>
              <w:t>Keičiama Įstatymo projekto 28 straipsnio 4 dalis užtikrina perkėlimą Direktyvos 2018/843  1 straipsnio 4 punkto, pagal kurį 7 straipsnis iš dalies keičiamas taip:</w:t>
            </w:r>
          </w:p>
          <w:p w:rsidR="00DC72D7" w:rsidRPr="00DC72D7" w:rsidRDefault="00DC72D7" w:rsidP="00380164">
            <w:pPr>
              <w:shd w:val="clear" w:color="auto" w:fill="FFFFFF"/>
              <w:jc w:val="both"/>
              <w:rPr>
                <w:rFonts w:ascii="Times New Roman" w:hAnsi="Times New Roman"/>
                <w:spacing w:val="-4"/>
                <w:sz w:val="22"/>
                <w:szCs w:val="22"/>
              </w:rPr>
            </w:pPr>
            <w:r w:rsidRPr="00DC72D7">
              <w:rPr>
                <w:rFonts w:ascii="Times New Roman" w:hAnsi="Times New Roman"/>
                <w:sz w:val="22"/>
                <w:szCs w:val="22"/>
              </w:rPr>
              <w:t>a) 4 dalis papildoma šiais punktais:</w:t>
            </w:r>
          </w:p>
          <w:p w:rsidR="00DC72D7" w:rsidRPr="00DC72D7" w:rsidRDefault="00DC72D7" w:rsidP="00380164">
            <w:pPr>
              <w:shd w:val="clear" w:color="auto" w:fill="FFFFFF"/>
              <w:jc w:val="both"/>
              <w:rPr>
                <w:rFonts w:ascii="Times New Roman" w:hAnsi="Times New Roman"/>
                <w:spacing w:val="-4"/>
                <w:sz w:val="22"/>
                <w:szCs w:val="22"/>
              </w:rPr>
            </w:pPr>
            <w:r w:rsidRPr="00DC72D7">
              <w:rPr>
                <w:rFonts w:ascii="Times New Roman" w:hAnsi="Times New Roman"/>
                <w:spacing w:val="-4"/>
                <w:sz w:val="22"/>
                <w:szCs w:val="22"/>
              </w:rPr>
              <w:t xml:space="preserve">„f) praneša apie savo kovos su pinigų plovimu ir teroristų finansavimu tvarkos institucinę struktūrą ir bendras procedūras, įskaitant, be kita ko, apie FŽP, mokesčių administratorius ir prokurorus, taip pat apie tam </w:t>
            </w:r>
            <w:r w:rsidRPr="00DC72D7">
              <w:rPr>
                <w:rFonts w:ascii="Times New Roman" w:hAnsi="Times New Roman"/>
                <w:spacing w:val="-4"/>
                <w:sz w:val="22"/>
                <w:szCs w:val="22"/>
                <w:u w:val="single"/>
              </w:rPr>
              <w:t>skirtus žmogiškuosius ir finansinius išteklius, jei tokios informacijos esama</w:t>
            </w:r>
            <w:r w:rsidRPr="00DC72D7">
              <w:rPr>
                <w:rFonts w:ascii="Times New Roman" w:hAnsi="Times New Roman"/>
                <w:spacing w:val="-4"/>
                <w:sz w:val="22"/>
                <w:szCs w:val="22"/>
              </w:rPr>
              <w:t>;“</w:t>
            </w:r>
          </w:p>
          <w:p w:rsidR="00DC72D7" w:rsidRPr="00DC72D7" w:rsidRDefault="00DC72D7" w:rsidP="00380164">
            <w:pPr>
              <w:shd w:val="clear" w:color="auto" w:fill="FFFFFF"/>
              <w:jc w:val="both"/>
              <w:rPr>
                <w:rFonts w:ascii="Times New Roman" w:hAnsi="Times New Roman"/>
                <w:spacing w:val="-4"/>
                <w:sz w:val="22"/>
                <w:szCs w:val="22"/>
              </w:rPr>
            </w:pPr>
            <w:r w:rsidRPr="00DC72D7">
              <w:rPr>
                <w:rFonts w:ascii="Times New Roman" w:hAnsi="Times New Roman"/>
                <w:spacing w:val="-4"/>
                <w:sz w:val="22"/>
                <w:szCs w:val="22"/>
              </w:rPr>
              <w:t xml:space="preserve">Pažymėtina, kad formuluotė „jei tokios informacijos esama“ nesudaro prielaidos manyti, kad valstybei narei suteikiama teisė rinktis, ar šią informaciją rinkti. Atsižvelgiant į tai, </w:t>
            </w:r>
            <w:r w:rsidRPr="00DC72D7">
              <w:rPr>
                <w:rFonts w:ascii="Times New Roman" w:hAnsi="Times New Roman"/>
                <w:sz w:val="22"/>
                <w:szCs w:val="22"/>
              </w:rPr>
              <w:t>Įstatymo projekto 28 straipsnio 4 dalies pakeitimo projektas tinkamai perkelia Direktyvos 2018/843  1 straipsnio 4 punktą, pagal kurį keičiamas 7 straipsnis.</w:t>
            </w:r>
          </w:p>
          <w:p w:rsidR="00DC72D7" w:rsidRPr="00DC72D7" w:rsidRDefault="00DC72D7" w:rsidP="00E47A3B">
            <w:pPr>
              <w:shd w:val="clear" w:color="auto" w:fill="FFFFFF"/>
              <w:jc w:val="both"/>
              <w:rPr>
                <w:rFonts w:ascii="Times New Roman" w:hAnsi="Times New Roman"/>
                <w:spacing w:val="-4"/>
                <w:sz w:val="22"/>
                <w:szCs w:val="22"/>
              </w:rPr>
            </w:pPr>
          </w:p>
        </w:tc>
      </w:tr>
      <w:tr w:rsidR="00DC72D7" w:rsidRPr="00126CEB" w:rsidTr="00AA506B">
        <w:tc>
          <w:tcPr>
            <w:tcW w:w="534" w:type="dxa"/>
          </w:tcPr>
          <w:p w:rsidR="00DC72D7" w:rsidRPr="00DC72D7" w:rsidRDefault="00892BD0" w:rsidP="00F157B7">
            <w:pPr>
              <w:jc w:val="both"/>
              <w:rPr>
                <w:rFonts w:ascii="Times New Roman" w:hAnsi="Times New Roman"/>
                <w:spacing w:val="-2"/>
                <w:sz w:val="22"/>
                <w:szCs w:val="22"/>
              </w:rPr>
            </w:pPr>
            <w:r>
              <w:rPr>
                <w:rFonts w:ascii="Times New Roman" w:hAnsi="Times New Roman"/>
                <w:spacing w:val="-2"/>
                <w:sz w:val="22"/>
                <w:szCs w:val="22"/>
              </w:rPr>
              <w:t>8.</w:t>
            </w:r>
          </w:p>
        </w:tc>
        <w:tc>
          <w:tcPr>
            <w:tcW w:w="1559" w:type="dxa"/>
            <w:shd w:val="clear" w:color="auto" w:fill="auto"/>
          </w:tcPr>
          <w:p w:rsidR="00DC72D7" w:rsidRPr="00DC72D7" w:rsidRDefault="00DC72D7" w:rsidP="007D5670">
            <w:pPr>
              <w:rPr>
                <w:rFonts w:ascii="Times New Roman" w:hAnsi="Times New Roman"/>
                <w:spacing w:val="-2"/>
                <w:sz w:val="22"/>
                <w:szCs w:val="22"/>
              </w:rPr>
            </w:pPr>
            <w:r w:rsidRPr="00DC72D7">
              <w:rPr>
                <w:rFonts w:ascii="Times New Roman" w:hAnsi="Times New Roman"/>
                <w:spacing w:val="-2"/>
                <w:sz w:val="22"/>
                <w:szCs w:val="22"/>
              </w:rPr>
              <w:t>Auditorių rūmai</w:t>
            </w:r>
          </w:p>
          <w:p w:rsidR="00DC72D7" w:rsidRPr="00DC72D7" w:rsidRDefault="00DC72D7" w:rsidP="007D5670">
            <w:pPr>
              <w:rPr>
                <w:rFonts w:ascii="Times New Roman" w:hAnsi="Times New Roman"/>
                <w:b/>
                <w:spacing w:val="-2"/>
                <w:sz w:val="22"/>
                <w:szCs w:val="22"/>
              </w:rPr>
            </w:pPr>
            <w:r w:rsidRPr="00DC72D7">
              <w:rPr>
                <w:rFonts w:ascii="Times New Roman" w:hAnsi="Times New Roman"/>
                <w:spacing w:val="-2"/>
                <w:sz w:val="22"/>
                <w:szCs w:val="22"/>
              </w:rPr>
              <w:t>2019-01-04 raštas Nr. 1.9-S0002</w:t>
            </w:r>
          </w:p>
        </w:tc>
        <w:tc>
          <w:tcPr>
            <w:tcW w:w="6379" w:type="dxa"/>
          </w:tcPr>
          <w:p w:rsidR="00DC72D7" w:rsidRPr="00DC72D7" w:rsidRDefault="00DC72D7" w:rsidP="00AE0FBF">
            <w:pPr>
              <w:pStyle w:val="Sraopastraipa"/>
              <w:numPr>
                <w:ilvl w:val="0"/>
                <w:numId w:val="30"/>
              </w:numPr>
              <w:shd w:val="clear" w:color="auto" w:fill="FFFFFF"/>
              <w:jc w:val="both"/>
              <w:rPr>
                <w:rFonts w:ascii="Times New Roman" w:hAnsi="Times New Roman"/>
                <w:spacing w:val="-4"/>
                <w:sz w:val="22"/>
                <w:szCs w:val="22"/>
              </w:rPr>
            </w:pPr>
            <w:r w:rsidRPr="00DC72D7">
              <w:rPr>
                <w:rFonts w:ascii="Times New Roman" w:hAnsi="Times New Roman"/>
                <w:spacing w:val="-4"/>
                <w:sz w:val="22"/>
                <w:szCs w:val="22"/>
              </w:rPr>
              <w:t>įstatymo projekte niekur nėra apibrėžta, kokiais kriterijais remiantis yra nustatomos buhalterinės apskaitos ar mokesčių konsultavimo paslaugas teikiančios įmonės. Mūsų nuomone, tai turėtų būti aiškiai apibrėžta;</w:t>
            </w:r>
          </w:p>
        </w:tc>
        <w:tc>
          <w:tcPr>
            <w:tcW w:w="6378" w:type="dxa"/>
          </w:tcPr>
          <w:p w:rsidR="00DC72D7" w:rsidRPr="00DC72D7" w:rsidRDefault="00DC72D7" w:rsidP="00AE0FBF">
            <w:pPr>
              <w:shd w:val="clear" w:color="auto" w:fill="FFFFFF"/>
              <w:jc w:val="both"/>
              <w:rPr>
                <w:rFonts w:ascii="Times New Roman" w:hAnsi="Times New Roman"/>
                <w:b/>
                <w:spacing w:val="-4"/>
                <w:sz w:val="22"/>
                <w:szCs w:val="22"/>
              </w:rPr>
            </w:pPr>
            <w:r w:rsidRPr="00DC72D7">
              <w:rPr>
                <w:rFonts w:ascii="Times New Roman" w:hAnsi="Times New Roman"/>
                <w:b/>
                <w:spacing w:val="-4"/>
                <w:sz w:val="22"/>
                <w:szCs w:val="22"/>
              </w:rPr>
              <w:t>Neatsižvelgta.</w:t>
            </w:r>
          </w:p>
          <w:p w:rsidR="00DC72D7" w:rsidRPr="00DC72D7" w:rsidRDefault="00DC72D7" w:rsidP="00AE0FBF">
            <w:pPr>
              <w:shd w:val="clear" w:color="auto" w:fill="FFFFFF"/>
              <w:jc w:val="both"/>
              <w:rPr>
                <w:rFonts w:ascii="Times New Roman" w:hAnsi="Times New Roman"/>
                <w:spacing w:val="-4"/>
                <w:sz w:val="22"/>
                <w:szCs w:val="22"/>
              </w:rPr>
            </w:pPr>
            <w:r w:rsidRPr="00DC72D7">
              <w:rPr>
                <w:rFonts w:ascii="Times New Roman" w:hAnsi="Times New Roman"/>
                <w:spacing w:val="-4"/>
                <w:sz w:val="22"/>
                <w:szCs w:val="22"/>
              </w:rPr>
              <w:t>Buhalterinės apskaitos ir mokesčių mokėjimo turinys nustatytas specialiuosiuose įstatymuose, šias paslaugas tretiesiems asmenims teikiančios įmonės yra priskiriamos prie subjektų, įpareigotų vykdyti Įstatymo reikalavimus. Taip pat pažymėtina, kad kitų subjektų, įpareigotų vykdyti Įstatymo reikalavimus (pavyzdžiui, nekilnojamojo turto agentai,  uždaro tipo investicinės bendrovės, antstoliai) apibrėžimai taip pat nėra papildomai nustatomi Įstatyme siekiant nenustatyti priešingų apibrėžčių, nei specialiuosiuose įstatymuose. Atsižvelgiant į tai, kad nustatymas ar įmonė laikytina buhalterinės apskaitos ar mokesčių konsultavimo paslaugas teikiančia įmone, yra fakto klausimas, o šių paslaugų turinys reglamentuotas specialiuosiuose įstatymuose, nėra tikslinga Įstatymo projekte apibrėžti buhalterinės apskaitos ar mokesčių konsultavimo paslaugas teikiančias įmones.</w:t>
            </w:r>
          </w:p>
        </w:tc>
      </w:tr>
      <w:tr w:rsidR="00DC72D7" w:rsidRPr="00126CEB" w:rsidTr="00AA506B">
        <w:tc>
          <w:tcPr>
            <w:tcW w:w="534" w:type="dxa"/>
          </w:tcPr>
          <w:p w:rsidR="00DC72D7" w:rsidRPr="00DC72D7" w:rsidRDefault="00892BD0" w:rsidP="00F157B7">
            <w:pPr>
              <w:jc w:val="both"/>
              <w:rPr>
                <w:rFonts w:ascii="Times New Roman" w:hAnsi="Times New Roman"/>
                <w:spacing w:val="-2"/>
                <w:sz w:val="22"/>
                <w:szCs w:val="22"/>
              </w:rPr>
            </w:pPr>
            <w:r>
              <w:rPr>
                <w:rFonts w:ascii="Times New Roman" w:hAnsi="Times New Roman"/>
                <w:spacing w:val="-2"/>
                <w:sz w:val="22"/>
                <w:szCs w:val="22"/>
              </w:rPr>
              <w:t>9.</w:t>
            </w:r>
          </w:p>
        </w:tc>
        <w:tc>
          <w:tcPr>
            <w:tcW w:w="1559" w:type="dxa"/>
            <w:shd w:val="clear" w:color="auto" w:fill="auto"/>
          </w:tcPr>
          <w:p w:rsidR="00DC72D7" w:rsidRPr="00DC72D7" w:rsidRDefault="00DC72D7" w:rsidP="007D5670">
            <w:pPr>
              <w:rPr>
                <w:rFonts w:ascii="Times New Roman" w:hAnsi="Times New Roman"/>
                <w:b/>
                <w:spacing w:val="-2"/>
                <w:sz w:val="22"/>
                <w:szCs w:val="22"/>
              </w:rPr>
            </w:pPr>
          </w:p>
        </w:tc>
        <w:tc>
          <w:tcPr>
            <w:tcW w:w="6379" w:type="dxa"/>
          </w:tcPr>
          <w:p w:rsidR="00DC72D7" w:rsidRPr="00DC72D7" w:rsidRDefault="00DC72D7" w:rsidP="00D268B2">
            <w:pPr>
              <w:pStyle w:val="Sraopastraipa"/>
              <w:numPr>
                <w:ilvl w:val="0"/>
                <w:numId w:val="30"/>
              </w:numPr>
              <w:shd w:val="clear" w:color="auto" w:fill="FFFFFF"/>
              <w:jc w:val="both"/>
              <w:rPr>
                <w:rFonts w:ascii="Times New Roman" w:hAnsi="Times New Roman"/>
                <w:spacing w:val="-4"/>
                <w:sz w:val="22"/>
                <w:szCs w:val="22"/>
              </w:rPr>
            </w:pPr>
            <w:r w:rsidRPr="00DC72D7">
              <w:rPr>
                <w:rFonts w:ascii="Times New Roman" w:hAnsi="Times New Roman"/>
                <w:spacing w:val="-4"/>
                <w:sz w:val="22"/>
                <w:szCs w:val="22"/>
              </w:rPr>
              <w:t>4</w:t>
            </w:r>
            <w:r w:rsidRPr="00DC72D7">
              <w:rPr>
                <w:rFonts w:ascii="Times New Roman" w:hAnsi="Times New Roman"/>
                <w:spacing w:val="-4"/>
                <w:sz w:val="22"/>
                <w:szCs w:val="22"/>
                <w:vertAlign w:val="superscript"/>
              </w:rPr>
              <w:t>1</w:t>
            </w:r>
            <w:r w:rsidRPr="00DC72D7">
              <w:rPr>
                <w:rFonts w:ascii="Times New Roman" w:hAnsi="Times New Roman"/>
                <w:spacing w:val="-4"/>
                <w:sz w:val="22"/>
                <w:szCs w:val="22"/>
              </w:rPr>
              <w:t xml:space="preserve"> straipsnyje (</w:t>
            </w:r>
            <w:r w:rsidRPr="00DC72D7">
              <w:rPr>
                <w:rFonts w:ascii="Times New Roman" w:hAnsi="Times New Roman"/>
                <w:i/>
                <w:spacing w:val="-4"/>
                <w:sz w:val="22"/>
                <w:szCs w:val="22"/>
              </w:rPr>
              <w:t>Rengėjų pastaba: 14 straipsnio 4</w:t>
            </w:r>
            <w:r w:rsidRPr="00DC72D7">
              <w:rPr>
                <w:rFonts w:ascii="Times New Roman" w:hAnsi="Times New Roman"/>
                <w:i/>
                <w:spacing w:val="-4"/>
                <w:sz w:val="22"/>
                <w:szCs w:val="22"/>
                <w:vertAlign w:val="superscript"/>
              </w:rPr>
              <w:t>1</w:t>
            </w:r>
            <w:r w:rsidRPr="00DC72D7">
              <w:rPr>
                <w:rFonts w:ascii="Times New Roman" w:hAnsi="Times New Roman"/>
                <w:i/>
                <w:spacing w:val="-4"/>
                <w:sz w:val="22"/>
                <w:szCs w:val="22"/>
              </w:rPr>
              <w:t xml:space="preserve"> dalyje</w:t>
            </w:r>
            <w:r w:rsidRPr="00DC72D7">
              <w:rPr>
                <w:rFonts w:ascii="Times New Roman" w:hAnsi="Times New Roman"/>
                <w:spacing w:val="-4"/>
                <w:sz w:val="22"/>
                <w:szCs w:val="22"/>
              </w:rPr>
              <w:t xml:space="preserve">)  nurodoma, </w:t>
            </w:r>
            <w:r w:rsidRPr="00DC72D7">
              <w:rPr>
                <w:rFonts w:ascii="Times New Roman" w:hAnsi="Times New Roman"/>
                <w:spacing w:val="-4"/>
                <w:sz w:val="22"/>
                <w:szCs w:val="22"/>
              </w:rPr>
              <w:lastRenderedPageBreak/>
              <w:t xml:space="preserve">kad taikydami sustiprintą kliento tapatybės nustatymo procedūrą, įpareigotieji subjektai privalo „&lt;...&gt; gauti informacijos apie kliento ir naudos gavėjo lėšų ir turto šaltinį &lt;...&gt; ir &lt;...&gt; gauti informacijos apie numatomų arba įvykdytų sandorių priežastis &lt;...&gt;“. Atkreipiame dėmesį, kad audito įmonėms bus sudėtinga surinkti tokius įrodymus, todėl būtų tikslinga paaiškinti, kokiais būdais ir kokia apimtimi audito įmonė turėtų gauti tokią informaciją. Be to, mūsų nuomone, būtų tikslinga patikslinti, ar reikia gauti informaciją tik apie pagrindinius sandorius ar apie visus sandorius, kadangi audito įmonės gali gauti  informaciją apie didelį kiekį sandorių; </w:t>
            </w:r>
          </w:p>
        </w:tc>
        <w:tc>
          <w:tcPr>
            <w:tcW w:w="6378" w:type="dxa"/>
          </w:tcPr>
          <w:p w:rsidR="00DC72D7" w:rsidRPr="00DC72D7" w:rsidRDefault="00DC72D7" w:rsidP="00D268B2">
            <w:pPr>
              <w:shd w:val="clear" w:color="auto" w:fill="FFFFFF"/>
              <w:jc w:val="both"/>
              <w:rPr>
                <w:rFonts w:ascii="Times New Roman" w:hAnsi="Times New Roman"/>
                <w:b/>
                <w:spacing w:val="-4"/>
                <w:sz w:val="22"/>
                <w:szCs w:val="22"/>
              </w:rPr>
            </w:pPr>
            <w:r w:rsidRPr="00DC72D7">
              <w:rPr>
                <w:rFonts w:ascii="Times New Roman" w:hAnsi="Times New Roman"/>
                <w:b/>
                <w:spacing w:val="-4"/>
                <w:sz w:val="22"/>
                <w:szCs w:val="22"/>
              </w:rPr>
              <w:lastRenderedPageBreak/>
              <w:t>Neatsižvelgta.</w:t>
            </w:r>
          </w:p>
          <w:p w:rsidR="00DC72D7" w:rsidRPr="00DC72D7" w:rsidRDefault="00DC72D7" w:rsidP="00D268B2">
            <w:pPr>
              <w:shd w:val="clear" w:color="auto" w:fill="FFFFFF"/>
              <w:jc w:val="both"/>
              <w:rPr>
                <w:rFonts w:ascii="Times New Roman" w:hAnsi="Times New Roman"/>
                <w:b/>
                <w:spacing w:val="-4"/>
                <w:sz w:val="22"/>
                <w:szCs w:val="22"/>
              </w:rPr>
            </w:pPr>
            <w:r w:rsidRPr="00DC72D7">
              <w:rPr>
                <w:rFonts w:ascii="Times New Roman" w:hAnsi="Times New Roman"/>
                <w:spacing w:val="-4"/>
                <w:sz w:val="22"/>
                <w:szCs w:val="22"/>
              </w:rPr>
              <w:lastRenderedPageBreak/>
              <w:t xml:space="preserve">Pažymėtina, kad Įstatymu nesiekiama apibrėžti rinktinos informacijos turinį ir apimtis pagal tai, kokiai įpareigotųjų subjektų rūšiai priskiriamas subjektas. Įstatymu nustatomos  visiems bendros informacijos turinio ir apimties taisyklės. Tačiau pripažintina, kad kiekvienai įpareigotųjų subjektų grupei praktikoje vykdant įstatymo nuostatas gali būti reikalingi specializuojantys kriterijai. Atsižvelgiant į tai, už pinigų plovimo ir (ar) teroristų finansavimo prevenciją atsakingos institucijos turi teisę (pareigą) konkrečius, prižiūrimų įpareigotųjų subjektų veiklos specifikai tinkančius  kriterijus nustatyti </w:t>
            </w:r>
            <w:r w:rsidRPr="00DC72D7">
              <w:rPr>
                <w:rFonts w:ascii="Times New Roman" w:hAnsi="Times New Roman"/>
                <w:sz w:val="22"/>
                <w:szCs w:val="22"/>
              </w:rPr>
              <w:t>nurodymuose, kuriais siekiama užkirsti kelią pinigų plovimui ir (ar) teroristų finansavimui, tvirtinamais Įstatymo 4 straipsnio pagrindu. Atsižvelgiant į tai, Įstatyme nustatyti</w:t>
            </w:r>
            <w:r w:rsidRPr="00DC72D7">
              <w:rPr>
                <w:rFonts w:ascii="Times New Roman" w:hAnsi="Times New Roman"/>
                <w:spacing w:val="-4"/>
                <w:sz w:val="22"/>
                <w:szCs w:val="22"/>
              </w:rPr>
              <w:t>, kokiais būdais ir kokia apimtimi audito įmonė turėtų gauti informaciją, nėra tikslinga.</w:t>
            </w:r>
          </w:p>
        </w:tc>
      </w:tr>
      <w:tr w:rsidR="00DC72D7" w:rsidRPr="00126CEB" w:rsidTr="00AA506B">
        <w:tc>
          <w:tcPr>
            <w:tcW w:w="534" w:type="dxa"/>
          </w:tcPr>
          <w:p w:rsidR="00DC72D7" w:rsidRPr="00DC72D7" w:rsidRDefault="00892BD0" w:rsidP="00F157B7">
            <w:pPr>
              <w:jc w:val="both"/>
              <w:rPr>
                <w:rFonts w:ascii="Times New Roman" w:hAnsi="Times New Roman"/>
                <w:spacing w:val="-2"/>
                <w:sz w:val="22"/>
                <w:szCs w:val="22"/>
              </w:rPr>
            </w:pPr>
            <w:r>
              <w:rPr>
                <w:rFonts w:ascii="Times New Roman" w:hAnsi="Times New Roman"/>
                <w:spacing w:val="-2"/>
                <w:sz w:val="22"/>
                <w:szCs w:val="22"/>
              </w:rPr>
              <w:lastRenderedPageBreak/>
              <w:t>10.</w:t>
            </w:r>
          </w:p>
        </w:tc>
        <w:tc>
          <w:tcPr>
            <w:tcW w:w="1559" w:type="dxa"/>
            <w:shd w:val="clear" w:color="auto" w:fill="auto"/>
          </w:tcPr>
          <w:p w:rsidR="00DC72D7" w:rsidRPr="00DC72D7" w:rsidRDefault="00DC72D7" w:rsidP="007D5670">
            <w:pPr>
              <w:rPr>
                <w:rFonts w:ascii="Times New Roman" w:hAnsi="Times New Roman"/>
                <w:b/>
                <w:spacing w:val="-2"/>
                <w:sz w:val="22"/>
                <w:szCs w:val="22"/>
              </w:rPr>
            </w:pPr>
          </w:p>
        </w:tc>
        <w:tc>
          <w:tcPr>
            <w:tcW w:w="6379" w:type="dxa"/>
          </w:tcPr>
          <w:p w:rsidR="00DC72D7" w:rsidRPr="00DC72D7" w:rsidRDefault="00DC72D7" w:rsidP="00296340">
            <w:pPr>
              <w:pStyle w:val="Sraopastraipa"/>
              <w:numPr>
                <w:ilvl w:val="0"/>
                <w:numId w:val="30"/>
              </w:numPr>
              <w:shd w:val="clear" w:color="auto" w:fill="FFFFFF"/>
              <w:jc w:val="both"/>
              <w:rPr>
                <w:rFonts w:ascii="Times New Roman" w:hAnsi="Times New Roman"/>
                <w:spacing w:val="-4"/>
                <w:sz w:val="22"/>
                <w:szCs w:val="22"/>
              </w:rPr>
            </w:pPr>
            <w:r w:rsidRPr="00DC72D7">
              <w:rPr>
                <w:rFonts w:ascii="Times New Roman" w:hAnsi="Times New Roman"/>
                <w:spacing w:val="-4"/>
                <w:sz w:val="22"/>
                <w:szCs w:val="22"/>
              </w:rPr>
              <w:t>17 straipsnis papildytas nuostata, kad įpareigotieji subjektai privalo atkreipti dėmesį į „&lt;...&gt; sandorius, kurie vykdomi neįprastu būdu &lt;...&gt;“, tačiau įstatymo projekte nėra paaiškinta, kokie būdai laikytini neįprastais.</w:t>
            </w:r>
          </w:p>
        </w:tc>
        <w:tc>
          <w:tcPr>
            <w:tcW w:w="6378" w:type="dxa"/>
          </w:tcPr>
          <w:p w:rsidR="00DC72D7" w:rsidRPr="00DC72D7" w:rsidRDefault="00DC72D7" w:rsidP="00296340">
            <w:pPr>
              <w:shd w:val="clear" w:color="auto" w:fill="FFFFFF"/>
              <w:jc w:val="both"/>
              <w:rPr>
                <w:rFonts w:ascii="Times New Roman" w:hAnsi="Times New Roman"/>
                <w:b/>
                <w:spacing w:val="-4"/>
                <w:sz w:val="22"/>
                <w:szCs w:val="22"/>
              </w:rPr>
            </w:pPr>
            <w:r w:rsidRPr="00DC72D7">
              <w:rPr>
                <w:rFonts w:ascii="Times New Roman" w:hAnsi="Times New Roman"/>
                <w:b/>
                <w:spacing w:val="-4"/>
                <w:sz w:val="22"/>
                <w:szCs w:val="22"/>
              </w:rPr>
              <w:t>Neatsižvelgta.</w:t>
            </w:r>
          </w:p>
          <w:p w:rsidR="00DC72D7" w:rsidRPr="00DC72D7" w:rsidRDefault="00DC72D7" w:rsidP="00296340">
            <w:pPr>
              <w:shd w:val="clear" w:color="auto" w:fill="FFFFFF"/>
              <w:jc w:val="both"/>
              <w:rPr>
                <w:rFonts w:ascii="Times New Roman" w:hAnsi="Times New Roman"/>
                <w:spacing w:val="-4"/>
                <w:sz w:val="22"/>
                <w:szCs w:val="22"/>
              </w:rPr>
            </w:pPr>
            <w:r w:rsidRPr="00DC72D7">
              <w:rPr>
                <w:rFonts w:ascii="Times New Roman" w:hAnsi="Times New Roman"/>
                <w:spacing w:val="-4"/>
                <w:sz w:val="22"/>
                <w:szCs w:val="22"/>
              </w:rPr>
              <w:t xml:space="preserve">Pažymėtina, kad vadovaujantis Įstatymo 9 straipsnio 14 ir 16 dalimi, </w:t>
            </w:r>
            <w:r w:rsidRPr="00DC72D7">
              <w:rPr>
                <w:rFonts w:ascii="Times New Roman" w:hAnsi="Times New Roman"/>
                <w:sz w:val="22"/>
                <w:szCs w:val="22"/>
              </w:rPr>
              <w:t xml:space="preserve">finansų įstaigos ir kiti įpareigotieji subjektai privalo iš kliento gauti informaciją apie kliento dalykinių santykių tikslą ir numatomą pobūdį, tirti, ar vykdomi sandoriai atitinka finansų įstaigų ar kitų įpareigotųjų subjektų turimą informaciją apie klientą, jo verslą, rizikos pobūdį ir lėšų šaltinį. Taigi finansų įstaigos ir kiti įpareigotieji subjektai turi žinias, kas klientui yra įprasti sandorių vykdymo būdai, ir atitinkamai </w:t>
            </w:r>
            <w:r w:rsidRPr="00DC72D7">
              <w:rPr>
                <w:rFonts w:ascii="Times New Roman" w:hAnsi="Times New Roman"/>
                <w:spacing w:val="-4"/>
                <w:sz w:val="22"/>
                <w:szCs w:val="22"/>
              </w:rPr>
              <w:t>neįprasti būdai. Atsižvelgiant į tai, kad kiekvienas šių atvejų būtų individualus, nėra tikslinga Įstatyme paaiškinta, kokie būdai laikytini neįprastais.</w:t>
            </w:r>
          </w:p>
        </w:tc>
      </w:tr>
      <w:tr w:rsidR="00DC72D7" w:rsidRPr="00126CEB" w:rsidTr="00AA506B">
        <w:tc>
          <w:tcPr>
            <w:tcW w:w="534" w:type="dxa"/>
          </w:tcPr>
          <w:p w:rsidR="00DC72D7" w:rsidRPr="00DC72D7" w:rsidRDefault="00892BD0" w:rsidP="00F157B7">
            <w:pPr>
              <w:jc w:val="both"/>
              <w:rPr>
                <w:rFonts w:ascii="Times New Roman" w:hAnsi="Times New Roman"/>
                <w:spacing w:val="-2"/>
                <w:sz w:val="22"/>
                <w:szCs w:val="22"/>
              </w:rPr>
            </w:pPr>
            <w:r>
              <w:rPr>
                <w:rFonts w:ascii="Times New Roman" w:hAnsi="Times New Roman"/>
                <w:spacing w:val="-2"/>
                <w:sz w:val="22"/>
                <w:szCs w:val="22"/>
              </w:rPr>
              <w:t>11.</w:t>
            </w:r>
          </w:p>
        </w:tc>
        <w:tc>
          <w:tcPr>
            <w:tcW w:w="1559" w:type="dxa"/>
            <w:shd w:val="clear" w:color="auto" w:fill="auto"/>
          </w:tcPr>
          <w:p w:rsidR="00DC72D7" w:rsidRPr="00DC72D7" w:rsidRDefault="00DC72D7" w:rsidP="007D5670">
            <w:pPr>
              <w:rPr>
                <w:rFonts w:ascii="Times New Roman" w:hAnsi="Times New Roman"/>
                <w:spacing w:val="-2"/>
                <w:sz w:val="22"/>
                <w:szCs w:val="22"/>
              </w:rPr>
            </w:pPr>
            <w:r w:rsidRPr="00DC72D7">
              <w:rPr>
                <w:rFonts w:ascii="Times New Roman" w:hAnsi="Times New Roman"/>
                <w:spacing w:val="-2"/>
                <w:sz w:val="22"/>
                <w:szCs w:val="22"/>
              </w:rPr>
              <w:t>Lietuvos advokatūra</w:t>
            </w:r>
          </w:p>
          <w:p w:rsidR="00DC72D7" w:rsidRPr="00DC72D7" w:rsidRDefault="00DC72D7" w:rsidP="007D5670">
            <w:pPr>
              <w:rPr>
                <w:rFonts w:ascii="Times New Roman" w:hAnsi="Times New Roman"/>
                <w:spacing w:val="-2"/>
                <w:sz w:val="22"/>
                <w:szCs w:val="22"/>
              </w:rPr>
            </w:pPr>
            <w:r w:rsidRPr="00DC72D7">
              <w:rPr>
                <w:rFonts w:ascii="Times New Roman" w:hAnsi="Times New Roman"/>
                <w:spacing w:val="-2"/>
                <w:sz w:val="22"/>
                <w:szCs w:val="22"/>
              </w:rPr>
              <w:t>2019-01-28 raštas Nr. 84</w:t>
            </w:r>
          </w:p>
          <w:p w:rsidR="00DC72D7" w:rsidRPr="00DC72D7" w:rsidRDefault="00DC72D7" w:rsidP="007D5670">
            <w:pPr>
              <w:rPr>
                <w:rFonts w:ascii="Times New Roman" w:hAnsi="Times New Roman"/>
                <w:spacing w:val="-2"/>
                <w:sz w:val="22"/>
                <w:szCs w:val="22"/>
              </w:rPr>
            </w:pPr>
          </w:p>
        </w:tc>
        <w:tc>
          <w:tcPr>
            <w:tcW w:w="6379" w:type="dxa"/>
          </w:tcPr>
          <w:p w:rsidR="00DC72D7" w:rsidRPr="00DC72D7" w:rsidRDefault="00DC72D7" w:rsidP="003B268C">
            <w:pPr>
              <w:shd w:val="clear" w:color="auto" w:fill="FFFFFF"/>
              <w:ind w:left="-69"/>
              <w:jc w:val="both"/>
              <w:rPr>
                <w:rFonts w:ascii="Times New Roman" w:hAnsi="Times New Roman"/>
                <w:spacing w:val="-4"/>
                <w:sz w:val="22"/>
                <w:szCs w:val="22"/>
              </w:rPr>
            </w:pPr>
            <w:r w:rsidRPr="00DC72D7">
              <w:rPr>
                <w:rFonts w:ascii="Times New Roman" w:hAnsi="Times New Roman"/>
                <w:spacing w:val="-4"/>
                <w:sz w:val="22"/>
                <w:szCs w:val="22"/>
              </w:rPr>
              <w:t>Taip pat Įstatymo projekto 4 straipsnio 13,14 dalių nuostatose siūlytina atsisakyti formuluočių „per metus“ ir 4 straipsnio 13 bei 14 dalyse įtvirtinti „metinę statistinių duomenų“ formuluotę.</w:t>
            </w:r>
          </w:p>
        </w:tc>
        <w:tc>
          <w:tcPr>
            <w:tcW w:w="6378" w:type="dxa"/>
          </w:tcPr>
          <w:p w:rsidR="00DC72D7" w:rsidRPr="00DC72D7" w:rsidRDefault="00DC72D7" w:rsidP="003B268C">
            <w:pPr>
              <w:shd w:val="clear" w:color="auto" w:fill="FFFFFF"/>
              <w:jc w:val="both"/>
              <w:rPr>
                <w:rFonts w:ascii="Times New Roman" w:hAnsi="Times New Roman"/>
                <w:b/>
                <w:spacing w:val="-4"/>
                <w:sz w:val="22"/>
                <w:szCs w:val="22"/>
              </w:rPr>
            </w:pPr>
            <w:r w:rsidRPr="00DC72D7">
              <w:rPr>
                <w:rFonts w:ascii="Times New Roman" w:hAnsi="Times New Roman"/>
                <w:b/>
                <w:spacing w:val="-4"/>
                <w:sz w:val="22"/>
                <w:szCs w:val="22"/>
              </w:rPr>
              <w:t>Neatsižvelgta.</w:t>
            </w:r>
          </w:p>
          <w:p w:rsidR="00DC72D7" w:rsidRPr="00DC72D7" w:rsidRDefault="00DC72D7" w:rsidP="003B268C">
            <w:pPr>
              <w:shd w:val="clear" w:color="auto" w:fill="FFFFFF"/>
              <w:jc w:val="both"/>
              <w:rPr>
                <w:rFonts w:ascii="Times New Roman" w:hAnsi="Times New Roman"/>
                <w:spacing w:val="-4"/>
                <w:sz w:val="22"/>
                <w:szCs w:val="22"/>
              </w:rPr>
            </w:pPr>
            <w:r w:rsidRPr="00DC72D7">
              <w:rPr>
                <w:rFonts w:ascii="Times New Roman" w:hAnsi="Times New Roman"/>
                <w:spacing w:val="-4"/>
                <w:sz w:val="22"/>
                <w:szCs w:val="22"/>
              </w:rPr>
              <w:t>Atsižvelgiant į tai, kad kitose įstatymo nuostatose naudojamas terminas „per metus“ (28 straipsnio 6 dalies 2 ir 5 punktai), todėl siekiama naudoti analogiškus terminus. Kadangi siūloma formuluotė yra sinonimas terminui „per metus“, nėra poreikio keisti 4 straipsnio 13 bei 14 dalių formuluočių.</w:t>
            </w:r>
          </w:p>
        </w:tc>
      </w:tr>
      <w:tr w:rsidR="00DC72D7" w:rsidRPr="00126CEB" w:rsidTr="00AA506B">
        <w:tc>
          <w:tcPr>
            <w:tcW w:w="534" w:type="dxa"/>
          </w:tcPr>
          <w:p w:rsidR="00DC72D7" w:rsidRPr="00DC72D7" w:rsidRDefault="00892BD0" w:rsidP="00F157B7">
            <w:pPr>
              <w:jc w:val="both"/>
              <w:rPr>
                <w:rFonts w:ascii="Times New Roman" w:hAnsi="Times New Roman"/>
                <w:spacing w:val="-2"/>
                <w:sz w:val="22"/>
                <w:szCs w:val="22"/>
              </w:rPr>
            </w:pPr>
            <w:r>
              <w:rPr>
                <w:rFonts w:ascii="Times New Roman" w:hAnsi="Times New Roman"/>
                <w:spacing w:val="-2"/>
                <w:sz w:val="22"/>
                <w:szCs w:val="22"/>
              </w:rPr>
              <w:t>12.</w:t>
            </w:r>
          </w:p>
        </w:tc>
        <w:tc>
          <w:tcPr>
            <w:tcW w:w="1559" w:type="dxa"/>
            <w:shd w:val="clear" w:color="auto" w:fill="auto"/>
          </w:tcPr>
          <w:p w:rsidR="00DC72D7" w:rsidRPr="00DC72D7" w:rsidRDefault="00DC72D7" w:rsidP="00E41CFA">
            <w:pPr>
              <w:rPr>
                <w:rFonts w:ascii="Times New Roman" w:hAnsi="Times New Roman"/>
                <w:spacing w:val="-2"/>
                <w:sz w:val="22"/>
                <w:szCs w:val="22"/>
              </w:rPr>
            </w:pPr>
            <w:r w:rsidRPr="00DC72D7">
              <w:rPr>
                <w:rFonts w:ascii="Times New Roman" w:hAnsi="Times New Roman"/>
                <w:spacing w:val="-2"/>
                <w:sz w:val="22"/>
                <w:szCs w:val="22"/>
              </w:rPr>
              <w:t>Lietuvos bankų asociacija</w:t>
            </w:r>
          </w:p>
          <w:p w:rsidR="00DC72D7" w:rsidRPr="00DC72D7" w:rsidRDefault="00DC72D7" w:rsidP="00E41CFA">
            <w:pPr>
              <w:rPr>
                <w:rFonts w:ascii="Times New Roman" w:hAnsi="Times New Roman"/>
                <w:b/>
                <w:spacing w:val="-2"/>
                <w:sz w:val="22"/>
                <w:szCs w:val="22"/>
              </w:rPr>
            </w:pPr>
            <w:r w:rsidRPr="00DC72D7">
              <w:rPr>
                <w:rFonts w:ascii="Times New Roman" w:hAnsi="Times New Roman"/>
                <w:spacing w:val="-2"/>
                <w:sz w:val="22"/>
                <w:szCs w:val="22"/>
              </w:rPr>
              <w:t>2019-01-04 raštas Nr. 09/01</w:t>
            </w:r>
          </w:p>
        </w:tc>
        <w:tc>
          <w:tcPr>
            <w:tcW w:w="6379" w:type="dxa"/>
          </w:tcPr>
          <w:p w:rsidR="00DC72D7" w:rsidRPr="00DC72D7" w:rsidRDefault="00DC72D7" w:rsidP="00E41CFA">
            <w:pPr>
              <w:shd w:val="clear" w:color="auto" w:fill="FFFFFF"/>
              <w:ind w:left="-69"/>
              <w:jc w:val="both"/>
              <w:rPr>
                <w:rFonts w:ascii="Times New Roman" w:hAnsi="Times New Roman"/>
                <w:spacing w:val="-4"/>
                <w:sz w:val="22"/>
                <w:szCs w:val="22"/>
              </w:rPr>
            </w:pPr>
            <w:r w:rsidRPr="00DC72D7">
              <w:rPr>
                <w:rFonts w:ascii="Times New Roman" w:hAnsi="Times New Roman"/>
                <w:spacing w:val="-4"/>
                <w:sz w:val="22"/>
                <w:szCs w:val="22"/>
              </w:rPr>
              <w:t>Siūlome įtvirtinti, jog Teisingumo ministerijos sudaromas svarbių viešųjų pareigų Lietuvos Respublikoje sąrašas bei Lietuvos Respublikoje akredituotų tarptautinių organizacijų sudaryti svarbių viešųjų pareigų tokiose tarptautinėse organizacijose surašai būtų skelbiami viešai. Tai sudarytų sąlygas finansų įstaigoms ir kitiems įpareigotiesiems subjektams vienodai traktuoti, kokie asmenys laikytini politiškai pažeidžiamais (paveikiamais) asmenimis, ir padėtų tinkamai įgyvendinti PPTFPĮ įtvirtintus reikalavimus.</w:t>
            </w:r>
          </w:p>
        </w:tc>
        <w:tc>
          <w:tcPr>
            <w:tcW w:w="6378" w:type="dxa"/>
          </w:tcPr>
          <w:p w:rsidR="00DC72D7" w:rsidRPr="00DC72D7" w:rsidRDefault="00DC72D7" w:rsidP="00E41CFA">
            <w:pPr>
              <w:shd w:val="clear" w:color="auto" w:fill="FFFFFF"/>
              <w:jc w:val="both"/>
              <w:rPr>
                <w:rFonts w:ascii="Times New Roman" w:hAnsi="Times New Roman"/>
                <w:b/>
                <w:spacing w:val="-4"/>
                <w:sz w:val="22"/>
                <w:szCs w:val="22"/>
              </w:rPr>
            </w:pPr>
            <w:r w:rsidRPr="00DC72D7">
              <w:rPr>
                <w:rFonts w:ascii="Times New Roman" w:hAnsi="Times New Roman"/>
                <w:b/>
                <w:spacing w:val="-4"/>
                <w:sz w:val="22"/>
                <w:szCs w:val="22"/>
              </w:rPr>
              <w:t>Neatsižvelgta.</w:t>
            </w:r>
          </w:p>
          <w:p w:rsidR="00DC72D7" w:rsidRPr="00DC72D7" w:rsidRDefault="00DC72D7" w:rsidP="00E41CFA">
            <w:pPr>
              <w:shd w:val="clear" w:color="auto" w:fill="FFFFFF"/>
              <w:jc w:val="both"/>
              <w:rPr>
                <w:rFonts w:ascii="Times New Roman" w:hAnsi="Times New Roman"/>
                <w:b/>
                <w:spacing w:val="-4"/>
                <w:sz w:val="22"/>
                <w:szCs w:val="22"/>
              </w:rPr>
            </w:pPr>
            <w:r w:rsidRPr="00DC72D7">
              <w:rPr>
                <w:rFonts w:ascii="Times New Roman" w:hAnsi="Times New Roman"/>
                <w:spacing w:val="-4"/>
                <w:sz w:val="22"/>
                <w:szCs w:val="22"/>
              </w:rPr>
              <w:t xml:space="preserve">Politiškai pažeidžiamais (paveikiamais) asmenimis, kurių atžvilgiu finansų įstaigoms ir kitiems įpareigotiesiems subjektams kyla pareiga taikyti sustiprintas kliento ir naudos gavėjo tapatybės nustatymo priemones, toliau bus laikomi asmenys, nurodyti įstatymo 2 dalies 18-19 dalyse. Teisingumo ministerijos sudaromas sąrašas bus teikiamas tik Europos Komisijai, kuri spręs, ar yra poreikis tikslinti Direktyvos 2015/849 3 straipsnio 9 dalį. T.y. </w:t>
            </w:r>
            <w:r w:rsidRPr="00DC72D7">
              <w:rPr>
                <w:rFonts w:ascii="Times New Roman" w:hAnsi="Times New Roman"/>
                <w:sz w:val="22"/>
                <w:szCs w:val="22"/>
              </w:rPr>
              <w:t xml:space="preserve">Teisingumo ministerijos sudaromas svarbių viešųjų pareigų sąrašas laikytinas patariamuoju Europos </w:t>
            </w:r>
            <w:r w:rsidRPr="00DC72D7">
              <w:rPr>
                <w:rFonts w:ascii="Times New Roman" w:hAnsi="Times New Roman"/>
                <w:sz w:val="22"/>
                <w:szCs w:val="22"/>
              </w:rPr>
              <w:lastRenderedPageBreak/>
              <w:t xml:space="preserve">Komisijai ir neprivalomu </w:t>
            </w:r>
            <w:r w:rsidRPr="00DC72D7">
              <w:rPr>
                <w:rFonts w:ascii="Times New Roman" w:hAnsi="Times New Roman"/>
                <w:spacing w:val="-4"/>
                <w:sz w:val="22"/>
                <w:szCs w:val="22"/>
              </w:rPr>
              <w:t>finansų įstaigoms ir kitiems įpareigotiesiems subjektams.</w:t>
            </w:r>
          </w:p>
        </w:tc>
      </w:tr>
      <w:tr w:rsidR="00DC72D7" w:rsidRPr="00126CEB" w:rsidTr="00AA506B">
        <w:tc>
          <w:tcPr>
            <w:tcW w:w="534" w:type="dxa"/>
          </w:tcPr>
          <w:p w:rsidR="00DC72D7" w:rsidRPr="00DC72D7" w:rsidRDefault="00892BD0" w:rsidP="00F157B7">
            <w:pPr>
              <w:jc w:val="both"/>
              <w:rPr>
                <w:rFonts w:ascii="Times New Roman" w:hAnsi="Times New Roman"/>
                <w:spacing w:val="-2"/>
                <w:sz w:val="22"/>
                <w:szCs w:val="22"/>
              </w:rPr>
            </w:pPr>
            <w:r>
              <w:rPr>
                <w:rFonts w:ascii="Times New Roman" w:hAnsi="Times New Roman"/>
                <w:spacing w:val="-2"/>
                <w:sz w:val="22"/>
                <w:szCs w:val="22"/>
              </w:rPr>
              <w:lastRenderedPageBreak/>
              <w:t>13.</w:t>
            </w:r>
          </w:p>
        </w:tc>
        <w:tc>
          <w:tcPr>
            <w:tcW w:w="1559" w:type="dxa"/>
            <w:shd w:val="clear" w:color="auto" w:fill="auto"/>
          </w:tcPr>
          <w:p w:rsidR="00DC72D7" w:rsidRPr="00DC72D7" w:rsidRDefault="00DC72D7" w:rsidP="007D5670">
            <w:pPr>
              <w:rPr>
                <w:rFonts w:ascii="Times New Roman" w:hAnsi="Times New Roman"/>
                <w:spacing w:val="-2"/>
                <w:sz w:val="22"/>
                <w:szCs w:val="22"/>
              </w:rPr>
            </w:pPr>
          </w:p>
        </w:tc>
        <w:tc>
          <w:tcPr>
            <w:tcW w:w="6379" w:type="dxa"/>
          </w:tcPr>
          <w:p w:rsidR="00DC72D7" w:rsidRPr="00DC72D7" w:rsidRDefault="00DC72D7" w:rsidP="00DC72D7">
            <w:pPr>
              <w:shd w:val="clear" w:color="auto" w:fill="FFFFFF"/>
              <w:ind w:left="-69"/>
              <w:jc w:val="both"/>
              <w:rPr>
                <w:rFonts w:ascii="Times New Roman" w:hAnsi="Times New Roman"/>
                <w:spacing w:val="-4"/>
                <w:sz w:val="22"/>
                <w:szCs w:val="22"/>
              </w:rPr>
            </w:pPr>
            <w:r w:rsidRPr="00DC72D7">
              <w:rPr>
                <w:rFonts w:ascii="Times New Roman" w:hAnsi="Times New Roman"/>
                <w:spacing w:val="-4"/>
                <w:sz w:val="22"/>
                <w:szCs w:val="22"/>
              </w:rPr>
              <w:t>Šis pakeitimas (</w:t>
            </w:r>
            <w:r>
              <w:rPr>
                <w:rFonts w:ascii="Times New Roman" w:hAnsi="Times New Roman"/>
                <w:i/>
                <w:spacing w:val="-4"/>
                <w:sz w:val="22"/>
                <w:szCs w:val="22"/>
              </w:rPr>
              <w:t>rengėjų past. – 9 straipsnio 15 dalies</w:t>
            </w:r>
            <w:r w:rsidRPr="00DC72D7">
              <w:rPr>
                <w:rFonts w:ascii="Times New Roman" w:hAnsi="Times New Roman"/>
                <w:spacing w:val="-4"/>
                <w:sz w:val="22"/>
                <w:szCs w:val="22"/>
              </w:rPr>
              <w:t>) nustato, kad visais atvejais, kuomet kliento naudos gavėju yra laikytinas vyresniojo vadovo pareigas einantis asmuo, finansų įstaiga turėtų atlikti šiame punkte nurodytus veiksmus. Tačiau toks reikalavimas daugeliu atveju gali būti perteklinis, kadangi yra nemažas skaičius juridinio asmens teisinių formų, kurių atveju naudos gavėju yra laikytinas būtent vyresniojo vadovo pareigas einantis asmuo (pavyzdžiui, asociacijos, politinės partijos, daugiabučių gyvenamųjų namų ir kitos paskirties pastatų savininkų bendrijos ir panašiai). Minėtais atvejais ir JADIS kaip naudos gavėjai turėtų būti nurodomi vyresniojo vadovo pareigas einantys asmenys. Atsižvelgiant j tai, siūlytina koreguoti minėtą PPTFPĮ nuostatą, nustatant išimtis, kuomet finansų įstaiga neturėtų pareigos atlikti minėtus veiksmus.</w:t>
            </w:r>
          </w:p>
        </w:tc>
        <w:tc>
          <w:tcPr>
            <w:tcW w:w="6378" w:type="dxa"/>
          </w:tcPr>
          <w:p w:rsidR="00DC72D7" w:rsidRPr="00DC72D7" w:rsidRDefault="00DC72D7" w:rsidP="00556469">
            <w:pPr>
              <w:shd w:val="clear" w:color="auto" w:fill="FFFFFF"/>
              <w:jc w:val="both"/>
              <w:rPr>
                <w:rFonts w:ascii="Times New Roman" w:hAnsi="Times New Roman"/>
                <w:b/>
                <w:spacing w:val="-4"/>
                <w:sz w:val="22"/>
                <w:szCs w:val="22"/>
              </w:rPr>
            </w:pPr>
            <w:r w:rsidRPr="00DC72D7">
              <w:rPr>
                <w:rFonts w:ascii="Times New Roman" w:hAnsi="Times New Roman"/>
                <w:b/>
                <w:spacing w:val="-4"/>
                <w:sz w:val="22"/>
                <w:szCs w:val="22"/>
              </w:rPr>
              <w:t>Neatsižvelgta.</w:t>
            </w:r>
          </w:p>
          <w:p w:rsidR="00DC72D7" w:rsidRPr="00DC72D7" w:rsidRDefault="00DC72D7" w:rsidP="00556469">
            <w:pPr>
              <w:shd w:val="clear" w:color="auto" w:fill="FFFFFF"/>
              <w:jc w:val="both"/>
              <w:rPr>
                <w:rFonts w:ascii="Times New Roman" w:hAnsi="Times New Roman"/>
                <w:spacing w:val="-4"/>
                <w:sz w:val="22"/>
                <w:szCs w:val="22"/>
              </w:rPr>
            </w:pPr>
            <w:r w:rsidRPr="00DC72D7">
              <w:rPr>
                <w:rFonts w:ascii="Times New Roman" w:hAnsi="Times New Roman"/>
                <w:spacing w:val="-4"/>
                <w:sz w:val="22"/>
                <w:szCs w:val="22"/>
              </w:rPr>
              <w:t xml:space="preserve">Įstatymo projekto 9 straipsnio 15 dalies pakeitimu perkeliama Direktyvos 2018/843 8 b punktas, kuriuo keičiamas 13 straipsnis, t.y. 13 straipsnio 1 dalies b punktas papildomas sakiniu „Tais atvejais, kai nustatytas tikrasis savininkas yra vyresnysis vadovas, kaip nurodyta 3 straipsnio 6 dalies a punkto ii papunktyje, įpareigotieji subjektai imasi būtinų pagrįstų priemonių, kad patikrintų vyresniojo vadovo pareigas užimančio fizinio asmens tapatybę, ir saugo įrašus apie atliktus veiksmus ir iškilusius sunkumus patikrinimo proceso metu, jei tokių esama.“ Pažymėtina, kad Direktyva 2018/843 nenurodo galimybės valstybėms narėms taikyti šios nuostatos išimtis. </w:t>
            </w:r>
          </w:p>
          <w:p w:rsidR="00DC72D7" w:rsidRPr="00DC72D7" w:rsidRDefault="00DC72D7" w:rsidP="00556469">
            <w:pPr>
              <w:shd w:val="clear" w:color="auto" w:fill="FFFFFF"/>
              <w:jc w:val="both"/>
              <w:rPr>
                <w:rFonts w:ascii="Times New Roman" w:hAnsi="Times New Roman"/>
                <w:spacing w:val="-4"/>
                <w:sz w:val="22"/>
                <w:szCs w:val="22"/>
              </w:rPr>
            </w:pPr>
            <w:r w:rsidRPr="00DC72D7">
              <w:rPr>
                <w:rFonts w:ascii="Times New Roman" w:hAnsi="Times New Roman"/>
                <w:spacing w:val="-4"/>
                <w:sz w:val="22"/>
                <w:szCs w:val="22"/>
              </w:rPr>
              <w:t>Atkreiptinas dėmesys, kad vyresniojo vadovo pareigas einantis fizinis asmuo naudos gavėju laikomas, jeigu nenustatytas fizinis asmuo, kuriam priklauso juridinis asmuo ar kuris jį valdo tiesiogiai ar netiesiogiai, arba jį kontroliuodamas kitais būdais, jeigu kyla abejonių, kad nustatytas asmuo yra naudos gavėjas. Vadovaujantis Įstatymo projekto 9 straipsnio 15 dalies pakeitimu, šis nustatymo procesas turės būti fiksuojamas.</w:t>
            </w:r>
          </w:p>
        </w:tc>
      </w:tr>
      <w:tr w:rsidR="00DC72D7" w:rsidRPr="00126CEB" w:rsidTr="00AA506B">
        <w:tc>
          <w:tcPr>
            <w:tcW w:w="534" w:type="dxa"/>
          </w:tcPr>
          <w:p w:rsidR="00DC72D7" w:rsidRPr="00DC72D7" w:rsidRDefault="00892BD0" w:rsidP="00F157B7">
            <w:pPr>
              <w:jc w:val="both"/>
              <w:rPr>
                <w:rFonts w:ascii="Times New Roman" w:hAnsi="Times New Roman"/>
                <w:spacing w:val="-2"/>
                <w:sz w:val="22"/>
                <w:szCs w:val="22"/>
              </w:rPr>
            </w:pPr>
            <w:r>
              <w:rPr>
                <w:rFonts w:ascii="Times New Roman" w:hAnsi="Times New Roman"/>
                <w:spacing w:val="-2"/>
                <w:sz w:val="22"/>
                <w:szCs w:val="22"/>
              </w:rPr>
              <w:t>14.</w:t>
            </w:r>
          </w:p>
        </w:tc>
        <w:tc>
          <w:tcPr>
            <w:tcW w:w="1559" w:type="dxa"/>
            <w:shd w:val="clear" w:color="auto" w:fill="auto"/>
          </w:tcPr>
          <w:p w:rsidR="00DC72D7" w:rsidRPr="00DC72D7" w:rsidRDefault="00DC72D7" w:rsidP="007D5670">
            <w:pPr>
              <w:rPr>
                <w:rFonts w:ascii="Times New Roman" w:hAnsi="Times New Roman"/>
                <w:spacing w:val="-2"/>
                <w:sz w:val="22"/>
                <w:szCs w:val="22"/>
              </w:rPr>
            </w:pPr>
            <w:r w:rsidRPr="00DC72D7">
              <w:rPr>
                <w:rFonts w:ascii="Times New Roman" w:hAnsi="Times New Roman"/>
                <w:spacing w:val="-2"/>
                <w:sz w:val="22"/>
                <w:szCs w:val="22"/>
              </w:rPr>
              <w:t>Lietuvos gyvybės draudimo įmonių asociacija</w:t>
            </w:r>
          </w:p>
          <w:p w:rsidR="00DC72D7" w:rsidRPr="00DC72D7" w:rsidRDefault="00DC72D7" w:rsidP="007D5670">
            <w:pPr>
              <w:rPr>
                <w:rFonts w:ascii="Times New Roman" w:hAnsi="Times New Roman"/>
                <w:b/>
                <w:spacing w:val="-2"/>
                <w:sz w:val="22"/>
                <w:szCs w:val="22"/>
              </w:rPr>
            </w:pPr>
            <w:r w:rsidRPr="00DC72D7">
              <w:rPr>
                <w:rFonts w:ascii="Times New Roman" w:hAnsi="Times New Roman"/>
                <w:spacing w:val="-2"/>
                <w:sz w:val="22"/>
                <w:szCs w:val="22"/>
              </w:rPr>
              <w:t>2019-01-14 rašras Nr. V-10-927</w:t>
            </w:r>
          </w:p>
        </w:tc>
        <w:tc>
          <w:tcPr>
            <w:tcW w:w="6379" w:type="dxa"/>
          </w:tcPr>
          <w:p w:rsidR="00DC72D7" w:rsidRPr="00DC72D7" w:rsidRDefault="00DC72D7" w:rsidP="00C01D1D">
            <w:pPr>
              <w:shd w:val="clear" w:color="auto" w:fill="FFFFFF"/>
              <w:ind w:left="-69"/>
              <w:jc w:val="both"/>
              <w:rPr>
                <w:rFonts w:ascii="Times New Roman" w:hAnsi="Times New Roman"/>
                <w:spacing w:val="-4"/>
                <w:sz w:val="22"/>
                <w:szCs w:val="22"/>
              </w:rPr>
            </w:pPr>
            <w:r w:rsidRPr="00DC72D7">
              <w:rPr>
                <w:rFonts w:ascii="Times New Roman" w:hAnsi="Times New Roman"/>
                <w:spacing w:val="-4"/>
                <w:sz w:val="22"/>
                <w:szCs w:val="22"/>
              </w:rPr>
              <w:t>1. Siūlome papildyti 7</w:t>
            </w:r>
            <w:r w:rsidRPr="00892BD0">
              <w:rPr>
                <w:rFonts w:ascii="Times New Roman" w:hAnsi="Times New Roman"/>
                <w:spacing w:val="-4"/>
                <w:sz w:val="22"/>
                <w:szCs w:val="22"/>
                <w:vertAlign w:val="superscript"/>
              </w:rPr>
              <w:t>1</w:t>
            </w:r>
            <w:r w:rsidRPr="00DC72D7">
              <w:rPr>
                <w:rFonts w:ascii="Times New Roman" w:hAnsi="Times New Roman"/>
                <w:spacing w:val="-4"/>
                <w:sz w:val="22"/>
                <w:szCs w:val="22"/>
              </w:rPr>
              <w:t xml:space="preserve"> straipsnio 3 dalį reikalavimu, kad Teisingumo ministerija šiuos sąrašus skelbtų viešai, tai sudarytų sąlygas finansų įstaigoms ir kitiems įpareigotiesiems subjektams tinkamai traktuoti, kokie asmenys yra politiškai pažeidžiami asmenys ir galėtų tinkamai įgyvendinti Įstatymo reikalavimus.</w:t>
            </w:r>
          </w:p>
          <w:p w:rsidR="00DC72D7" w:rsidRPr="00DC72D7" w:rsidRDefault="00DC72D7" w:rsidP="00C01D1D">
            <w:pPr>
              <w:shd w:val="clear" w:color="auto" w:fill="FFFFFF"/>
              <w:ind w:left="-69"/>
              <w:jc w:val="both"/>
              <w:rPr>
                <w:rFonts w:ascii="Times New Roman" w:hAnsi="Times New Roman"/>
                <w:spacing w:val="-4"/>
                <w:sz w:val="22"/>
                <w:szCs w:val="22"/>
              </w:rPr>
            </w:pPr>
            <w:r w:rsidRPr="00DC72D7">
              <w:rPr>
                <w:rFonts w:ascii="Times New Roman" w:hAnsi="Times New Roman"/>
                <w:spacing w:val="-4"/>
                <w:sz w:val="22"/>
                <w:szCs w:val="22"/>
              </w:rPr>
              <w:t>Siūlome Projekto 6 straipsnį išdėstyti taip:</w:t>
            </w:r>
          </w:p>
          <w:p w:rsidR="00DC72D7" w:rsidRPr="00DC72D7" w:rsidRDefault="00DC72D7" w:rsidP="00C01D1D">
            <w:pPr>
              <w:shd w:val="clear" w:color="auto" w:fill="FFFFFF"/>
              <w:ind w:left="-69"/>
              <w:jc w:val="both"/>
              <w:rPr>
                <w:rFonts w:ascii="Times New Roman" w:hAnsi="Times New Roman"/>
                <w:spacing w:val="-4"/>
                <w:sz w:val="22"/>
                <w:szCs w:val="22"/>
              </w:rPr>
            </w:pPr>
            <w:r w:rsidRPr="00DC72D7">
              <w:rPr>
                <w:rFonts w:ascii="Times New Roman" w:hAnsi="Times New Roman"/>
                <w:spacing w:val="-4"/>
                <w:sz w:val="22"/>
                <w:szCs w:val="22"/>
              </w:rPr>
              <w:t>„Papildyti Įstatymą 7</w:t>
            </w:r>
            <w:r w:rsidRPr="00892BD0">
              <w:rPr>
                <w:rFonts w:ascii="Times New Roman" w:hAnsi="Times New Roman"/>
                <w:spacing w:val="-4"/>
                <w:sz w:val="22"/>
                <w:szCs w:val="22"/>
                <w:vertAlign w:val="superscript"/>
              </w:rPr>
              <w:t>1</w:t>
            </w:r>
            <w:r w:rsidRPr="00DC72D7">
              <w:rPr>
                <w:rFonts w:ascii="Times New Roman" w:hAnsi="Times New Roman"/>
                <w:spacing w:val="-4"/>
                <w:sz w:val="22"/>
                <w:szCs w:val="22"/>
              </w:rPr>
              <w:t xml:space="preserve"> straipsniu:</w:t>
            </w:r>
          </w:p>
          <w:p w:rsidR="00DC72D7" w:rsidRPr="00DC72D7" w:rsidRDefault="00DC72D7" w:rsidP="00C01D1D">
            <w:pPr>
              <w:shd w:val="clear" w:color="auto" w:fill="FFFFFF"/>
              <w:ind w:left="-69"/>
              <w:jc w:val="both"/>
              <w:rPr>
                <w:rFonts w:ascii="Times New Roman" w:hAnsi="Times New Roman"/>
                <w:spacing w:val="-4"/>
                <w:sz w:val="22"/>
                <w:szCs w:val="22"/>
              </w:rPr>
            </w:pPr>
            <w:r w:rsidRPr="00DC72D7">
              <w:rPr>
                <w:rFonts w:ascii="Times New Roman" w:hAnsi="Times New Roman"/>
                <w:spacing w:val="-4"/>
                <w:sz w:val="22"/>
                <w:szCs w:val="22"/>
              </w:rPr>
              <w:t>71 straipsnis. Teisingumo ministerijos teisės įgyvendinant pinigų plovimo ir (ar) teroristų finansavimo prevencijos priemones</w:t>
            </w:r>
          </w:p>
          <w:p w:rsidR="00DC72D7" w:rsidRPr="00DC72D7" w:rsidRDefault="00DC72D7" w:rsidP="00C01D1D">
            <w:pPr>
              <w:shd w:val="clear" w:color="auto" w:fill="FFFFFF"/>
              <w:ind w:left="-69"/>
              <w:jc w:val="both"/>
              <w:rPr>
                <w:rFonts w:ascii="Times New Roman" w:hAnsi="Times New Roman"/>
                <w:spacing w:val="-4"/>
                <w:sz w:val="22"/>
                <w:szCs w:val="22"/>
              </w:rPr>
            </w:pPr>
            <w:r w:rsidRPr="00DC72D7">
              <w:rPr>
                <w:rFonts w:ascii="Times New Roman" w:hAnsi="Times New Roman"/>
                <w:spacing w:val="-4"/>
                <w:sz w:val="22"/>
                <w:szCs w:val="22"/>
              </w:rPr>
              <w:t>1. Teisingumo ministerija savo nustatyta tvarka sudaro ir nuolat, ne rečiau kaip kas 4 metus, atnaujina svarbių viešųjų pareigų Lietuvos Respublikoje sąrašą.</w:t>
            </w:r>
          </w:p>
          <w:p w:rsidR="00DC72D7" w:rsidRPr="00DC72D7" w:rsidRDefault="00DC72D7" w:rsidP="00C01D1D">
            <w:pPr>
              <w:shd w:val="clear" w:color="auto" w:fill="FFFFFF"/>
              <w:ind w:left="-69"/>
              <w:jc w:val="both"/>
              <w:rPr>
                <w:rFonts w:ascii="Times New Roman" w:hAnsi="Times New Roman"/>
                <w:spacing w:val="-4"/>
                <w:sz w:val="22"/>
                <w:szCs w:val="22"/>
              </w:rPr>
            </w:pPr>
            <w:r w:rsidRPr="00DC72D7">
              <w:rPr>
                <w:rFonts w:ascii="Times New Roman" w:hAnsi="Times New Roman"/>
                <w:spacing w:val="-4"/>
                <w:sz w:val="22"/>
                <w:szCs w:val="22"/>
              </w:rPr>
              <w:t xml:space="preserve">2. Lietuvos Respublikoje akredituotos tarptautinės organizacijos sudaro ir nuolat, ne rečiau kaip kas 4 metus, atnaujina svarbių viešųjų pareigų toje tarptautinėje organizacijoje sąrašą ir pateikia jį Teisingumo ministerijai. </w:t>
            </w:r>
          </w:p>
          <w:p w:rsidR="00DC72D7" w:rsidRPr="00DC72D7" w:rsidRDefault="00DC72D7" w:rsidP="00C01D1D">
            <w:pPr>
              <w:shd w:val="clear" w:color="auto" w:fill="FFFFFF"/>
              <w:ind w:left="-69"/>
              <w:jc w:val="both"/>
              <w:rPr>
                <w:rFonts w:ascii="Times New Roman" w:hAnsi="Times New Roman"/>
                <w:spacing w:val="-4"/>
                <w:sz w:val="22"/>
                <w:szCs w:val="22"/>
              </w:rPr>
            </w:pPr>
            <w:r w:rsidRPr="00DC72D7">
              <w:rPr>
                <w:rFonts w:ascii="Times New Roman" w:hAnsi="Times New Roman"/>
                <w:spacing w:val="-4"/>
                <w:sz w:val="22"/>
                <w:szCs w:val="22"/>
              </w:rPr>
              <w:t xml:space="preserve">3. Šio straipsnio 1 ir 2 dalyje nurodytus svarbių viešųjų pareigų sąrašus Teisingumo ministerija pateikia Europos Komisijai </w:t>
            </w:r>
            <w:r w:rsidRPr="00DC72D7">
              <w:rPr>
                <w:rFonts w:ascii="Times New Roman" w:hAnsi="Times New Roman"/>
                <w:b/>
                <w:spacing w:val="-4"/>
                <w:sz w:val="22"/>
                <w:szCs w:val="22"/>
              </w:rPr>
              <w:t>ir skelbia viešai</w:t>
            </w:r>
            <w:r w:rsidRPr="00DC72D7">
              <w:rPr>
                <w:rFonts w:ascii="Times New Roman" w:hAnsi="Times New Roman"/>
                <w:spacing w:val="-4"/>
                <w:sz w:val="22"/>
                <w:szCs w:val="22"/>
              </w:rPr>
              <w:t>.“</w:t>
            </w:r>
          </w:p>
        </w:tc>
        <w:tc>
          <w:tcPr>
            <w:tcW w:w="6378" w:type="dxa"/>
          </w:tcPr>
          <w:p w:rsidR="00DC72D7" w:rsidRPr="00DC72D7" w:rsidRDefault="00DC72D7" w:rsidP="00B06908">
            <w:pPr>
              <w:shd w:val="clear" w:color="auto" w:fill="FFFFFF"/>
              <w:jc w:val="both"/>
              <w:rPr>
                <w:rFonts w:ascii="Times New Roman" w:hAnsi="Times New Roman"/>
                <w:b/>
                <w:spacing w:val="-4"/>
                <w:sz w:val="22"/>
                <w:szCs w:val="22"/>
              </w:rPr>
            </w:pPr>
            <w:r w:rsidRPr="00DC72D7">
              <w:rPr>
                <w:rFonts w:ascii="Times New Roman" w:hAnsi="Times New Roman"/>
                <w:b/>
                <w:spacing w:val="-4"/>
                <w:sz w:val="22"/>
                <w:szCs w:val="22"/>
              </w:rPr>
              <w:t>Neatsižvelgta.</w:t>
            </w:r>
          </w:p>
          <w:p w:rsidR="00DC72D7" w:rsidRPr="00DC72D7" w:rsidRDefault="00DC72D7" w:rsidP="00886DB7">
            <w:pPr>
              <w:shd w:val="clear" w:color="auto" w:fill="FFFFFF"/>
              <w:jc w:val="both"/>
              <w:rPr>
                <w:rFonts w:ascii="Times New Roman" w:hAnsi="Times New Roman"/>
                <w:spacing w:val="-4"/>
                <w:sz w:val="22"/>
                <w:szCs w:val="22"/>
              </w:rPr>
            </w:pPr>
            <w:r w:rsidRPr="00DC72D7">
              <w:rPr>
                <w:rFonts w:ascii="Times New Roman" w:hAnsi="Times New Roman"/>
                <w:spacing w:val="-4"/>
                <w:sz w:val="22"/>
                <w:szCs w:val="22"/>
              </w:rPr>
              <w:t xml:space="preserve">Politiškai pažeidžiamais (paveikiamais) asmenimis, kurių atžvilgiu finansų įstaigoms ir kitiems įpareigotiesiems subjektams kyla pareiga taikyti sustiprintas kliento ir naudos gavėjo tapatybės nustatymo priemones, toliau bus nustatomi įstatymu, t.y. asmenys, nurodyti įstatymo 2 dalies 18-19 dalyse. Teisingumo ministerijos sudaromas sąrašas bus teikiamas tik Europos Komisijai, kuri spręs, ar yra poreikis tikslinti Direktyvos 2015/849 3 straipsnio 9 dalį. </w:t>
            </w:r>
            <w:r w:rsidRPr="00DC72D7">
              <w:rPr>
                <w:rFonts w:ascii="Times New Roman" w:hAnsi="Times New Roman"/>
                <w:sz w:val="22"/>
                <w:szCs w:val="22"/>
              </w:rPr>
              <w:t xml:space="preserve">Teisingumo ministerijos sudaromas svarbių viešųjų pareigų sąrašas laikytinas patariamuoju Europos Komisijai ir neprivalomu </w:t>
            </w:r>
            <w:r w:rsidRPr="00DC72D7">
              <w:rPr>
                <w:rFonts w:ascii="Times New Roman" w:hAnsi="Times New Roman"/>
                <w:spacing w:val="-4"/>
                <w:sz w:val="22"/>
                <w:szCs w:val="22"/>
              </w:rPr>
              <w:t>finansų įstaigoms ir kitiems įpareigotiesiems subjektams.</w:t>
            </w:r>
          </w:p>
        </w:tc>
      </w:tr>
      <w:tr w:rsidR="00DC72D7" w:rsidRPr="00126CEB" w:rsidTr="00AA506B">
        <w:tc>
          <w:tcPr>
            <w:tcW w:w="534" w:type="dxa"/>
          </w:tcPr>
          <w:p w:rsidR="00DC72D7" w:rsidRPr="00DC72D7" w:rsidRDefault="00892BD0" w:rsidP="00DB7E6A">
            <w:pPr>
              <w:jc w:val="both"/>
              <w:rPr>
                <w:rFonts w:ascii="Times New Roman" w:hAnsi="Times New Roman"/>
                <w:spacing w:val="-2"/>
                <w:sz w:val="22"/>
                <w:szCs w:val="22"/>
              </w:rPr>
            </w:pPr>
            <w:r>
              <w:rPr>
                <w:rFonts w:ascii="Times New Roman" w:hAnsi="Times New Roman"/>
                <w:spacing w:val="-2"/>
                <w:sz w:val="22"/>
                <w:szCs w:val="22"/>
              </w:rPr>
              <w:t>15.</w:t>
            </w:r>
          </w:p>
        </w:tc>
        <w:tc>
          <w:tcPr>
            <w:tcW w:w="1559" w:type="dxa"/>
            <w:shd w:val="clear" w:color="auto" w:fill="auto"/>
          </w:tcPr>
          <w:p w:rsidR="00DC72D7" w:rsidRPr="00DC72D7" w:rsidRDefault="00DC72D7" w:rsidP="007D5670">
            <w:pPr>
              <w:rPr>
                <w:rFonts w:ascii="Times New Roman" w:hAnsi="Times New Roman"/>
                <w:spacing w:val="-2"/>
                <w:sz w:val="22"/>
                <w:szCs w:val="22"/>
              </w:rPr>
            </w:pPr>
            <w:r w:rsidRPr="00DC72D7">
              <w:rPr>
                <w:rFonts w:ascii="Times New Roman" w:hAnsi="Times New Roman"/>
                <w:spacing w:val="-2"/>
                <w:sz w:val="22"/>
                <w:szCs w:val="22"/>
              </w:rPr>
              <w:t xml:space="preserve">Finansinių paslaugų įmonių </w:t>
            </w:r>
            <w:r w:rsidRPr="00DC72D7">
              <w:rPr>
                <w:rFonts w:ascii="Times New Roman" w:hAnsi="Times New Roman"/>
                <w:spacing w:val="-2"/>
                <w:sz w:val="22"/>
                <w:szCs w:val="22"/>
              </w:rPr>
              <w:lastRenderedPageBreak/>
              <w:t>asociacija „Finco“</w:t>
            </w:r>
          </w:p>
          <w:p w:rsidR="00DC72D7" w:rsidRPr="00DC72D7" w:rsidRDefault="00DC72D7" w:rsidP="007D5670">
            <w:pPr>
              <w:rPr>
                <w:rFonts w:ascii="Times New Roman" w:hAnsi="Times New Roman"/>
                <w:b/>
                <w:spacing w:val="-2"/>
                <w:sz w:val="22"/>
                <w:szCs w:val="22"/>
              </w:rPr>
            </w:pPr>
            <w:r w:rsidRPr="00DC72D7">
              <w:rPr>
                <w:rFonts w:ascii="Times New Roman" w:hAnsi="Times New Roman"/>
                <w:spacing w:val="-2"/>
                <w:sz w:val="22"/>
                <w:szCs w:val="22"/>
              </w:rPr>
              <w:t>2019-01-04 raštas</w:t>
            </w:r>
          </w:p>
        </w:tc>
        <w:tc>
          <w:tcPr>
            <w:tcW w:w="6379" w:type="dxa"/>
          </w:tcPr>
          <w:p w:rsidR="00DC72D7" w:rsidRPr="00DC72D7" w:rsidRDefault="00DC72D7" w:rsidP="002F5A49">
            <w:pPr>
              <w:ind w:left="20" w:right="20"/>
              <w:jc w:val="both"/>
              <w:rPr>
                <w:rFonts w:ascii="Times New Roman" w:hAnsi="Times New Roman"/>
                <w:spacing w:val="-4"/>
                <w:sz w:val="22"/>
                <w:szCs w:val="22"/>
              </w:rPr>
            </w:pPr>
            <w:r w:rsidRPr="00DC72D7">
              <w:rPr>
                <w:rFonts w:ascii="Times New Roman" w:hAnsi="Times New Roman"/>
                <w:spacing w:val="-4"/>
                <w:sz w:val="22"/>
                <w:szCs w:val="22"/>
              </w:rPr>
              <w:lastRenderedPageBreak/>
              <w:t xml:space="preserve">1)Dėl Įstatymo 2 straipsnio 2 punkto pakeitimo (Įstatymo projektu pakeitimai dėl šios Įstatymo nuostatos kol kas nenumatyti) Įstatymo 2 straipsnio 2 dalyje pateikiamas „Artimųjų šeimos narių" apibrėžimas, be </w:t>
            </w:r>
            <w:r w:rsidRPr="00DC72D7">
              <w:rPr>
                <w:rFonts w:ascii="Times New Roman" w:hAnsi="Times New Roman"/>
                <w:spacing w:val="-4"/>
                <w:sz w:val="22"/>
                <w:szCs w:val="22"/>
              </w:rPr>
              <w:lastRenderedPageBreak/>
              <w:t>kita ko, apima brolius ir seseris. Atkreipiame dėmesį, kad nei 4-oji, nei 5-oji AML Direktyva į „Artimųjų šeimos narių" apibrėžimą neįtraukia brolių ir seserų, t.y. Direktyvomis nustatytas „Artimųjų šeimos narių" apibrėžimas yra siauresnis nei nustatytas Įstatymu. Siekiant reguliacinio vienodumo siūlome Įstatymo projektu suvienodinti Įstatymu pateikiamą „Artimųjų šeimos narių“ apibrėžimą su 4-ąja AML Direktyva pateikiamu „Artimųjų šeimos narių" apibrėžimu pašalinant iš Įstatyme pateikiamo apibrėžimo nuorodą į brolius ir seseris. Tokio pakeitimo poreikis yra ypač aktualus politiškai pažeidžiamų (paveikiamų) asmenų nustatymo kontekste, kadangi esant platesnei „Artimųjų šeimos narių" sąvokai tuo pačiu platėja ir nustatomų politiškai pažeidžiamų (paveikiamų) asmenų sąrašas, kurių atžvilgiu turi būti taikomos sustiprintos tapatybės nustatymo ir dalykinių santykių stebėjimo procedūros. 4-oji AML Direktyva nekelia tikslo sustiprintas kliento tapatybės nustatymo procedūras taikyti politiškai pažeidžiamų (paveikiamų) asmenų brolių ir seserų atžvilgiu.</w:t>
            </w:r>
          </w:p>
          <w:p w:rsidR="00DC72D7" w:rsidRPr="00DC72D7" w:rsidRDefault="00DC72D7" w:rsidP="002F5A49">
            <w:pPr>
              <w:ind w:left="20" w:right="20"/>
              <w:jc w:val="both"/>
              <w:rPr>
                <w:rFonts w:ascii="Times New Roman" w:hAnsi="Times New Roman"/>
                <w:spacing w:val="-4"/>
                <w:sz w:val="22"/>
                <w:szCs w:val="22"/>
              </w:rPr>
            </w:pPr>
            <w:r w:rsidRPr="00DC72D7">
              <w:rPr>
                <w:rFonts w:ascii="Times New Roman" w:hAnsi="Times New Roman"/>
                <w:spacing w:val="-4"/>
                <w:sz w:val="22"/>
                <w:szCs w:val="22"/>
              </w:rPr>
              <w:t>Atsižvelgiant į tai, siūlome papildyti Įstatymo projektą įtraukiant į jį nuostatą, kuria būtų patikslinama Įstatymo 2 straipsnio 2 dalies nuostata ją išdėstant taip (lyginamoji versija):</w:t>
            </w:r>
          </w:p>
          <w:p w:rsidR="00DC72D7" w:rsidRPr="00DC72D7" w:rsidRDefault="00DC72D7" w:rsidP="002F5A49">
            <w:pPr>
              <w:ind w:left="20" w:right="20"/>
              <w:jc w:val="both"/>
              <w:rPr>
                <w:rFonts w:ascii="Times New Roman" w:hAnsi="Times New Roman"/>
                <w:spacing w:val="-4"/>
                <w:sz w:val="22"/>
                <w:szCs w:val="22"/>
                <w:highlight w:val="lightGray"/>
              </w:rPr>
            </w:pPr>
            <w:r w:rsidRPr="00DC72D7">
              <w:rPr>
                <w:rFonts w:ascii="Times New Roman" w:hAnsi="Times New Roman"/>
                <w:spacing w:val="-4"/>
                <w:sz w:val="22"/>
                <w:szCs w:val="22"/>
              </w:rPr>
              <w:t xml:space="preserve">„Artimieji šeimos nariai - sutuoktinis, asmuo, su kuriuo registruota partnerystė (toliau - sugyventinis), tėvai, </w:t>
            </w:r>
            <w:r w:rsidRPr="00DC72D7">
              <w:rPr>
                <w:rFonts w:ascii="Times New Roman" w:hAnsi="Times New Roman"/>
                <w:strike/>
                <w:spacing w:val="-4"/>
                <w:sz w:val="22"/>
                <w:szCs w:val="22"/>
              </w:rPr>
              <w:t>broliai, seserys</w:t>
            </w:r>
            <w:r w:rsidRPr="00DC72D7">
              <w:rPr>
                <w:rFonts w:ascii="Times New Roman" w:hAnsi="Times New Roman"/>
                <w:spacing w:val="-4"/>
                <w:sz w:val="22"/>
                <w:szCs w:val="22"/>
              </w:rPr>
              <w:t>, vaikai ir vaikų sutuoktiniai, vaikų sugyventiniai“.</w:t>
            </w:r>
          </w:p>
        </w:tc>
        <w:tc>
          <w:tcPr>
            <w:tcW w:w="6378" w:type="dxa"/>
          </w:tcPr>
          <w:p w:rsidR="00DC72D7" w:rsidRPr="00DC72D7" w:rsidRDefault="00DC72D7" w:rsidP="00380164">
            <w:pPr>
              <w:shd w:val="clear" w:color="auto" w:fill="FFFFFF"/>
              <w:jc w:val="both"/>
              <w:rPr>
                <w:rFonts w:ascii="Times New Roman" w:hAnsi="Times New Roman"/>
                <w:b/>
                <w:spacing w:val="-4"/>
                <w:sz w:val="22"/>
                <w:szCs w:val="22"/>
              </w:rPr>
            </w:pPr>
            <w:r w:rsidRPr="00DC72D7">
              <w:rPr>
                <w:rFonts w:ascii="Times New Roman" w:hAnsi="Times New Roman"/>
                <w:b/>
                <w:spacing w:val="-4"/>
                <w:sz w:val="22"/>
                <w:szCs w:val="22"/>
              </w:rPr>
              <w:lastRenderedPageBreak/>
              <w:t>Neatsižvelgta.</w:t>
            </w:r>
          </w:p>
          <w:p w:rsidR="00DC72D7" w:rsidRPr="00DC72D7" w:rsidRDefault="00DC72D7" w:rsidP="00BE5ADA">
            <w:pPr>
              <w:shd w:val="clear" w:color="auto" w:fill="FFFFFF"/>
              <w:jc w:val="both"/>
              <w:rPr>
                <w:rFonts w:ascii="Times New Roman" w:hAnsi="Times New Roman"/>
                <w:spacing w:val="-4"/>
                <w:sz w:val="22"/>
                <w:szCs w:val="22"/>
              </w:rPr>
            </w:pPr>
            <w:r w:rsidRPr="00DC72D7">
              <w:rPr>
                <w:rFonts w:ascii="Times New Roman" w:hAnsi="Times New Roman"/>
                <w:spacing w:val="-4"/>
                <w:sz w:val="22"/>
                <w:szCs w:val="22"/>
              </w:rPr>
              <w:t xml:space="preserve">Lietuvos nacionalinėje teisėje </w:t>
            </w:r>
            <w:r w:rsidRPr="00DC72D7">
              <w:rPr>
                <w:rFonts w:ascii="Times New Roman" w:hAnsi="Times New Roman"/>
                <w:sz w:val="22"/>
                <w:szCs w:val="22"/>
              </w:rPr>
              <w:t xml:space="preserve">šoninė giminystės linija priskiriama artimiesiems giminaičiams. Vadovaujantis </w:t>
            </w:r>
            <w:r w:rsidRPr="00DC72D7">
              <w:rPr>
                <w:rFonts w:ascii="Times New Roman" w:hAnsi="Times New Roman"/>
                <w:spacing w:val="-4"/>
                <w:sz w:val="22"/>
                <w:szCs w:val="22"/>
              </w:rPr>
              <w:t xml:space="preserve">Lietuvos Respublikos </w:t>
            </w:r>
            <w:r w:rsidRPr="00DC72D7">
              <w:rPr>
                <w:rFonts w:ascii="Times New Roman" w:hAnsi="Times New Roman"/>
                <w:spacing w:val="-4"/>
                <w:sz w:val="22"/>
                <w:szCs w:val="22"/>
              </w:rPr>
              <w:lastRenderedPageBreak/>
              <w:t>civilinio kodekso 3.135 straipsniu, artimaisiais giminaičiais pripažįstami tiesiosios linijos giminaičiai iki antrojo laipsnio imtinai (tėvai ir vaikai, seneliai ir vaikaičiai) ir šoninės linijos antrojo laipsnio giminaičiai (broliai ir seserys). Lietuvos pinigų plovimo ir teroristų finansavimo prevencijos sistemoje, broliai ir seserys laikomi artimaisiais šeimos nariais nuo 2007 m. Siekiant pinigų plovimo ir teroristų finansavimo prevencijos reglamentavimo nuoseklumo ir atsižvelgiant į nacionalinės teisės ypatumus, nėra tikslinga keisti 2 straipsnio 2 punkte nustatyto artimųjų šeimos narių apibrėžimą.</w:t>
            </w:r>
          </w:p>
          <w:p w:rsidR="00DC72D7" w:rsidRPr="00DC72D7" w:rsidRDefault="00DC72D7" w:rsidP="00BE5ADA">
            <w:pPr>
              <w:shd w:val="clear" w:color="auto" w:fill="FFFFFF"/>
              <w:jc w:val="both"/>
              <w:rPr>
                <w:rFonts w:ascii="Times New Roman" w:hAnsi="Times New Roman"/>
                <w:spacing w:val="-4"/>
                <w:sz w:val="22"/>
                <w:szCs w:val="22"/>
              </w:rPr>
            </w:pPr>
          </w:p>
        </w:tc>
      </w:tr>
      <w:tr w:rsidR="00DC72D7" w:rsidRPr="00126CEB" w:rsidTr="00AA506B">
        <w:tc>
          <w:tcPr>
            <w:tcW w:w="534" w:type="dxa"/>
          </w:tcPr>
          <w:p w:rsidR="00DC72D7" w:rsidRPr="00DC72D7" w:rsidRDefault="00892BD0" w:rsidP="00F157B7">
            <w:pPr>
              <w:jc w:val="both"/>
              <w:rPr>
                <w:rFonts w:ascii="Times New Roman" w:hAnsi="Times New Roman"/>
                <w:spacing w:val="-2"/>
                <w:sz w:val="22"/>
                <w:szCs w:val="22"/>
              </w:rPr>
            </w:pPr>
            <w:r>
              <w:rPr>
                <w:rFonts w:ascii="Times New Roman" w:hAnsi="Times New Roman"/>
                <w:spacing w:val="-2"/>
                <w:sz w:val="22"/>
                <w:szCs w:val="22"/>
              </w:rPr>
              <w:lastRenderedPageBreak/>
              <w:t>16.</w:t>
            </w:r>
          </w:p>
        </w:tc>
        <w:tc>
          <w:tcPr>
            <w:tcW w:w="1559" w:type="dxa"/>
            <w:shd w:val="clear" w:color="auto" w:fill="auto"/>
          </w:tcPr>
          <w:p w:rsidR="00DC72D7" w:rsidRPr="00DC72D7" w:rsidRDefault="00DC72D7" w:rsidP="007D5670">
            <w:pPr>
              <w:rPr>
                <w:rFonts w:ascii="Times New Roman" w:hAnsi="Times New Roman"/>
                <w:b/>
                <w:spacing w:val="-2"/>
                <w:sz w:val="22"/>
                <w:szCs w:val="22"/>
              </w:rPr>
            </w:pPr>
          </w:p>
        </w:tc>
        <w:tc>
          <w:tcPr>
            <w:tcW w:w="6379" w:type="dxa"/>
          </w:tcPr>
          <w:p w:rsidR="00DC72D7" w:rsidRPr="00DC72D7" w:rsidRDefault="00DC72D7" w:rsidP="00892BD0">
            <w:pPr>
              <w:shd w:val="clear" w:color="auto" w:fill="FFFFFF"/>
              <w:ind w:left="-69"/>
              <w:jc w:val="both"/>
              <w:rPr>
                <w:rFonts w:ascii="Times New Roman" w:hAnsi="Times New Roman"/>
                <w:spacing w:val="-4"/>
                <w:sz w:val="22"/>
                <w:szCs w:val="22"/>
              </w:rPr>
            </w:pPr>
            <w:r w:rsidRPr="00DC72D7">
              <w:rPr>
                <w:rFonts w:ascii="Times New Roman" w:hAnsi="Times New Roman"/>
                <w:spacing w:val="-4"/>
                <w:sz w:val="22"/>
                <w:szCs w:val="22"/>
              </w:rPr>
              <w:t xml:space="preserve">2) </w:t>
            </w:r>
            <w:r w:rsidR="00892BD0">
              <w:rPr>
                <w:rFonts w:ascii="Times New Roman" w:hAnsi="Times New Roman"/>
                <w:spacing w:val="-4"/>
                <w:sz w:val="22"/>
                <w:szCs w:val="22"/>
              </w:rPr>
              <w:t>&lt;...&gt;</w:t>
            </w:r>
            <w:r w:rsidRPr="00DC72D7">
              <w:rPr>
                <w:rFonts w:ascii="Times New Roman" w:hAnsi="Times New Roman"/>
                <w:spacing w:val="-4"/>
                <w:sz w:val="22"/>
                <w:szCs w:val="22"/>
              </w:rPr>
              <w:t xml:space="preserve"> „Kliento" apibrėžimas kelia praktinių klausimų dėl kliento identifikavimo tuo atveju, kai vartojimo kreditų teikimo ar kitoje finansinių paslaugų teikimo veikloje dalyvauja vartojimo kredito tarpininkai ar kitų finansų įstaigų tarpininkai, su kuriais vartojimo kredito teikėjai ar kitos finansų įstaigos sudaro bendradarbiavimo sutartis, o būtent - laikantis išimtinai pažodinio „Kliento“ nuostatos aiškinimo, šie tarpininkai taip pat patenka į Kliento" apibrėžimo apimtį dėl to, kad sudaro bendradarbiavimo sutartis su finansų įstaiga, t.y. sudaro sandorius.</w:t>
            </w:r>
          </w:p>
          <w:p w:rsidR="00DC72D7" w:rsidRPr="00DC72D7" w:rsidRDefault="00DC72D7" w:rsidP="002F5A49">
            <w:pPr>
              <w:shd w:val="clear" w:color="auto" w:fill="FFFFFF"/>
              <w:ind w:left="-69"/>
              <w:jc w:val="both"/>
              <w:rPr>
                <w:rFonts w:ascii="Times New Roman" w:hAnsi="Times New Roman"/>
                <w:spacing w:val="-4"/>
                <w:sz w:val="22"/>
                <w:szCs w:val="22"/>
              </w:rPr>
            </w:pPr>
            <w:r w:rsidRPr="00DC72D7">
              <w:rPr>
                <w:rFonts w:ascii="Times New Roman" w:hAnsi="Times New Roman"/>
                <w:spacing w:val="-4"/>
                <w:sz w:val="22"/>
                <w:szCs w:val="22"/>
              </w:rPr>
              <w:t>Lietuvos bankas laikosi pozicijos, kad toks išimtinai pažodinis „Kliento" nuostatos aiškinimas nėra teisingas ir finansų įstaigų tarpininkai neturėtų būti laikomi „Klientais" Įstatymo prasme ir, atitinkamai, finansų įstaigoms, kurios sudaro bendradarbiavimo sutartis su tarpininkais, nekyla pareiga nustatyti tarpininkų tapatybę, jų naudos gavėjus bei tarpininkų atžvilgiu taikyti kitas Įstatyme numatytas priemones. Mūsų žiniomis, FNTT laikosi priešingos pozicijos ir „Kliento" sąvoka aiškina plečiamai.</w:t>
            </w:r>
          </w:p>
          <w:p w:rsidR="00DC72D7" w:rsidRPr="00DC72D7" w:rsidRDefault="00DC72D7" w:rsidP="002F5A49">
            <w:pPr>
              <w:shd w:val="clear" w:color="auto" w:fill="FFFFFF"/>
              <w:ind w:left="-69"/>
              <w:jc w:val="both"/>
              <w:rPr>
                <w:rFonts w:ascii="Times New Roman" w:hAnsi="Times New Roman"/>
                <w:spacing w:val="-4"/>
                <w:sz w:val="22"/>
                <w:szCs w:val="22"/>
                <w:highlight w:val="lightGray"/>
              </w:rPr>
            </w:pPr>
            <w:r w:rsidRPr="00DC72D7">
              <w:rPr>
                <w:rFonts w:ascii="Times New Roman" w:hAnsi="Times New Roman"/>
                <w:spacing w:val="-4"/>
                <w:sz w:val="22"/>
                <w:szCs w:val="22"/>
              </w:rPr>
              <w:t xml:space="preserve">Atsižvelgiant į tai ir siekiant suvienodinti aptariamos nuostatos aiškinimą </w:t>
            </w:r>
            <w:r w:rsidRPr="00DC72D7">
              <w:rPr>
                <w:rFonts w:ascii="Times New Roman" w:hAnsi="Times New Roman"/>
                <w:spacing w:val="-4"/>
                <w:sz w:val="22"/>
                <w:szCs w:val="22"/>
              </w:rPr>
              <w:lastRenderedPageBreak/>
              <w:t xml:space="preserve">bei tokiu būdu užtikrinti teisinį aiškumą tiek rinkos dalyviams, tiek priežiūros institucijoms, siūlome papildyti Įstatymo projektą įtraukiant į jį nuostatą, kuria būtų patikslinama Įstatymo 2 straipsnio 11 dalies nuostata ją išdėstant taip (lyginamoji versija): „Klientas - asmuo, atliekantis pinigines operacijas arba sudarantis sandorius su finansų įstaiga ar kitu įpareigotuoju subjektu. </w:t>
            </w:r>
            <w:r w:rsidRPr="00DC72D7">
              <w:rPr>
                <w:rFonts w:ascii="Times New Roman" w:hAnsi="Times New Roman"/>
                <w:b/>
                <w:spacing w:val="-4"/>
                <w:sz w:val="22"/>
                <w:szCs w:val="22"/>
              </w:rPr>
              <w:t>Tuo atveju, jeigu dalykiniai santykiai tarp kliento ir finansų įstaigos ar kito įpareigotojo subjekto yra sudaromi ir/ar palaikomi per teisėtą tarpininką, tarpininkas neturi būti laikomas klientu</w:t>
            </w:r>
            <w:r w:rsidRPr="00DC72D7">
              <w:rPr>
                <w:rFonts w:ascii="Times New Roman" w:hAnsi="Times New Roman"/>
                <w:spacing w:val="-4"/>
                <w:sz w:val="22"/>
                <w:szCs w:val="22"/>
              </w:rPr>
              <w:t>“.</w:t>
            </w:r>
          </w:p>
        </w:tc>
        <w:tc>
          <w:tcPr>
            <w:tcW w:w="6378" w:type="dxa"/>
          </w:tcPr>
          <w:p w:rsidR="00DC72D7" w:rsidRPr="00DC72D7" w:rsidRDefault="00DC72D7" w:rsidP="002F5A49">
            <w:pPr>
              <w:shd w:val="clear" w:color="auto" w:fill="FFFFFF"/>
              <w:jc w:val="both"/>
              <w:rPr>
                <w:rFonts w:ascii="Times New Roman" w:hAnsi="Times New Roman"/>
                <w:b/>
                <w:spacing w:val="-4"/>
                <w:sz w:val="22"/>
                <w:szCs w:val="22"/>
              </w:rPr>
            </w:pPr>
            <w:r w:rsidRPr="00DC72D7">
              <w:rPr>
                <w:rFonts w:ascii="Times New Roman" w:hAnsi="Times New Roman"/>
                <w:b/>
                <w:spacing w:val="-4"/>
                <w:sz w:val="22"/>
                <w:szCs w:val="22"/>
              </w:rPr>
              <w:lastRenderedPageBreak/>
              <w:t>Neatsižvelgta.</w:t>
            </w:r>
          </w:p>
          <w:p w:rsidR="00DC72D7" w:rsidRPr="00DC72D7" w:rsidRDefault="00DC72D7" w:rsidP="00EA5996">
            <w:pPr>
              <w:shd w:val="clear" w:color="auto" w:fill="FFFFFF"/>
              <w:jc w:val="both"/>
              <w:rPr>
                <w:rFonts w:ascii="Times New Roman" w:hAnsi="Times New Roman"/>
                <w:spacing w:val="-4"/>
                <w:sz w:val="22"/>
                <w:szCs w:val="22"/>
              </w:rPr>
            </w:pPr>
            <w:r w:rsidRPr="00DC72D7">
              <w:rPr>
                <w:rFonts w:ascii="Times New Roman" w:hAnsi="Times New Roman"/>
                <w:spacing w:val="-4"/>
                <w:sz w:val="22"/>
                <w:szCs w:val="22"/>
              </w:rPr>
              <w:t>Įstatymo 2 straipsnio 11 dalyje įtvirtinta kliento sąvoka, įgyvendinant Ekonominio bendradarbiavimo ir plėtros organizacijos (EBPO) darbo grupės rekomendacijas iš kliento sąvokos panaikinti išimtis, buvo  tikslinta 2018 m. birželio 30 d. įstatymu Nr. XIII-1440. Pažymėtina, kad EBPO darbo grupė, taip pat Moneyval komiteto ekspertai kritikavo išimčių nustatymą kliento sąvokoje, kadangi tai gali sudaryti kliūtis nustatant pinigų plovimo atvejus. Atkreiptinas dėmesys, kad nagrinėjama pastaba vėl siūloma įtvirtinti tam tikras išimtis kliento sąvokoje, t.y. nustatyti, kad tuo atveju, jeigu dalykiniai santykiai tarp kliento ir finansų įstaigos ar kito įpareigotojo subjekto yra sudaromi ir/ar palaikomi per teisėtą tarpininką, tarpininkas neturi būti laikomas klientu. Manytina, kad siūloma išimtis yra nepagrįsta tarptautiniais standartais, o jos įtvirtinimas įstatymo lygiu gali vėl sukelti EBPO darbo grupės ar Moneyval komiteto ekspertų pastabas dėl išimčių nustatymo kliento sąvokoje. Atsižvelgiant į tai, nėra pagrindo keisti kliento sąvokos pagal siūlomą formuluotę.</w:t>
            </w:r>
          </w:p>
        </w:tc>
      </w:tr>
      <w:tr w:rsidR="00DC72D7" w:rsidRPr="00126CEB" w:rsidTr="00AA506B">
        <w:tc>
          <w:tcPr>
            <w:tcW w:w="534" w:type="dxa"/>
          </w:tcPr>
          <w:p w:rsidR="00DC72D7" w:rsidRPr="00DC72D7" w:rsidRDefault="00892BD0" w:rsidP="00F157B7">
            <w:pPr>
              <w:jc w:val="both"/>
              <w:rPr>
                <w:rFonts w:ascii="Times New Roman" w:hAnsi="Times New Roman"/>
                <w:spacing w:val="-2"/>
                <w:sz w:val="22"/>
                <w:szCs w:val="22"/>
              </w:rPr>
            </w:pPr>
            <w:r>
              <w:rPr>
                <w:rFonts w:ascii="Times New Roman" w:hAnsi="Times New Roman"/>
                <w:spacing w:val="-2"/>
                <w:sz w:val="22"/>
                <w:szCs w:val="22"/>
              </w:rPr>
              <w:t>17.</w:t>
            </w:r>
          </w:p>
        </w:tc>
        <w:tc>
          <w:tcPr>
            <w:tcW w:w="1559" w:type="dxa"/>
            <w:shd w:val="clear" w:color="auto" w:fill="auto"/>
          </w:tcPr>
          <w:p w:rsidR="00DC72D7" w:rsidRPr="00DC72D7" w:rsidRDefault="00DC72D7" w:rsidP="007D5670">
            <w:pPr>
              <w:rPr>
                <w:rFonts w:ascii="Times New Roman" w:hAnsi="Times New Roman"/>
                <w:b/>
                <w:spacing w:val="-2"/>
                <w:sz w:val="22"/>
                <w:szCs w:val="22"/>
              </w:rPr>
            </w:pPr>
          </w:p>
        </w:tc>
        <w:tc>
          <w:tcPr>
            <w:tcW w:w="6379" w:type="dxa"/>
          </w:tcPr>
          <w:p w:rsidR="00DC72D7" w:rsidRPr="00DC72D7" w:rsidRDefault="00DC72D7" w:rsidP="00A953BB">
            <w:pPr>
              <w:shd w:val="clear" w:color="auto" w:fill="FFFFFF"/>
              <w:ind w:left="-69"/>
              <w:jc w:val="both"/>
              <w:rPr>
                <w:rFonts w:ascii="Times New Roman" w:hAnsi="Times New Roman"/>
                <w:spacing w:val="-4"/>
                <w:sz w:val="22"/>
                <w:szCs w:val="22"/>
              </w:rPr>
            </w:pPr>
            <w:r w:rsidRPr="00DC72D7">
              <w:rPr>
                <w:rFonts w:ascii="Times New Roman" w:hAnsi="Times New Roman"/>
                <w:spacing w:val="-4"/>
                <w:sz w:val="22"/>
                <w:szCs w:val="22"/>
              </w:rPr>
              <w:t>4) Atsižvelgiant į šiuos argumentus, siūlome papildyti Įstatymo projektą įtraukiant į jį nuostatą, kuria būtų patikslinama Įstatymo 10 straipsnio 2 dalies nuostata ją išdėstant taip (lyginamoji versija):</w:t>
            </w:r>
          </w:p>
          <w:p w:rsidR="00DC72D7" w:rsidRPr="00DC72D7" w:rsidRDefault="00DC72D7" w:rsidP="00A953BB">
            <w:pPr>
              <w:shd w:val="clear" w:color="auto" w:fill="FFFFFF"/>
              <w:ind w:left="-69"/>
              <w:jc w:val="both"/>
              <w:rPr>
                <w:rFonts w:ascii="Times New Roman" w:hAnsi="Times New Roman"/>
                <w:spacing w:val="-4"/>
                <w:sz w:val="22"/>
                <w:szCs w:val="22"/>
              </w:rPr>
            </w:pPr>
            <w:r w:rsidRPr="00DC72D7">
              <w:rPr>
                <w:rFonts w:ascii="Times New Roman" w:hAnsi="Times New Roman"/>
                <w:spacing w:val="-4"/>
                <w:sz w:val="22"/>
                <w:szCs w:val="22"/>
              </w:rPr>
              <w:t xml:space="preserve">„Finansų įstaigos ir kiti įpareigotieji subjektai, nustatydami kliento - juridinio asmens tapatybę, reikalauja jo tapatybę patvirtinančių dokumentų arba šių dokumentų kopijų su notaro liudijimu, patvirtinančiu dokumento kopijos tikrumą, </w:t>
            </w:r>
            <w:r w:rsidRPr="00DC72D7">
              <w:rPr>
                <w:rFonts w:ascii="Times New Roman" w:hAnsi="Times New Roman"/>
                <w:b/>
                <w:spacing w:val="-4"/>
                <w:sz w:val="22"/>
                <w:szCs w:val="22"/>
              </w:rPr>
              <w:t>arba kliento - juridinio asmens tapatybę nustato remiantis oficialiu registro ar iš duomenų bazės gautu elektroninės formos išrašu,</w:t>
            </w:r>
            <w:r w:rsidRPr="00DC72D7">
              <w:rPr>
                <w:rFonts w:ascii="Times New Roman" w:hAnsi="Times New Roman"/>
                <w:spacing w:val="-4"/>
                <w:sz w:val="22"/>
                <w:szCs w:val="22"/>
              </w:rPr>
              <w:t xml:space="preserve"> kuriuose yra šie duomenys:</w:t>
            </w:r>
          </w:p>
          <w:p w:rsidR="00DC72D7" w:rsidRPr="00DC72D7" w:rsidRDefault="00DC72D7" w:rsidP="00A953BB">
            <w:pPr>
              <w:shd w:val="clear" w:color="auto" w:fill="FFFFFF"/>
              <w:ind w:left="-69"/>
              <w:jc w:val="both"/>
              <w:rPr>
                <w:rFonts w:ascii="Times New Roman" w:hAnsi="Times New Roman"/>
                <w:spacing w:val="-4"/>
                <w:sz w:val="22"/>
                <w:szCs w:val="22"/>
              </w:rPr>
            </w:pPr>
            <w:r w:rsidRPr="00DC72D7">
              <w:rPr>
                <w:rFonts w:ascii="Times New Roman" w:hAnsi="Times New Roman"/>
                <w:spacing w:val="-4"/>
                <w:sz w:val="22"/>
                <w:szCs w:val="22"/>
              </w:rPr>
              <w:t>1) pavadinimas;</w:t>
            </w:r>
          </w:p>
          <w:p w:rsidR="00DC72D7" w:rsidRPr="00DC72D7" w:rsidRDefault="00DC72D7" w:rsidP="00A953BB">
            <w:pPr>
              <w:shd w:val="clear" w:color="auto" w:fill="FFFFFF"/>
              <w:ind w:left="-69"/>
              <w:jc w:val="both"/>
              <w:rPr>
                <w:rFonts w:ascii="Times New Roman" w:hAnsi="Times New Roman"/>
                <w:spacing w:val="-4"/>
                <w:sz w:val="22"/>
                <w:szCs w:val="22"/>
              </w:rPr>
            </w:pPr>
            <w:r w:rsidRPr="00DC72D7">
              <w:rPr>
                <w:rFonts w:ascii="Times New Roman" w:hAnsi="Times New Roman"/>
                <w:spacing w:val="-4"/>
                <w:sz w:val="22"/>
                <w:szCs w:val="22"/>
              </w:rPr>
              <w:t>2) teisinė forma, buveinė (adresas), faktinės veiklos vykdymo adresas;</w:t>
            </w:r>
          </w:p>
          <w:p w:rsidR="00DC72D7" w:rsidRPr="00DC72D7" w:rsidRDefault="00DC72D7" w:rsidP="00A953BB">
            <w:pPr>
              <w:shd w:val="clear" w:color="auto" w:fill="FFFFFF"/>
              <w:ind w:left="-69"/>
              <w:jc w:val="both"/>
              <w:rPr>
                <w:rFonts w:ascii="Times New Roman" w:hAnsi="Times New Roman"/>
                <w:spacing w:val="-4"/>
                <w:sz w:val="22"/>
                <w:szCs w:val="22"/>
              </w:rPr>
            </w:pPr>
            <w:r w:rsidRPr="00DC72D7">
              <w:rPr>
                <w:rFonts w:ascii="Times New Roman" w:hAnsi="Times New Roman"/>
                <w:spacing w:val="-4"/>
                <w:sz w:val="22"/>
                <w:szCs w:val="22"/>
              </w:rPr>
              <w:t>3) kodas (jeigu toks kodas yra suteiktas);.</w:t>
            </w:r>
          </w:p>
          <w:p w:rsidR="00DC72D7" w:rsidRPr="00DC72D7" w:rsidRDefault="00DC72D7" w:rsidP="00A953BB">
            <w:pPr>
              <w:shd w:val="clear" w:color="auto" w:fill="FFFFFF"/>
              <w:ind w:left="-69"/>
              <w:jc w:val="both"/>
              <w:rPr>
                <w:rFonts w:ascii="Times New Roman" w:hAnsi="Times New Roman"/>
                <w:spacing w:val="-4"/>
                <w:sz w:val="22"/>
                <w:szCs w:val="22"/>
              </w:rPr>
            </w:pPr>
            <w:r w:rsidRPr="00DC72D7">
              <w:rPr>
                <w:rFonts w:ascii="Times New Roman" w:hAnsi="Times New Roman"/>
                <w:strike/>
                <w:spacing w:val="-4"/>
                <w:sz w:val="22"/>
                <w:szCs w:val="22"/>
              </w:rPr>
              <w:t>4) registracijos išrašas ir jo išdavimo data</w:t>
            </w:r>
            <w:r w:rsidRPr="00DC72D7">
              <w:rPr>
                <w:rFonts w:ascii="Times New Roman" w:hAnsi="Times New Roman"/>
                <w:spacing w:val="-4"/>
                <w:sz w:val="22"/>
                <w:szCs w:val="22"/>
              </w:rPr>
              <w:t>.“</w:t>
            </w:r>
          </w:p>
        </w:tc>
        <w:tc>
          <w:tcPr>
            <w:tcW w:w="6378" w:type="dxa"/>
          </w:tcPr>
          <w:p w:rsidR="00DC72D7" w:rsidRPr="00DC72D7" w:rsidRDefault="00DC72D7" w:rsidP="00417996">
            <w:pPr>
              <w:shd w:val="clear" w:color="auto" w:fill="FFFFFF"/>
              <w:jc w:val="both"/>
              <w:rPr>
                <w:rFonts w:ascii="Times New Roman" w:hAnsi="Times New Roman"/>
                <w:b/>
                <w:spacing w:val="-4"/>
                <w:sz w:val="22"/>
                <w:szCs w:val="22"/>
              </w:rPr>
            </w:pPr>
            <w:r w:rsidRPr="00DC72D7">
              <w:rPr>
                <w:rFonts w:ascii="Times New Roman" w:hAnsi="Times New Roman"/>
                <w:b/>
                <w:spacing w:val="-4"/>
                <w:sz w:val="22"/>
                <w:szCs w:val="22"/>
              </w:rPr>
              <w:t>Iš dalies atsižvelgta.</w:t>
            </w:r>
          </w:p>
          <w:p w:rsidR="00DC72D7" w:rsidRPr="00DC72D7" w:rsidRDefault="00DC72D7" w:rsidP="00610EFE">
            <w:pPr>
              <w:shd w:val="clear" w:color="auto" w:fill="FFFFFF"/>
              <w:jc w:val="both"/>
              <w:rPr>
                <w:rFonts w:ascii="Times New Roman" w:hAnsi="Times New Roman"/>
                <w:spacing w:val="-4"/>
                <w:sz w:val="22"/>
                <w:szCs w:val="22"/>
              </w:rPr>
            </w:pPr>
            <w:r w:rsidRPr="00DC72D7">
              <w:rPr>
                <w:rFonts w:ascii="Times New Roman" w:hAnsi="Times New Roman"/>
                <w:spacing w:val="-4"/>
                <w:sz w:val="22"/>
                <w:szCs w:val="22"/>
              </w:rPr>
              <w:t>Siūlomos nuostatos dėl tapatybės duomenų surinkimo tiesiogiai iš registrų ir informacinių sistemų yra įtrauktos į Lietuvos Respublikos finansų ministerijos parengtą Lietuvos Respublikos pinigų plovimo ir teroristų finansavimo prevencijos įstatymo Nr. VIII-275 2, 7, 9, 10, 19, 20, 49 straipsnių, priedo pakeitimo ir Įstatymo papildymo 25</w:t>
            </w:r>
            <w:r w:rsidRPr="00DC72D7">
              <w:rPr>
                <w:rFonts w:ascii="Times New Roman" w:hAnsi="Times New Roman"/>
                <w:spacing w:val="-4"/>
                <w:sz w:val="22"/>
                <w:szCs w:val="22"/>
                <w:vertAlign w:val="superscript"/>
              </w:rPr>
              <w:t>1</w:t>
            </w:r>
            <w:r w:rsidRPr="00DC72D7">
              <w:rPr>
                <w:rFonts w:ascii="Times New Roman" w:hAnsi="Times New Roman"/>
                <w:spacing w:val="-4"/>
                <w:sz w:val="22"/>
                <w:szCs w:val="22"/>
              </w:rPr>
              <w:t xml:space="preserve"> ir 25</w:t>
            </w:r>
            <w:r w:rsidRPr="00DC72D7">
              <w:rPr>
                <w:rFonts w:ascii="Times New Roman" w:hAnsi="Times New Roman"/>
                <w:spacing w:val="-4"/>
                <w:sz w:val="22"/>
                <w:szCs w:val="22"/>
                <w:vertAlign w:val="superscript"/>
              </w:rPr>
              <w:t>2</w:t>
            </w:r>
            <w:r w:rsidRPr="00DC72D7">
              <w:rPr>
                <w:rFonts w:ascii="Times New Roman" w:hAnsi="Times New Roman"/>
                <w:spacing w:val="-4"/>
                <w:sz w:val="22"/>
                <w:szCs w:val="22"/>
              </w:rPr>
              <w:t xml:space="preserve"> straipsniais įstatymo projektą Nr. 18-11161(2). Atsižvelgiant į tai, nėra tikslinga pakartotinai jas įtraukti į Įstatymo projektą. </w:t>
            </w:r>
          </w:p>
          <w:p w:rsidR="00DC72D7" w:rsidRPr="00DC72D7" w:rsidRDefault="00DC72D7" w:rsidP="00DC72D7">
            <w:pPr>
              <w:shd w:val="clear" w:color="auto" w:fill="FFFFFF"/>
              <w:jc w:val="both"/>
              <w:rPr>
                <w:rFonts w:ascii="Times New Roman" w:hAnsi="Times New Roman"/>
                <w:spacing w:val="-4"/>
                <w:sz w:val="22"/>
                <w:szCs w:val="22"/>
              </w:rPr>
            </w:pPr>
            <w:r w:rsidRPr="00DC72D7">
              <w:rPr>
                <w:rFonts w:ascii="Times New Roman" w:hAnsi="Times New Roman"/>
                <w:spacing w:val="-4"/>
                <w:sz w:val="22"/>
                <w:szCs w:val="22"/>
              </w:rPr>
              <w:t>Registracijos išraše fiksuojama visa svarbiausia informacija apie juridinį asmenį, todėl tai svarbus dokumentas vykdant kliento tapatybės nustatymą, ypač klientų - užsienio juridinių asmenų atžvilgiu. Atsižvelgiant į tai, registracijos išrašo ir jo išdavimo datos atsisakymas susilpnintų juridinio asmens tapatybės nustatymą.</w:t>
            </w:r>
          </w:p>
        </w:tc>
      </w:tr>
      <w:tr w:rsidR="00DC72D7" w:rsidRPr="00126CEB" w:rsidTr="00AA506B">
        <w:tc>
          <w:tcPr>
            <w:tcW w:w="534" w:type="dxa"/>
          </w:tcPr>
          <w:p w:rsidR="00DC72D7" w:rsidRPr="00DC72D7" w:rsidRDefault="00892BD0" w:rsidP="00F157B7">
            <w:pPr>
              <w:jc w:val="both"/>
              <w:rPr>
                <w:rFonts w:ascii="Times New Roman" w:hAnsi="Times New Roman"/>
                <w:spacing w:val="-2"/>
                <w:sz w:val="22"/>
                <w:szCs w:val="22"/>
              </w:rPr>
            </w:pPr>
            <w:r>
              <w:rPr>
                <w:rFonts w:ascii="Times New Roman" w:hAnsi="Times New Roman"/>
                <w:spacing w:val="-2"/>
                <w:sz w:val="22"/>
                <w:szCs w:val="22"/>
              </w:rPr>
              <w:t>18.</w:t>
            </w:r>
          </w:p>
        </w:tc>
        <w:tc>
          <w:tcPr>
            <w:tcW w:w="1559" w:type="dxa"/>
            <w:shd w:val="clear" w:color="auto" w:fill="auto"/>
          </w:tcPr>
          <w:p w:rsidR="00DC72D7" w:rsidRPr="00DC72D7" w:rsidRDefault="00DC72D7" w:rsidP="007D5670">
            <w:pPr>
              <w:rPr>
                <w:rFonts w:ascii="Times New Roman" w:hAnsi="Times New Roman"/>
                <w:b/>
                <w:spacing w:val="-2"/>
                <w:sz w:val="22"/>
                <w:szCs w:val="22"/>
              </w:rPr>
            </w:pPr>
          </w:p>
        </w:tc>
        <w:tc>
          <w:tcPr>
            <w:tcW w:w="6379" w:type="dxa"/>
          </w:tcPr>
          <w:p w:rsidR="00DC72D7" w:rsidRPr="00DC72D7" w:rsidRDefault="00DC72D7" w:rsidP="00417996">
            <w:pPr>
              <w:shd w:val="clear" w:color="auto" w:fill="FFFFFF"/>
              <w:ind w:left="-69"/>
              <w:jc w:val="both"/>
              <w:rPr>
                <w:rFonts w:ascii="Times New Roman" w:hAnsi="Times New Roman"/>
                <w:spacing w:val="-4"/>
                <w:sz w:val="22"/>
                <w:szCs w:val="22"/>
              </w:rPr>
            </w:pPr>
            <w:r w:rsidRPr="00DC72D7">
              <w:rPr>
                <w:rFonts w:ascii="Times New Roman" w:hAnsi="Times New Roman"/>
                <w:spacing w:val="-4"/>
                <w:sz w:val="22"/>
                <w:szCs w:val="22"/>
              </w:rPr>
              <w:t>5) Dėl Įstatymo 11 straipsnio pakeitimo (Įstatymo projektu pakeitimai dėl šios Įstatymo nuostatos kol kas nenumatyti)</w:t>
            </w:r>
          </w:p>
          <w:p w:rsidR="00DC72D7" w:rsidRPr="00DC72D7" w:rsidRDefault="00DC72D7" w:rsidP="00417996">
            <w:pPr>
              <w:shd w:val="clear" w:color="auto" w:fill="FFFFFF"/>
              <w:ind w:left="-69"/>
              <w:jc w:val="both"/>
              <w:rPr>
                <w:rFonts w:ascii="Times New Roman" w:hAnsi="Times New Roman"/>
                <w:spacing w:val="-4"/>
                <w:sz w:val="22"/>
                <w:szCs w:val="22"/>
              </w:rPr>
            </w:pPr>
            <w:r w:rsidRPr="00DC72D7">
              <w:rPr>
                <w:rFonts w:ascii="Times New Roman" w:hAnsi="Times New Roman"/>
                <w:spacing w:val="-4"/>
                <w:sz w:val="22"/>
                <w:szCs w:val="22"/>
              </w:rPr>
              <w:t>Įstatymo 11 straipsnis nustato bendruosius kliento ir naudos gavėjo tapatybės nustatymo reikalavimus, taikytinus kai klientas tapatybės nustatyme nedalyvauja fiziškai.</w:t>
            </w:r>
          </w:p>
          <w:p w:rsidR="00DC72D7" w:rsidRPr="00DC72D7" w:rsidRDefault="00DC72D7" w:rsidP="00417996">
            <w:pPr>
              <w:shd w:val="clear" w:color="auto" w:fill="FFFFFF"/>
              <w:ind w:left="-69"/>
              <w:jc w:val="both"/>
              <w:rPr>
                <w:rFonts w:ascii="Times New Roman" w:hAnsi="Times New Roman"/>
                <w:spacing w:val="-4"/>
                <w:sz w:val="22"/>
                <w:szCs w:val="22"/>
              </w:rPr>
            </w:pPr>
            <w:r w:rsidRPr="00DC72D7">
              <w:rPr>
                <w:rFonts w:ascii="Times New Roman" w:hAnsi="Times New Roman"/>
                <w:spacing w:val="-4"/>
                <w:sz w:val="22"/>
                <w:szCs w:val="22"/>
              </w:rPr>
              <w:t>Atsižvelgiant į pastaruoju metu atsiradusias ir patobulėjusias technines galimybes bei priemones, kurios, viena vertus, leidžia užtikrinti aukšto lygio asmens tapatybės nustatymo procesą laikantis 4-osios bei 5-osios AML Direktyvų reikalavimų, kita vertus, kurios galėtų palengvinti šiuo metu Įstatymo bei susijusių teisės aktų nustatomus kliento asmens tapatybės nustatymo nuotoliniu būdu procedūrą, siūlome papildyti Įstatymo projektą įtraukiant į jį šias nuostatas, kuriomis būtų:</w:t>
            </w:r>
          </w:p>
          <w:p w:rsidR="00DC72D7" w:rsidRPr="00DC72D7" w:rsidRDefault="00DC72D7" w:rsidP="00417996">
            <w:pPr>
              <w:shd w:val="clear" w:color="auto" w:fill="FFFFFF"/>
              <w:ind w:left="-69"/>
              <w:jc w:val="both"/>
              <w:rPr>
                <w:rFonts w:ascii="Times New Roman" w:hAnsi="Times New Roman"/>
                <w:spacing w:val="-4"/>
                <w:sz w:val="22"/>
                <w:szCs w:val="22"/>
              </w:rPr>
            </w:pPr>
            <w:r w:rsidRPr="00DC72D7">
              <w:rPr>
                <w:rFonts w:ascii="Times New Roman" w:hAnsi="Times New Roman"/>
                <w:spacing w:val="-4"/>
                <w:sz w:val="22"/>
                <w:szCs w:val="22"/>
              </w:rPr>
              <w:t xml:space="preserve">(i) Tikslinamas Įstatymo 11 straipsnio 1 dalies 4 punkto b) papunktis išdėstant jį taip: „b) tiesioginio vaizdo perdavimo metu užfiksuojamas kliento veido atvaizdas ir kliento parodytas tapatybę patvirtinančio dokumento arba jį atitinkančio leidimo gyventi Lietuvos Respublikoje originalas </w:t>
            </w:r>
            <w:r w:rsidRPr="00DC72D7">
              <w:rPr>
                <w:rFonts w:ascii="Times New Roman" w:hAnsi="Times New Roman"/>
                <w:b/>
                <w:spacing w:val="-4"/>
                <w:sz w:val="22"/>
                <w:szCs w:val="22"/>
              </w:rPr>
              <w:t xml:space="preserve">arba kliento tapatybės patvirtinančio dokumento </w:t>
            </w:r>
            <w:r w:rsidRPr="00DC72D7">
              <w:rPr>
                <w:rFonts w:ascii="Times New Roman" w:hAnsi="Times New Roman"/>
                <w:b/>
                <w:spacing w:val="-4"/>
                <w:sz w:val="22"/>
                <w:szCs w:val="22"/>
              </w:rPr>
              <w:lastRenderedPageBreak/>
              <w:t>laikmenoje įrašyta kliento nuotrauka, kuri nuskaitoma kliento galiniu įrenginiu, kuriuo užfiksuojamas kliento veido atvaizdas</w:t>
            </w:r>
            <w:r w:rsidRPr="00DC72D7">
              <w:rPr>
                <w:rFonts w:ascii="Times New Roman" w:hAnsi="Times New Roman"/>
                <w:spacing w:val="-4"/>
                <w:sz w:val="22"/>
                <w:szCs w:val="22"/>
              </w:rPr>
              <w:t>“.</w:t>
            </w:r>
          </w:p>
          <w:p w:rsidR="00DC72D7" w:rsidRPr="00DC72D7" w:rsidRDefault="00DC72D7" w:rsidP="00417996">
            <w:pPr>
              <w:shd w:val="clear" w:color="auto" w:fill="FFFFFF"/>
              <w:ind w:left="-69"/>
              <w:jc w:val="both"/>
              <w:rPr>
                <w:rFonts w:ascii="Times New Roman" w:hAnsi="Times New Roman"/>
                <w:spacing w:val="-4"/>
                <w:sz w:val="22"/>
                <w:szCs w:val="22"/>
              </w:rPr>
            </w:pPr>
            <w:r w:rsidRPr="00DC72D7">
              <w:rPr>
                <w:rFonts w:ascii="Times New Roman" w:hAnsi="Times New Roman"/>
                <w:spacing w:val="-4"/>
                <w:sz w:val="22"/>
                <w:szCs w:val="22"/>
              </w:rPr>
              <w:t>(ii) Įstatymo 11 straipsnio 1 dalies 4 punktas būtų papildomas c) papunkčiu išdėstant jį taip: „c) tiesioginio vaizdo perdavimo metu užfiksuojamas kliento, Lietuvos Respublikos piliečio ar rezidento, veido atvaizdas ir sulyginamas su asmens veido atvaizdo duomenimis, gautais iš Lietuvos Respublikos Gyventojų registro.“</w:t>
            </w:r>
          </w:p>
          <w:p w:rsidR="00DC72D7" w:rsidRPr="00DC72D7" w:rsidRDefault="00DC72D7" w:rsidP="00417996">
            <w:pPr>
              <w:shd w:val="clear" w:color="auto" w:fill="FFFFFF"/>
              <w:ind w:left="-69"/>
              <w:jc w:val="both"/>
              <w:rPr>
                <w:rFonts w:ascii="Times New Roman" w:hAnsi="Times New Roman"/>
                <w:spacing w:val="-4"/>
                <w:sz w:val="22"/>
                <w:szCs w:val="22"/>
              </w:rPr>
            </w:pPr>
            <w:r w:rsidRPr="00DC72D7">
              <w:rPr>
                <w:rFonts w:ascii="Times New Roman" w:hAnsi="Times New Roman"/>
                <w:spacing w:val="-4"/>
                <w:sz w:val="22"/>
                <w:szCs w:val="22"/>
              </w:rPr>
              <w:t>(iii) Įstatymo 11 straipsnio 1 dalis būtų papildoma 6 punktu išdėstant jį taip: „6) sulyginant elektroninėmis priemonėmis asmens pateiktus biometrinius duomenis su biometriniais duomenimis, gautais iš Lietuvos Respublikos Gyventojų registro.“.</w:t>
            </w:r>
          </w:p>
          <w:p w:rsidR="00DC72D7" w:rsidRPr="00DC72D7" w:rsidRDefault="00DC72D7" w:rsidP="00417996">
            <w:pPr>
              <w:shd w:val="clear" w:color="auto" w:fill="FFFFFF"/>
              <w:ind w:left="-69"/>
              <w:jc w:val="both"/>
              <w:rPr>
                <w:rFonts w:ascii="Times New Roman" w:hAnsi="Times New Roman"/>
                <w:spacing w:val="-4"/>
                <w:sz w:val="22"/>
                <w:szCs w:val="22"/>
              </w:rPr>
            </w:pPr>
            <w:r w:rsidRPr="00DC72D7">
              <w:rPr>
                <w:rFonts w:ascii="Times New Roman" w:hAnsi="Times New Roman"/>
                <w:spacing w:val="-4"/>
                <w:sz w:val="22"/>
                <w:szCs w:val="22"/>
              </w:rPr>
              <w:t>Atkreipiame dėmesį, kad aukščiau nurodyti pakeitimai neprieštarauja 4-osios bei 5-osios AML Direktyvų reikalavimams ir gali būti įtvirtinami nacionaliniu lygiu, tuo tarpu šių priemonių taikymas leistų taikyti inovatyvius sprendimus tapatybės nustatymo tikslu, pasinaudojant Gyventojų registro kaupiama informacija. Šių nuotolinių tapatybės nustatymo procedūrų įtvirtinimas Įstatyme prisidėtų prie Lietuvos, kaip FinTech verslams patrauklios jurisdikcijos, įvaizdžio kūrimo, be to, tai leistų minimizuoti ir finansų įstaigų kaštus, skiriamus nuotolinio tapatybės nustatymo techninių parametrų ir priemonių kūrimui, kas tuo pačiu taip pat didintų Lietuvos reguliacinės aplinkos patrauklumą bei leistų pritraukti naujas investicijas.</w:t>
            </w:r>
          </w:p>
        </w:tc>
        <w:tc>
          <w:tcPr>
            <w:tcW w:w="6378" w:type="dxa"/>
          </w:tcPr>
          <w:p w:rsidR="00DC72D7" w:rsidRPr="00DC72D7" w:rsidRDefault="00DC72D7" w:rsidP="00CD19B3">
            <w:pPr>
              <w:shd w:val="clear" w:color="auto" w:fill="FFFFFF"/>
              <w:jc w:val="both"/>
              <w:rPr>
                <w:rFonts w:ascii="Times New Roman" w:hAnsi="Times New Roman"/>
                <w:b/>
                <w:spacing w:val="-4"/>
                <w:sz w:val="22"/>
                <w:szCs w:val="22"/>
              </w:rPr>
            </w:pPr>
            <w:r w:rsidRPr="00DC72D7">
              <w:rPr>
                <w:rFonts w:ascii="Times New Roman" w:hAnsi="Times New Roman"/>
                <w:b/>
                <w:spacing w:val="-4"/>
                <w:sz w:val="22"/>
                <w:szCs w:val="22"/>
              </w:rPr>
              <w:lastRenderedPageBreak/>
              <w:t>Neatsižvelgta.</w:t>
            </w:r>
          </w:p>
          <w:p w:rsidR="00DC72D7" w:rsidRPr="00DC72D7" w:rsidRDefault="00DC72D7" w:rsidP="00886DB7">
            <w:pPr>
              <w:shd w:val="clear" w:color="auto" w:fill="FFFFFF"/>
              <w:jc w:val="both"/>
              <w:rPr>
                <w:rFonts w:ascii="Times New Roman" w:hAnsi="Times New Roman"/>
                <w:spacing w:val="-4"/>
                <w:sz w:val="22"/>
                <w:szCs w:val="22"/>
              </w:rPr>
            </w:pPr>
            <w:r w:rsidRPr="00DC72D7">
              <w:rPr>
                <w:rFonts w:ascii="Times New Roman" w:hAnsi="Times New Roman"/>
                <w:spacing w:val="-4"/>
                <w:sz w:val="22"/>
                <w:szCs w:val="22"/>
              </w:rPr>
              <w:t>Įstatymo projektas  parengtas siekiant užtikrinti Direktyvos 2018/843 perkėlimą į nacionalinę teisę.</w:t>
            </w:r>
          </w:p>
          <w:p w:rsidR="00DC72D7" w:rsidRPr="00DC72D7" w:rsidRDefault="00DC72D7" w:rsidP="00886DB7">
            <w:pPr>
              <w:shd w:val="clear" w:color="auto" w:fill="FFFFFF"/>
              <w:jc w:val="both"/>
              <w:rPr>
                <w:rFonts w:ascii="Times New Roman" w:hAnsi="Times New Roman"/>
                <w:spacing w:val="-4"/>
                <w:sz w:val="22"/>
                <w:szCs w:val="22"/>
              </w:rPr>
            </w:pPr>
            <w:r w:rsidRPr="00DC72D7">
              <w:rPr>
                <w:rFonts w:ascii="Times New Roman" w:hAnsi="Times New Roman"/>
                <w:spacing w:val="-4"/>
                <w:sz w:val="22"/>
                <w:szCs w:val="22"/>
              </w:rPr>
              <w:t xml:space="preserve">Nagrinėjamas pasiūlymas turi būti tinkamai išanalizuotos specialistų, siekiant įvertinti siūlomų priemonių </w:t>
            </w:r>
            <w:r w:rsidRPr="00DC72D7">
              <w:rPr>
                <w:rFonts w:ascii="Times New Roman" w:hAnsi="Times New Roman"/>
                <w:sz w:val="22"/>
                <w:szCs w:val="22"/>
              </w:rPr>
              <w:t>saugumą, galimą poreikį taikyti papildomas kylančios rizikos mažinimo priemones.</w:t>
            </w:r>
          </w:p>
          <w:p w:rsidR="00DC72D7" w:rsidRPr="00DC72D7" w:rsidRDefault="00DC72D7" w:rsidP="00886DB7">
            <w:pPr>
              <w:shd w:val="clear" w:color="auto" w:fill="FFFFFF"/>
              <w:jc w:val="both"/>
              <w:rPr>
                <w:rFonts w:ascii="Times New Roman" w:hAnsi="Times New Roman"/>
                <w:spacing w:val="-4"/>
                <w:sz w:val="22"/>
                <w:szCs w:val="22"/>
              </w:rPr>
            </w:pPr>
            <w:r w:rsidRPr="00DC72D7">
              <w:rPr>
                <w:rFonts w:ascii="Times New Roman" w:hAnsi="Times New Roman"/>
                <w:sz w:val="22"/>
                <w:szCs w:val="22"/>
              </w:rPr>
              <w:t>Kadangi toks procesas dėl laiko sąnaudų nesuderinamas su Įstatymo projekto tikslu laiku perketi Direktyvos 2018/843 nuostatas, į pasiūlymą negali būti atsižvelgta.</w:t>
            </w:r>
          </w:p>
          <w:p w:rsidR="00DC72D7" w:rsidRPr="00DC72D7" w:rsidRDefault="00DC72D7" w:rsidP="00CD19B3">
            <w:pPr>
              <w:shd w:val="clear" w:color="auto" w:fill="FFFFFF"/>
              <w:jc w:val="both"/>
              <w:rPr>
                <w:rFonts w:ascii="Times New Roman" w:hAnsi="Times New Roman"/>
                <w:spacing w:val="-4"/>
                <w:sz w:val="22"/>
                <w:szCs w:val="22"/>
              </w:rPr>
            </w:pPr>
          </w:p>
        </w:tc>
      </w:tr>
      <w:tr w:rsidR="00DC72D7" w:rsidRPr="00126CEB" w:rsidTr="00FD239F">
        <w:tc>
          <w:tcPr>
            <w:tcW w:w="534" w:type="dxa"/>
          </w:tcPr>
          <w:p w:rsidR="00DC72D7" w:rsidRPr="00DC72D7" w:rsidRDefault="00892BD0" w:rsidP="00F157B7">
            <w:pPr>
              <w:jc w:val="both"/>
              <w:rPr>
                <w:rFonts w:ascii="Times New Roman" w:hAnsi="Times New Roman"/>
                <w:spacing w:val="-2"/>
                <w:sz w:val="22"/>
                <w:szCs w:val="22"/>
              </w:rPr>
            </w:pPr>
            <w:r>
              <w:rPr>
                <w:rFonts w:ascii="Times New Roman" w:hAnsi="Times New Roman"/>
                <w:spacing w:val="-2"/>
                <w:sz w:val="22"/>
                <w:szCs w:val="22"/>
              </w:rPr>
              <w:t>19.</w:t>
            </w:r>
          </w:p>
        </w:tc>
        <w:tc>
          <w:tcPr>
            <w:tcW w:w="1559" w:type="dxa"/>
            <w:shd w:val="clear" w:color="auto" w:fill="auto"/>
          </w:tcPr>
          <w:p w:rsidR="00DC72D7" w:rsidRPr="00DC72D7" w:rsidRDefault="00DC72D7" w:rsidP="005F4BAC">
            <w:pPr>
              <w:jc w:val="both"/>
              <w:rPr>
                <w:rFonts w:ascii="Times New Roman" w:hAnsi="Times New Roman"/>
                <w:b/>
                <w:spacing w:val="-2"/>
                <w:sz w:val="22"/>
                <w:szCs w:val="22"/>
              </w:rPr>
            </w:pPr>
          </w:p>
        </w:tc>
        <w:tc>
          <w:tcPr>
            <w:tcW w:w="6379" w:type="dxa"/>
            <w:shd w:val="clear" w:color="auto" w:fill="auto"/>
          </w:tcPr>
          <w:p w:rsidR="00DC72D7" w:rsidRPr="00DC72D7" w:rsidRDefault="00DC72D7" w:rsidP="00FD239F">
            <w:pPr>
              <w:pStyle w:val="Temosantrat30"/>
              <w:keepNext/>
              <w:keepLines/>
              <w:shd w:val="clear" w:color="auto" w:fill="auto"/>
              <w:spacing w:before="0" w:after="0" w:line="240" w:lineRule="auto"/>
              <w:ind w:left="20" w:right="20" w:firstLine="0"/>
              <w:jc w:val="both"/>
              <w:rPr>
                <w:rFonts w:ascii="Times New Roman" w:hAnsi="Times New Roman" w:cs="Times New Roman"/>
                <w:sz w:val="22"/>
                <w:szCs w:val="22"/>
              </w:rPr>
            </w:pPr>
            <w:bookmarkStart w:id="0" w:name="bookmark6"/>
            <w:r w:rsidRPr="00DC72D7">
              <w:rPr>
                <w:rFonts w:ascii="Times New Roman" w:hAnsi="Times New Roman" w:cs="Times New Roman"/>
                <w:sz w:val="22"/>
                <w:szCs w:val="22"/>
              </w:rPr>
              <w:t>6) Dėl Įstatymo 12 straipsnio 8 dalies (Įstatymo projektu nekeičiamas) ir Įstatymo pakeitimo 10 straipsnio 3 dalies (įstatymo projektu keičiamas) reikalavimų suvienodinimo</w:t>
            </w:r>
            <w:bookmarkEnd w:id="0"/>
          </w:p>
          <w:p w:rsidR="00DC72D7" w:rsidRPr="00DC72D7" w:rsidRDefault="00DC72D7" w:rsidP="005F4BAC">
            <w:pPr>
              <w:ind w:left="20" w:right="20"/>
              <w:jc w:val="both"/>
              <w:rPr>
                <w:rFonts w:ascii="Times New Roman" w:hAnsi="Times New Roman"/>
                <w:sz w:val="22"/>
                <w:szCs w:val="22"/>
              </w:rPr>
            </w:pPr>
            <w:r w:rsidRPr="00DC72D7">
              <w:rPr>
                <w:rFonts w:ascii="Times New Roman" w:hAnsi="Times New Roman"/>
                <w:sz w:val="22"/>
                <w:szCs w:val="22"/>
              </w:rPr>
              <w:t xml:space="preserve">Įstatymo 12 straipsnio 8 dalis įtvirtina finansų įstaigos ar kitų įpareigotųjų subjektų </w:t>
            </w:r>
            <w:r w:rsidRPr="00DC72D7">
              <w:rPr>
                <w:rStyle w:val="Pagrindinistekstas1"/>
                <w:rFonts w:eastAsia="Arial"/>
                <w:strike w:val="0"/>
                <w:sz w:val="22"/>
                <w:szCs w:val="22"/>
                <w:u w:val="single"/>
              </w:rPr>
              <w:t>teisę</w:t>
            </w:r>
            <w:r w:rsidRPr="00DC72D7">
              <w:rPr>
                <w:rFonts w:ascii="Times New Roman" w:hAnsi="Times New Roman"/>
                <w:sz w:val="22"/>
                <w:szCs w:val="22"/>
              </w:rPr>
              <w:t>, nustatant naudos gavėjo tapatybę, remtis JADIS ar kitomis sistemomis, kuriose kaupiami duomenys apie juridinių asmenų dalyvius.</w:t>
            </w:r>
          </w:p>
          <w:p w:rsidR="00DC72D7" w:rsidRPr="00DC72D7" w:rsidRDefault="00DC72D7" w:rsidP="005F4BAC">
            <w:pPr>
              <w:ind w:left="20" w:right="20"/>
              <w:jc w:val="both"/>
              <w:rPr>
                <w:rFonts w:ascii="Times New Roman" w:hAnsi="Times New Roman"/>
                <w:sz w:val="22"/>
                <w:szCs w:val="22"/>
              </w:rPr>
            </w:pPr>
            <w:r w:rsidRPr="00DC72D7">
              <w:rPr>
                <w:rFonts w:ascii="Times New Roman" w:hAnsi="Times New Roman"/>
                <w:sz w:val="22"/>
                <w:szCs w:val="22"/>
              </w:rPr>
              <w:t xml:space="preserve">Įstatymo projekto 10 straipsnio 3 dalis, kuria Įstatymo 12 straipsnis papildomas 9 dalimi, numato finansų įstaigų ir kitų įpareigotųjų subjektų </w:t>
            </w:r>
            <w:r w:rsidRPr="00DC72D7">
              <w:rPr>
                <w:rStyle w:val="Pagrindinistekstas1"/>
                <w:rFonts w:eastAsia="Arial"/>
                <w:strike w:val="0"/>
                <w:sz w:val="22"/>
                <w:szCs w:val="22"/>
                <w:u w:val="single"/>
              </w:rPr>
              <w:t>pareigą</w:t>
            </w:r>
            <w:r w:rsidRPr="00DC72D7">
              <w:rPr>
                <w:rFonts w:ascii="Times New Roman" w:hAnsi="Times New Roman"/>
                <w:sz w:val="22"/>
                <w:szCs w:val="22"/>
              </w:rPr>
              <w:t xml:space="preserve"> gauti JADIS išrašą apie kliento naudos gavėjus.</w:t>
            </w:r>
          </w:p>
          <w:p w:rsidR="00DC72D7" w:rsidRPr="00DC72D7" w:rsidRDefault="00DC72D7" w:rsidP="005F4BAC">
            <w:pPr>
              <w:ind w:left="20" w:right="20"/>
              <w:jc w:val="both"/>
              <w:rPr>
                <w:rFonts w:ascii="Times New Roman" w:hAnsi="Times New Roman"/>
                <w:sz w:val="22"/>
                <w:szCs w:val="22"/>
              </w:rPr>
            </w:pPr>
            <w:r w:rsidRPr="00DC72D7">
              <w:rPr>
                <w:rFonts w:ascii="Times New Roman" w:hAnsi="Times New Roman"/>
                <w:sz w:val="22"/>
                <w:szCs w:val="22"/>
              </w:rPr>
              <w:t>Siūlome suvienodinti aukščiau nurodytas nuostatas numatant, kad informacijos iš JADIS sistemos gavimas ryšium su nustatoma kliento naudos gavėjo tapatybe yra finansų įstaigų ir kitų įpareigotųjų subjektų teisė.</w:t>
            </w:r>
          </w:p>
          <w:p w:rsidR="00DC72D7" w:rsidRPr="00DC72D7" w:rsidRDefault="00DC72D7" w:rsidP="005F4BAC">
            <w:pPr>
              <w:ind w:left="20" w:right="20"/>
              <w:jc w:val="both"/>
              <w:rPr>
                <w:rFonts w:ascii="Times New Roman" w:hAnsi="Times New Roman"/>
                <w:sz w:val="22"/>
                <w:szCs w:val="22"/>
              </w:rPr>
            </w:pPr>
            <w:r w:rsidRPr="00DC72D7">
              <w:rPr>
                <w:rFonts w:ascii="Times New Roman" w:hAnsi="Times New Roman"/>
                <w:sz w:val="22"/>
                <w:szCs w:val="22"/>
              </w:rPr>
              <w:t>Atsižvelgiant į šiuos argumentus, siūlome panaikinti Įstatymo projekto 10 straipsnio 3 dalį dalyje dėl Įstatymo 12 straipsnio papildymo 9 dalimi.</w:t>
            </w:r>
          </w:p>
          <w:p w:rsidR="00DC72D7" w:rsidRPr="00DC72D7" w:rsidRDefault="00DC72D7" w:rsidP="005F4BAC">
            <w:pPr>
              <w:ind w:left="20" w:right="20"/>
              <w:jc w:val="both"/>
              <w:rPr>
                <w:rFonts w:ascii="Times New Roman" w:hAnsi="Times New Roman"/>
                <w:sz w:val="22"/>
                <w:szCs w:val="22"/>
              </w:rPr>
            </w:pPr>
            <w:r w:rsidRPr="00DC72D7">
              <w:rPr>
                <w:rFonts w:ascii="Times New Roman" w:hAnsi="Times New Roman"/>
                <w:sz w:val="22"/>
                <w:szCs w:val="22"/>
              </w:rPr>
              <w:lastRenderedPageBreak/>
              <w:t>Jeigu būtų nuspręsta, kad finansų įstaigos ar kiti įpareigotieji subjektai nustatydami kliento - juridinio asmens tapatybę turi pareigą (ne teisę) gauti informaciją iš JADIS sistemos, tokiu atvejų siūlome:</w:t>
            </w:r>
          </w:p>
          <w:p w:rsidR="00DC72D7" w:rsidRPr="00DC72D7" w:rsidRDefault="00DC72D7" w:rsidP="005F4BAC">
            <w:pPr>
              <w:ind w:left="20"/>
              <w:jc w:val="both"/>
              <w:rPr>
                <w:rFonts w:ascii="Times New Roman" w:hAnsi="Times New Roman"/>
                <w:sz w:val="22"/>
                <w:szCs w:val="22"/>
              </w:rPr>
            </w:pPr>
            <w:r w:rsidRPr="00DC72D7">
              <w:rPr>
                <w:rFonts w:ascii="Times New Roman" w:hAnsi="Times New Roman"/>
                <w:sz w:val="22"/>
                <w:szCs w:val="22"/>
              </w:rPr>
              <w:t>Pakeisti Įstatymo 12 straipsnio 8 dalį išdėstant ją taip (lyginamoji versija):</w:t>
            </w:r>
          </w:p>
          <w:p w:rsidR="00DC72D7" w:rsidRPr="00DC72D7" w:rsidRDefault="00DC72D7" w:rsidP="005F4BAC">
            <w:pPr>
              <w:ind w:left="20" w:right="20"/>
              <w:jc w:val="both"/>
              <w:rPr>
                <w:rFonts w:ascii="Times New Roman" w:hAnsi="Times New Roman"/>
                <w:sz w:val="22"/>
                <w:szCs w:val="22"/>
              </w:rPr>
            </w:pPr>
            <w:r w:rsidRPr="00DC72D7">
              <w:rPr>
                <w:rFonts w:ascii="Times New Roman" w:hAnsi="Times New Roman"/>
                <w:sz w:val="22"/>
                <w:szCs w:val="22"/>
              </w:rPr>
              <w:t xml:space="preserve">„8. Finansų įstaigos ir kiti įpareigotieji subjektai, nustatydami naudos gavėjo tapatybę, papildomai </w:t>
            </w:r>
            <w:r w:rsidRPr="00DC72D7">
              <w:rPr>
                <w:rStyle w:val="Pagrindinistekstas40"/>
                <w:rFonts w:ascii="Times New Roman" w:hAnsi="Times New Roman" w:cs="Times New Roman"/>
                <w:sz w:val="22"/>
                <w:szCs w:val="22"/>
              </w:rPr>
              <w:t>turi t</w:t>
            </w:r>
            <w:r w:rsidRPr="00DC72D7">
              <w:rPr>
                <w:rFonts w:ascii="Times New Roman" w:hAnsi="Times New Roman"/>
                <w:sz w:val="22"/>
                <w:szCs w:val="22"/>
              </w:rPr>
              <w:t>e</w:t>
            </w:r>
            <w:r w:rsidRPr="00DC72D7">
              <w:rPr>
                <w:rStyle w:val="Pagrindinistekstas40"/>
                <w:rFonts w:ascii="Times New Roman" w:hAnsi="Times New Roman" w:cs="Times New Roman"/>
                <w:sz w:val="22"/>
                <w:szCs w:val="22"/>
              </w:rPr>
              <w:t>is</w:t>
            </w:r>
            <w:r w:rsidRPr="00DC72D7">
              <w:rPr>
                <w:rFonts w:ascii="Times New Roman" w:hAnsi="Times New Roman"/>
                <w:sz w:val="22"/>
                <w:szCs w:val="22"/>
              </w:rPr>
              <w:t xml:space="preserve">ę </w:t>
            </w:r>
            <w:r w:rsidRPr="00DC72D7">
              <w:rPr>
                <w:rStyle w:val="Pagrindinistekstas40"/>
                <w:rFonts w:ascii="Times New Roman" w:hAnsi="Times New Roman" w:cs="Times New Roman"/>
                <w:sz w:val="22"/>
                <w:szCs w:val="22"/>
              </w:rPr>
              <w:t>naudotis</w:t>
            </w:r>
            <w:r w:rsidRPr="00DC72D7">
              <w:rPr>
                <w:rFonts w:ascii="Times New Roman" w:hAnsi="Times New Roman"/>
                <w:sz w:val="22"/>
                <w:szCs w:val="22"/>
              </w:rPr>
              <w:t xml:space="preserve"> prie Juridinių asmenų dalyvių informacine sistem</w:t>
            </w:r>
            <w:r w:rsidRPr="00DC72D7">
              <w:rPr>
                <w:rFonts w:ascii="Times New Roman" w:hAnsi="Times New Roman"/>
                <w:strike/>
                <w:sz w:val="22"/>
                <w:szCs w:val="22"/>
              </w:rPr>
              <w:t>a</w:t>
            </w:r>
            <w:r w:rsidRPr="00DC72D7">
              <w:rPr>
                <w:rStyle w:val="Pagrindinistekstas4Pusjuodis"/>
                <w:sz w:val="22"/>
                <w:szCs w:val="22"/>
              </w:rPr>
              <w:t>os</w:t>
            </w:r>
            <w:r w:rsidRPr="00DC72D7">
              <w:rPr>
                <w:rFonts w:ascii="Times New Roman" w:hAnsi="Times New Roman"/>
                <w:sz w:val="22"/>
                <w:szCs w:val="22"/>
              </w:rPr>
              <w:t xml:space="preserve"> (JADIS) </w:t>
            </w:r>
            <w:r w:rsidRPr="00DC72D7">
              <w:rPr>
                <w:rStyle w:val="Pagrindinistekstas4Pusjuodis"/>
                <w:sz w:val="22"/>
                <w:szCs w:val="22"/>
              </w:rPr>
              <w:t>turi teisę naudotis</w:t>
            </w:r>
            <w:r w:rsidRPr="00DC72D7">
              <w:rPr>
                <w:rFonts w:ascii="Times New Roman" w:hAnsi="Times New Roman"/>
                <w:sz w:val="22"/>
                <w:szCs w:val="22"/>
              </w:rPr>
              <w:t xml:space="preserve"> ir kitomis valstybės informacinėmis sistemomis, registrais, kuriuose kaupiami duomenys apie juridinių asmenų dalyvius."</w:t>
            </w:r>
          </w:p>
          <w:p w:rsidR="00DC72D7" w:rsidRPr="00DC72D7" w:rsidRDefault="00DC72D7" w:rsidP="005F4BAC">
            <w:pPr>
              <w:ind w:left="20" w:right="20"/>
              <w:jc w:val="both"/>
              <w:rPr>
                <w:rFonts w:ascii="Times New Roman" w:hAnsi="Times New Roman"/>
                <w:sz w:val="22"/>
                <w:szCs w:val="22"/>
              </w:rPr>
            </w:pPr>
            <w:r w:rsidRPr="00DC72D7">
              <w:rPr>
                <w:rFonts w:ascii="Times New Roman" w:hAnsi="Times New Roman"/>
                <w:sz w:val="22"/>
                <w:szCs w:val="22"/>
              </w:rPr>
              <w:t>Pakeisti Įstatymo projekto 10 straipsnio 3 dalį dalyje dėl Įstatymo 12 straipsnio papildymo 9 dalimi išdėstant šią nuostatą taip (lyginamoji versija):</w:t>
            </w:r>
          </w:p>
          <w:p w:rsidR="00DC72D7" w:rsidRPr="00DC72D7" w:rsidRDefault="00DC72D7" w:rsidP="005F4BAC">
            <w:pPr>
              <w:ind w:left="20" w:right="20"/>
              <w:jc w:val="both"/>
              <w:rPr>
                <w:rFonts w:ascii="Times New Roman" w:hAnsi="Times New Roman"/>
                <w:sz w:val="22"/>
                <w:szCs w:val="22"/>
              </w:rPr>
            </w:pPr>
            <w:r w:rsidRPr="00DC72D7">
              <w:rPr>
                <w:rFonts w:ascii="Times New Roman" w:hAnsi="Times New Roman"/>
                <w:sz w:val="22"/>
                <w:szCs w:val="22"/>
              </w:rPr>
              <w:t>„9. Finansų įstaigos ir kiti įpareigotieji subjektai, pradėdami naujus dalykinius santykius su klientu - juridiniu asmeniu, kurių informacija apie naudos gavėjus registruojama šio įstatymo 25 straipsnio 1 dalies nustatyta tvarka, turi gauti to kliento naudos gavėjo registracijos išrašą iš registro.</w:t>
            </w:r>
            <w:r w:rsidRPr="00DC72D7">
              <w:rPr>
                <w:rStyle w:val="Pagrindinistekstas4Pusjuodis"/>
                <w:sz w:val="22"/>
                <w:szCs w:val="22"/>
              </w:rPr>
              <w:t xml:space="preserve"> Naudos gavėjo registracijos išrašo iš JADIS sistemos gavimas laikytina tinkamu Įstatymo 12 straipsnio 3 dalyje įtvirtintos finansų įstaigų ir kitų įpareigotųjų subjektų pareigos įgyvendinimu.".</w:t>
            </w:r>
          </w:p>
          <w:p w:rsidR="00DC72D7" w:rsidRPr="00DC72D7" w:rsidRDefault="00DC72D7" w:rsidP="00FD239F">
            <w:pPr>
              <w:ind w:left="20" w:right="20"/>
              <w:jc w:val="both"/>
              <w:rPr>
                <w:rFonts w:ascii="Times New Roman" w:hAnsi="Times New Roman"/>
                <w:spacing w:val="-4"/>
                <w:sz w:val="22"/>
                <w:szCs w:val="22"/>
              </w:rPr>
            </w:pPr>
            <w:r w:rsidRPr="00DC72D7">
              <w:rPr>
                <w:rFonts w:ascii="Times New Roman" w:hAnsi="Times New Roman"/>
                <w:sz w:val="22"/>
                <w:szCs w:val="22"/>
              </w:rPr>
              <w:t>Aukščiau nurodyto siūlomo pakeitimo kontekste norėtume atkreipti Įstatymo projekto rengėjų dėmesį į tai, kad naudos gavėjų registrų sukūrimas būtent ir buvo inicijuotas su tikslu palengvinti naudos gavėjų tapatybės nustatymo procesą, kuomet finansų įstaigos ir kiti įpareigotieji subjektai galėtų remtis ir pasitikėti JADIS sistemoje talpinama informacija ir duomenis, tad reguliavimas, kuomet naudos gavėjų tapatybės nustatymo tikslu finansų įstaiga ar kitas įpareigotasis subjektas naudojasi tik JADlS sistemos duomenimis ir kita kliento pateikta informacija, atitiktų 4-osios AML Direktyvos tikslą ir turėtų būti laikomas pakankamu.</w:t>
            </w:r>
          </w:p>
        </w:tc>
        <w:tc>
          <w:tcPr>
            <w:tcW w:w="6378" w:type="dxa"/>
          </w:tcPr>
          <w:p w:rsidR="00DC72D7" w:rsidRPr="00DC72D7" w:rsidRDefault="00DC72D7" w:rsidP="00380164">
            <w:pPr>
              <w:shd w:val="clear" w:color="auto" w:fill="FFFFFF"/>
              <w:jc w:val="both"/>
              <w:rPr>
                <w:rFonts w:ascii="Times New Roman" w:hAnsi="Times New Roman"/>
                <w:b/>
                <w:spacing w:val="-4"/>
                <w:sz w:val="22"/>
                <w:szCs w:val="22"/>
              </w:rPr>
            </w:pPr>
            <w:r w:rsidRPr="00DC72D7">
              <w:rPr>
                <w:rFonts w:ascii="Times New Roman" w:hAnsi="Times New Roman"/>
                <w:b/>
                <w:spacing w:val="-4"/>
                <w:sz w:val="22"/>
                <w:szCs w:val="22"/>
              </w:rPr>
              <w:lastRenderedPageBreak/>
              <w:t>Iš dalies atsižvelgta.</w:t>
            </w:r>
          </w:p>
          <w:p w:rsidR="00DC72D7" w:rsidRPr="00DC72D7" w:rsidRDefault="00DC72D7" w:rsidP="00380164">
            <w:pPr>
              <w:shd w:val="clear" w:color="auto" w:fill="FFFFFF"/>
              <w:jc w:val="both"/>
              <w:rPr>
                <w:rFonts w:ascii="Times New Roman" w:hAnsi="Times New Roman"/>
                <w:spacing w:val="-4"/>
                <w:sz w:val="22"/>
                <w:szCs w:val="22"/>
              </w:rPr>
            </w:pPr>
            <w:r w:rsidRPr="00DC72D7">
              <w:rPr>
                <w:rFonts w:ascii="Times New Roman" w:hAnsi="Times New Roman"/>
                <w:spacing w:val="-4"/>
                <w:sz w:val="22"/>
                <w:szCs w:val="22"/>
              </w:rPr>
              <w:t>12 str. 8 d.</w:t>
            </w:r>
          </w:p>
          <w:p w:rsidR="00DC72D7" w:rsidRPr="00DC72D7" w:rsidRDefault="00DC72D7" w:rsidP="00380164">
            <w:pPr>
              <w:shd w:val="clear" w:color="auto" w:fill="FFFFFF"/>
              <w:jc w:val="both"/>
              <w:rPr>
                <w:rFonts w:ascii="Times New Roman" w:hAnsi="Times New Roman"/>
                <w:spacing w:val="-4"/>
                <w:sz w:val="22"/>
                <w:szCs w:val="22"/>
              </w:rPr>
            </w:pPr>
            <w:r w:rsidRPr="00DC72D7">
              <w:rPr>
                <w:rFonts w:ascii="Times New Roman" w:hAnsi="Times New Roman"/>
                <w:spacing w:val="-4"/>
                <w:sz w:val="22"/>
                <w:szCs w:val="22"/>
              </w:rPr>
              <w:t>Siūlomas 12 straipsnio 9 dalies pakeitimas iš esmės atkartoja nuostatą, kuri jau įtvirtinta Įstatymo projekto 12 straipsnio 9 dalyje, pagal kurią f</w:t>
            </w:r>
            <w:r w:rsidRPr="00DC72D7">
              <w:rPr>
                <w:rFonts w:ascii="Times New Roman" w:hAnsi="Times New Roman"/>
                <w:sz w:val="22"/>
                <w:szCs w:val="22"/>
              </w:rPr>
              <w:t xml:space="preserve">inansų įstaigos ir kiti įpareigotieji subjektai, pradėdami naujus dalykinius santykius su klientu – juridiniu asmeniu, kurio informacija apie naudos gavėjus registruojama šio įstatymo 25 straipsnio 1 dalies nustatyta tvarka, turi gauti išrašą iš Juridinių asmenų dalyvių informacinės sistemos (JADIS) apie to kliento naudos gavėjus. </w:t>
            </w:r>
            <w:r w:rsidRPr="00DC72D7">
              <w:rPr>
                <w:rFonts w:ascii="Times New Roman" w:hAnsi="Times New Roman"/>
                <w:spacing w:val="-4"/>
                <w:sz w:val="22"/>
                <w:szCs w:val="22"/>
              </w:rPr>
              <w:t>Todėl laikantis teisinio reguliavimo konkretumo principų papildomai nekartotina, kad n</w:t>
            </w:r>
            <w:r w:rsidRPr="00DC72D7">
              <w:rPr>
                <w:rStyle w:val="Pagrindinistekstas4Pusjuodis"/>
                <w:b w:val="0"/>
                <w:sz w:val="22"/>
                <w:szCs w:val="22"/>
              </w:rPr>
              <w:t>audos gavėjo registracijos išrašo iš JADIS sistemos gavimas laikytina tinkamu Įstatymo 12 straipsnio 3 dalyje įtvirtintos finansų įstaigų ir kitų įpareigotųjų subjektų pareigos įgyvendinimu.</w:t>
            </w:r>
          </w:p>
          <w:p w:rsidR="00DC72D7" w:rsidRPr="00DC72D7" w:rsidRDefault="00DC72D7" w:rsidP="00AA6AC6">
            <w:pPr>
              <w:shd w:val="clear" w:color="auto" w:fill="FFFFFF"/>
              <w:jc w:val="both"/>
              <w:rPr>
                <w:rFonts w:ascii="Times New Roman" w:hAnsi="Times New Roman"/>
                <w:spacing w:val="-4"/>
                <w:sz w:val="22"/>
                <w:szCs w:val="22"/>
              </w:rPr>
            </w:pPr>
            <w:r w:rsidRPr="00DC72D7">
              <w:rPr>
                <w:rStyle w:val="Pagrindinistekstas4Pusjuodis"/>
                <w:sz w:val="22"/>
                <w:szCs w:val="22"/>
              </w:rPr>
              <w:t xml:space="preserve"> </w:t>
            </w:r>
          </w:p>
        </w:tc>
      </w:tr>
      <w:tr w:rsidR="00DC72D7" w:rsidRPr="00126CEB" w:rsidTr="00AA506B">
        <w:tc>
          <w:tcPr>
            <w:tcW w:w="534" w:type="dxa"/>
          </w:tcPr>
          <w:p w:rsidR="00DC72D7" w:rsidRPr="00DC72D7" w:rsidRDefault="00892BD0" w:rsidP="00F157B7">
            <w:pPr>
              <w:jc w:val="both"/>
              <w:rPr>
                <w:rFonts w:ascii="Times New Roman" w:hAnsi="Times New Roman"/>
                <w:spacing w:val="-2"/>
                <w:sz w:val="22"/>
                <w:szCs w:val="22"/>
              </w:rPr>
            </w:pPr>
            <w:r>
              <w:rPr>
                <w:rFonts w:ascii="Times New Roman" w:hAnsi="Times New Roman"/>
                <w:spacing w:val="-2"/>
                <w:sz w:val="22"/>
                <w:szCs w:val="22"/>
              </w:rPr>
              <w:t>20.</w:t>
            </w:r>
          </w:p>
        </w:tc>
        <w:tc>
          <w:tcPr>
            <w:tcW w:w="1559" w:type="dxa"/>
            <w:shd w:val="clear" w:color="auto" w:fill="auto"/>
          </w:tcPr>
          <w:p w:rsidR="00DC72D7" w:rsidRPr="00DC72D7" w:rsidRDefault="00DC72D7" w:rsidP="007D5670">
            <w:pPr>
              <w:rPr>
                <w:rFonts w:ascii="Times New Roman" w:hAnsi="Times New Roman"/>
                <w:b/>
                <w:spacing w:val="-2"/>
                <w:sz w:val="22"/>
                <w:szCs w:val="22"/>
              </w:rPr>
            </w:pPr>
          </w:p>
        </w:tc>
        <w:tc>
          <w:tcPr>
            <w:tcW w:w="6379" w:type="dxa"/>
          </w:tcPr>
          <w:p w:rsidR="00DC72D7" w:rsidRPr="00DC72D7" w:rsidRDefault="00DC72D7" w:rsidP="00FE247F">
            <w:pPr>
              <w:shd w:val="clear" w:color="auto" w:fill="FFFFFF"/>
              <w:ind w:left="-69"/>
              <w:jc w:val="both"/>
              <w:rPr>
                <w:rFonts w:ascii="Times New Roman" w:hAnsi="Times New Roman"/>
                <w:spacing w:val="-4"/>
                <w:sz w:val="22"/>
                <w:szCs w:val="22"/>
              </w:rPr>
            </w:pPr>
            <w:r w:rsidRPr="00DC72D7">
              <w:rPr>
                <w:rFonts w:ascii="Times New Roman" w:hAnsi="Times New Roman"/>
                <w:spacing w:val="-4"/>
                <w:sz w:val="22"/>
                <w:szCs w:val="22"/>
              </w:rPr>
              <w:t>8) Dėl Įstatymo projekto 11 straipsnio 3 dalies, kuriuo Įstatymo 14 straipsnis papildomas nauja 4</w:t>
            </w:r>
            <w:r w:rsidRPr="00DC72D7">
              <w:rPr>
                <w:rFonts w:ascii="Times New Roman" w:hAnsi="Times New Roman"/>
                <w:spacing w:val="-4"/>
                <w:sz w:val="22"/>
                <w:szCs w:val="22"/>
                <w:vertAlign w:val="superscript"/>
              </w:rPr>
              <w:t>1</w:t>
            </w:r>
            <w:r w:rsidRPr="00DC72D7">
              <w:rPr>
                <w:rFonts w:ascii="Times New Roman" w:hAnsi="Times New Roman"/>
                <w:spacing w:val="-4"/>
                <w:sz w:val="22"/>
                <w:szCs w:val="22"/>
              </w:rPr>
              <w:t xml:space="preserve"> dalimi, pakeitimo</w:t>
            </w:r>
          </w:p>
          <w:p w:rsidR="00DC72D7" w:rsidRPr="00DC72D7" w:rsidRDefault="00DC72D7" w:rsidP="00FE247F">
            <w:pPr>
              <w:shd w:val="clear" w:color="auto" w:fill="FFFFFF"/>
              <w:ind w:left="-69"/>
              <w:jc w:val="both"/>
              <w:rPr>
                <w:rFonts w:ascii="Times New Roman" w:hAnsi="Times New Roman"/>
                <w:spacing w:val="-4"/>
                <w:sz w:val="22"/>
                <w:szCs w:val="22"/>
              </w:rPr>
            </w:pPr>
            <w:r w:rsidRPr="00DC72D7">
              <w:rPr>
                <w:rFonts w:ascii="Times New Roman" w:hAnsi="Times New Roman"/>
                <w:spacing w:val="-4"/>
                <w:sz w:val="22"/>
                <w:szCs w:val="22"/>
              </w:rPr>
              <w:t xml:space="preserve">Mūsų vertinimu, aukščiau nurodytos papildomos pareigos yra suformuluotos itin bendrai, joms trūksta aiškumo, dėl ko praktikoje šios nuostatos tokios, kaip jos yra suformuluotos Įstatymo projekte, negalės būti pritaikytos arba jų pritaikymas bus itin problematiškas ir nevieningas, dėl ko tiek finansų įstaigoms, kitiems įpareigotiesiems subjektams, tiek priežiūros institucijoms bus sudėtinga užtikrinti tinkamą </w:t>
            </w:r>
            <w:r w:rsidRPr="00DC72D7">
              <w:rPr>
                <w:rFonts w:ascii="Times New Roman" w:hAnsi="Times New Roman"/>
                <w:spacing w:val="-4"/>
                <w:sz w:val="22"/>
                <w:szCs w:val="22"/>
              </w:rPr>
              <w:lastRenderedPageBreak/>
              <w:t>ir visapusišką šių nuostatų laikymąsi.</w:t>
            </w:r>
          </w:p>
          <w:p w:rsidR="00DC72D7" w:rsidRPr="00DC72D7" w:rsidRDefault="00DC72D7" w:rsidP="00FE247F">
            <w:pPr>
              <w:shd w:val="clear" w:color="auto" w:fill="FFFFFF"/>
              <w:ind w:left="-69"/>
              <w:jc w:val="both"/>
              <w:rPr>
                <w:rFonts w:ascii="Times New Roman" w:hAnsi="Times New Roman"/>
                <w:spacing w:val="-4"/>
                <w:sz w:val="22"/>
                <w:szCs w:val="22"/>
              </w:rPr>
            </w:pPr>
            <w:r w:rsidRPr="00DC72D7">
              <w:rPr>
                <w:rFonts w:ascii="Times New Roman" w:hAnsi="Times New Roman"/>
                <w:spacing w:val="-4"/>
                <w:sz w:val="22"/>
                <w:szCs w:val="22"/>
              </w:rPr>
              <w:t>Konkrečiai - aukščiau pacituotos papildomos pareigos numato tik bendrą pareigą „gauti papildomos informacijos" apie klientą, naudos gavėją, numatomą verslo santykių pobūdį, tačiau nedetalizuoja, kokia tai informacija turėtų būti, kas palieka erdvę skirtingoms interpretacijoms. Reikalavimas gauti informacijos apie numatomų arba įvykdytų sandorių priežastis, mūsų vertinimu, taip pat yra perteklinis, kadangi dubliuojasi su Įstatymo 9 straipsnio 14 dalyje įtvirtintu reikalavimu. Svarbu ir tai, kad sandorio priežastys yra žinomos tik pačiam klientui ir finansų įstaigai ar kitam įpareigotajam subjektui iš esmės būtų neįmanoma patikrinti, ar kliento nurodytos sandorio priežastys yra teisingos ir pamatuoti, kokią realią pinigų plovimo ir teroristų finansavimo riziką tai galėtų kelti. Be to, reikalavimas „prireikus užtikrinti, kad pirmasis kliento mokėjimas būtų atliekamas iš kredito įstaigoje turimos to kliento sąskaitos &lt;...&gt;“ taip pat palieka daug neaiškumų, kaip būtent turėtų būti traktuojama „prireikus", kokioje situacijoje toks poreikis galėtų kilti, ar rinkos dalyviai patys yra laisvi nusistatyti kriterijus, kuriems esant šis reikalavimas turėtų būti tenkinamas, o jei taip - ar tokiu atveju rinkos dalyviai gali tikėtis, kad jų nustatyti kriterijai nebus kvestionuojami turinio atžvilgiu, kt.</w:t>
            </w:r>
          </w:p>
          <w:p w:rsidR="00DC72D7" w:rsidRPr="00DC72D7" w:rsidRDefault="00892BD0" w:rsidP="00FE247F">
            <w:pPr>
              <w:shd w:val="clear" w:color="auto" w:fill="FFFFFF"/>
              <w:ind w:left="-69"/>
              <w:jc w:val="both"/>
              <w:rPr>
                <w:rFonts w:ascii="Times New Roman" w:hAnsi="Times New Roman"/>
                <w:spacing w:val="-4"/>
                <w:sz w:val="22"/>
                <w:szCs w:val="22"/>
              </w:rPr>
            </w:pPr>
            <w:r>
              <w:rPr>
                <w:rFonts w:ascii="Times New Roman" w:hAnsi="Times New Roman"/>
                <w:spacing w:val="-4"/>
                <w:sz w:val="22"/>
                <w:szCs w:val="22"/>
              </w:rPr>
              <w:t>&lt;...&gt;</w:t>
            </w:r>
          </w:p>
          <w:p w:rsidR="00DC72D7" w:rsidRPr="00DC72D7" w:rsidRDefault="00DC72D7" w:rsidP="00FE247F">
            <w:pPr>
              <w:shd w:val="clear" w:color="auto" w:fill="FFFFFF"/>
              <w:ind w:left="-69"/>
              <w:jc w:val="both"/>
              <w:rPr>
                <w:rFonts w:ascii="Times New Roman" w:hAnsi="Times New Roman"/>
                <w:spacing w:val="-4"/>
                <w:sz w:val="22"/>
                <w:szCs w:val="22"/>
              </w:rPr>
            </w:pPr>
            <w:r w:rsidRPr="00DC72D7">
              <w:rPr>
                <w:rFonts w:ascii="Times New Roman" w:hAnsi="Times New Roman"/>
                <w:spacing w:val="-4"/>
                <w:sz w:val="22"/>
                <w:szCs w:val="22"/>
              </w:rPr>
              <w:t>Atsižvelgiant į tai, siūlome apsvarstyti galimybę panaikinti Įstatymo projekto 11 straipsnio 3 dalies 4 punktą ir detalizuoti Įstatymo projekto 11 straipsnio 3 dalies 1 punktą, 2 punktą ir 7 punktą nurodant, kokia būtent papildoma informacija turėtų būti surenkama apie klientą, naudos gavėją, verslo santykių pobūdį bei kokiais atvejais finansų įstaiga ar kiti įpareigotieji subjektai turėtų užtikrinti, kad pirmasis kliento mokėjimas būtų atliekamas iš kredito įstaigoje turimos to kliento sąskaitos.</w:t>
            </w:r>
          </w:p>
        </w:tc>
        <w:tc>
          <w:tcPr>
            <w:tcW w:w="6378" w:type="dxa"/>
          </w:tcPr>
          <w:p w:rsidR="00DC72D7" w:rsidRPr="00DC72D7" w:rsidRDefault="00DC72D7" w:rsidP="00CE10F7">
            <w:pPr>
              <w:shd w:val="clear" w:color="auto" w:fill="FFFFFF"/>
              <w:jc w:val="both"/>
              <w:rPr>
                <w:rFonts w:ascii="Times New Roman" w:hAnsi="Times New Roman"/>
                <w:b/>
                <w:spacing w:val="-4"/>
                <w:sz w:val="22"/>
                <w:szCs w:val="22"/>
              </w:rPr>
            </w:pPr>
            <w:r w:rsidRPr="00DC72D7">
              <w:rPr>
                <w:rFonts w:ascii="Times New Roman" w:hAnsi="Times New Roman"/>
                <w:b/>
                <w:spacing w:val="-4"/>
                <w:sz w:val="22"/>
                <w:szCs w:val="22"/>
              </w:rPr>
              <w:lastRenderedPageBreak/>
              <w:t>Iš dalies atsižvelgta.</w:t>
            </w:r>
          </w:p>
          <w:p w:rsidR="00DC72D7" w:rsidRPr="00DC72D7" w:rsidRDefault="00DC72D7" w:rsidP="00C07653">
            <w:pPr>
              <w:shd w:val="clear" w:color="auto" w:fill="FFFFFF"/>
              <w:jc w:val="both"/>
              <w:rPr>
                <w:rFonts w:ascii="Times New Roman" w:hAnsi="Times New Roman"/>
                <w:spacing w:val="-4"/>
                <w:sz w:val="22"/>
                <w:szCs w:val="22"/>
              </w:rPr>
            </w:pPr>
            <w:r w:rsidRPr="00DC72D7">
              <w:rPr>
                <w:rFonts w:ascii="Times New Roman" w:hAnsi="Times New Roman"/>
                <w:spacing w:val="-4"/>
                <w:sz w:val="22"/>
                <w:szCs w:val="22"/>
              </w:rPr>
              <w:t>Įstatymo projekto 14 straipsnio 4</w:t>
            </w:r>
            <w:r w:rsidRPr="00DC72D7">
              <w:rPr>
                <w:rFonts w:ascii="Times New Roman" w:hAnsi="Times New Roman"/>
                <w:spacing w:val="-4"/>
                <w:sz w:val="22"/>
                <w:szCs w:val="22"/>
                <w:vertAlign w:val="superscript"/>
              </w:rPr>
              <w:t>1</w:t>
            </w:r>
            <w:r w:rsidRPr="00DC72D7">
              <w:rPr>
                <w:rFonts w:ascii="Times New Roman" w:hAnsi="Times New Roman"/>
                <w:spacing w:val="-4"/>
                <w:sz w:val="22"/>
                <w:szCs w:val="22"/>
              </w:rPr>
              <w:t xml:space="preserve"> dalimi į nacionalinę teisę perkeliamas Direktyvos 2018/843 1 straipsnio 11 punktas, kuriuo įterpiamame 18 a straipsnyje nustatyta, kad verslo santykių arba sandorių su didelės rizikos trečiosiomis valstybėmis, nustatytomis pagal 9 straipsnio 2 dalį, atveju valstybės narės reikalauja, kad įpareigotieji subjektai taikytų bent toliau pateiktas sustiprinto deramo klientų tikrinimo priemones: a) gauti papildomos informacijos apie klientą ir tikrąjį (-uosius) savininką (-us); </w:t>
            </w:r>
            <w:r w:rsidRPr="00DC72D7">
              <w:rPr>
                <w:rFonts w:ascii="Times New Roman" w:hAnsi="Times New Roman"/>
                <w:spacing w:val="-4"/>
                <w:sz w:val="22"/>
                <w:szCs w:val="22"/>
              </w:rPr>
              <w:lastRenderedPageBreak/>
              <w:t xml:space="preserve">b) gauti papildomos informacijos apie numatomą verslo santykių pobūdį; &lt;...&gt; d) gauti informacijos apie numatomų arba įvykdytų sandorių priežastis; &lt;...&gt; Valstybės narės gali reikalauti, kad prireikus įpareigotieji subjektai užtikrintų, kad pirmasis mokėjimas būtų atliktas per sąskaitą kliento vardu kredito įstaigoje, kuriai taikomi deramo klientų tikrinimo standartai, ne mažiau griežti nei šioje direktyvoje išdėstyti standartai. </w:t>
            </w:r>
          </w:p>
          <w:p w:rsidR="00DC72D7" w:rsidRPr="00DC72D7" w:rsidRDefault="00DC72D7" w:rsidP="00CE10F7">
            <w:pPr>
              <w:shd w:val="clear" w:color="auto" w:fill="FFFFFF"/>
              <w:jc w:val="both"/>
              <w:rPr>
                <w:rFonts w:ascii="Times New Roman" w:hAnsi="Times New Roman"/>
                <w:spacing w:val="-4"/>
                <w:sz w:val="22"/>
                <w:szCs w:val="22"/>
              </w:rPr>
            </w:pPr>
            <w:r w:rsidRPr="00DC72D7">
              <w:rPr>
                <w:rFonts w:ascii="Times New Roman" w:hAnsi="Times New Roman"/>
                <w:spacing w:val="-4"/>
                <w:sz w:val="22"/>
                <w:szCs w:val="22"/>
              </w:rPr>
              <w:t xml:space="preserve">Pastebėtina, kad finansų įstaigos ir kiti įpareigotieji subjektai, nustatydami savo klientų ir naudos gavėjų tapatybę imasi veiksmų, panaudoja duomenis, dokumentus ar informaciją, kuri leistų įsitikinti kliento tapatybės autentiškumu, todėl tam tikrais atvejais informacijos apimtis ir turinys gali varijuoti. Informacija apie </w:t>
            </w:r>
            <w:r w:rsidRPr="00DC72D7">
              <w:rPr>
                <w:rFonts w:ascii="Times New Roman" w:hAnsi="Times New Roman"/>
                <w:color w:val="000000"/>
                <w:sz w:val="22"/>
                <w:szCs w:val="22"/>
              </w:rPr>
              <w:t xml:space="preserve">verslo santykių pobūdį </w:t>
            </w:r>
            <w:r w:rsidRPr="00DC72D7">
              <w:rPr>
                <w:rFonts w:ascii="Times New Roman" w:hAnsi="Times New Roman"/>
                <w:spacing w:val="-4"/>
                <w:sz w:val="22"/>
                <w:szCs w:val="22"/>
              </w:rPr>
              <w:t>apimtis ir turinys taip pat priklauso nuo kliento verslo rūšie, intensyvumo ir praktikos. Atsižvelgiant į tai, kad nėra visiems klientams vienodos rinktinos informacijos apibrėžties, siekiant nesusiaurinti galimybių rinkti kitą, finansų įstaigos ar kito įpareigotojo subjekto nuomone, būtiną informaciją, Įstatymo projekte nėra tikslinga išvardinti papildomos informacijos rūšių, paliekant tai finansų įstaigos ir kitų įpareigotųjų subjektų diskrecijai. Be to, pareiga gauti informacijos apie numatomų arba įvykdytų sandorių priežastis, įtvirtinta Direktyvos 2018/843 18a straipsnyje, todėl šios nuostatos išbraukimas iš Įstatymo projekto negalimas.</w:t>
            </w:r>
          </w:p>
          <w:p w:rsidR="00DC72D7" w:rsidRPr="00DC72D7" w:rsidRDefault="00DC72D7" w:rsidP="00CE10F7">
            <w:pPr>
              <w:shd w:val="clear" w:color="auto" w:fill="FFFFFF"/>
              <w:jc w:val="both"/>
              <w:rPr>
                <w:rFonts w:ascii="Times New Roman" w:hAnsi="Times New Roman"/>
                <w:spacing w:val="-4"/>
                <w:sz w:val="22"/>
                <w:szCs w:val="22"/>
              </w:rPr>
            </w:pPr>
            <w:r w:rsidRPr="00DC72D7">
              <w:rPr>
                <w:rFonts w:ascii="Times New Roman" w:hAnsi="Times New Roman"/>
                <w:spacing w:val="-4"/>
                <w:sz w:val="22"/>
                <w:szCs w:val="22"/>
              </w:rPr>
              <w:t>Įstatymo projekto 14 straipsnio 4</w:t>
            </w:r>
            <w:r w:rsidRPr="00DC72D7">
              <w:rPr>
                <w:rFonts w:ascii="Times New Roman" w:hAnsi="Times New Roman"/>
                <w:spacing w:val="-4"/>
                <w:sz w:val="22"/>
                <w:szCs w:val="22"/>
                <w:vertAlign w:val="superscript"/>
              </w:rPr>
              <w:t>1</w:t>
            </w:r>
            <w:r w:rsidRPr="00DC72D7">
              <w:rPr>
                <w:rFonts w:ascii="Times New Roman" w:hAnsi="Times New Roman"/>
                <w:spacing w:val="-4"/>
                <w:sz w:val="22"/>
                <w:szCs w:val="22"/>
              </w:rPr>
              <w:t xml:space="preserve"> dalies 7 punkto formuluotė patikslinta.</w:t>
            </w:r>
          </w:p>
          <w:p w:rsidR="00DC72D7" w:rsidRPr="00DC72D7" w:rsidRDefault="00DC72D7" w:rsidP="00CE10F7">
            <w:pPr>
              <w:shd w:val="clear" w:color="auto" w:fill="FFFFFF"/>
              <w:jc w:val="both"/>
              <w:rPr>
                <w:rFonts w:ascii="Times New Roman" w:hAnsi="Times New Roman"/>
                <w:spacing w:val="-4"/>
                <w:sz w:val="22"/>
                <w:szCs w:val="22"/>
              </w:rPr>
            </w:pPr>
          </w:p>
        </w:tc>
      </w:tr>
      <w:tr w:rsidR="00DC72D7" w:rsidRPr="00126CEB" w:rsidTr="00AA506B">
        <w:tc>
          <w:tcPr>
            <w:tcW w:w="534" w:type="dxa"/>
          </w:tcPr>
          <w:p w:rsidR="00DC72D7" w:rsidRPr="00DC72D7" w:rsidRDefault="00892BD0" w:rsidP="00F157B7">
            <w:pPr>
              <w:jc w:val="both"/>
              <w:rPr>
                <w:rFonts w:ascii="Times New Roman" w:hAnsi="Times New Roman"/>
                <w:spacing w:val="-2"/>
                <w:sz w:val="22"/>
                <w:szCs w:val="22"/>
              </w:rPr>
            </w:pPr>
            <w:r>
              <w:rPr>
                <w:rFonts w:ascii="Times New Roman" w:hAnsi="Times New Roman"/>
                <w:spacing w:val="-2"/>
                <w:sz w:val="22"/>
                <w:szCs w:val="22"/>
              </w:rPr>
              <w:lastRenderedPageBreak/>
              <w:t>21.</w:t>
            </w:r>
          </w:p>
        </w:tc>
        <w:tc>
          <w:tcPr>
            <w:tcW w:w="1559" w:type="dxa"/>
            <w:shd w:val="clear" w:color="auto" w:fill="auto"/>
          </w:tcPr>
          <w:p w:rsidR="00DC72D7" w:rsidRPr="00DC72D7" w:rsidRDefault="00DC72D7" w:rsidP="007D5670">
            <w:pPr>
              <w:rPr>
                <w:rFonts w:ascii="Times New Roman" w:hAnsi="Times New Roman"/>
                <w:b/>
                <w:spacing w:val="-2"/>
                <w:sz w:val="22"/>
                <w:szCs w:val="22"/>
              </w:rPr>
            </w:pPr>
          </w:p>
        </w:tc>
        <w:tc>
          <w:tcPr>
            <w:tcW w:w="6379" w:type="dxa"/>
          </w:tcPr>
          <w:p w:rsidR="00DC72D7" w:rsidRPr="00DC72D7" w:rsidRDefault="00DC72D7" w:rsidP="00FE247F">
            <w:pPr>
              <w:shd w:val="clear" w:color="auto" w:fill="FFFFFF"/>
              <w:ind w:left="-69"/>
              <w:jc w:val="both"/>
              <w:rPr>
                <w:rFonts w:ascii="Times New Roman" w:hAnsi="Times New Roman"/>
                <w:spacing w:val="-4"/>
                <w:sz w:val="22"/>
                <w:szCs w:val="22"/>
              </w:rPr>
            </w:pPr>
            <w:r w:rsidRPr="00DC72D7">
              <w:rPr>
                <w:rFonts w:ascii="Times New Roman" w:hAnsi="Times New Roman"/>
                <w:spacing w:val="-4"/>
                <w:sz w:val="22"/>
                <w:szCs w:val="22"/>
              </w:rPr>
              <w:t>9)Dėl Įstatymo 14 straipsnio 10 dalies 2 punkto c) papunkčio pakeitimo (Įstatymo projektu pakeitimai dėl šios Įstatymo nuostatos kol kas nenumatyti)</w:t>
            </w:r>
          </w:p>
          <w:p w:rsidR="00DC72D7" w:rsidRPr="00DC72D7" w:rsidRDefault="00DC72D7" w:rsidP="00FE247F">
            <w:pPr>
              <w:shd w:val="clear" w:color="auto" w:fill="FFFFFF"/>
              <w:ind w:left="-69"/>
              <w:jc w:val="both"/>
              <w:rPr>
                <w:rFonts w:ascii="Times New Roman" w:hAnsi="Times New Roman"/>
                <w:spacing w:val="-4"/>
                <w:sz w:val="22"/>
                <w:szCs w:val="22"/>
              </w:rPr>
            </w:pPr>
            <w:r w:rsidRPr="00DC72D7">
              <w:rPr>
                <w:rFonts w:ascii="Times New Roman" w:hAnsi="Times New Roman"/>
                <w:spacing w:val="-4"/>
                <w:sz w:val="22"/>
                <w:szCs w:val="22"/>
              </w:rPr>
              <w:t>Įvertinant Lietuvos valstybės deklaruojamą siekį tapti finansų technologijoms ir inovacijoms patrauklia jurisdikcija bei įvertinant tai, kad vis daugiau finansinių paslaugų yra teikiama nuotoliniu būdu, kas savaime neimplikuoja padidėjusios rizikos pinigų plovimo ir teroristų finansavimo prevencijos srityje ir kas veikiau yra modernėjančios visuomenės ir besivystančių technologijų padarinys, siūlome papildyti Įstatymo projektą įtraukiant į jį nuostatą, kuria būtų patikslinama Įstatymo 14 straipsnio 10 dalies 2 punkto c) papunkčio nuostata ją išdėstant taip (lyginamoji versija):</w:t>
            </w:r>
          </w:p>
          <w:p w:rsidR="00DC72D7" w:rsidRPr="00DC72D7" w:rsidRDefault="00DC72D7" w:rsidP="00FE247F">
            <w:pPr>
              <w:shd w:val="clear" w:color="auto" w:fill="FFFFFF"/>
              <w:ind w:left="-69"/>
              <w:jc w:val="both"/>
              <w:rPr>
                <w:rFonts w:ascii="Times New Roman" w:hAnsi="Times New Roman"/>
                <w:spacing w:val="-4"/>
                <w:sz w:val="22"/>
                <w:szCs w:val="22"/>
              </w:rPr>
            </w:pPr>
            <w:r w:rsidRPr="00DC72D7">
              <w:rPr>
                <w:rFonts w:ascii="Times New Roman" w:hAnsi="Times New Roman"/>
                <w:spacing w:val="-4"/>
                <w:sz w:val="22"/>
                <w:szCs w:val="22"/>
              </w:rPr>
              <w:lastRenderedPageBreak/>
              <w:t xml:space="preserve">„c) verslo santykiai arba sandoriai sudaromi ar vykdomi </w:t>
            </w:r>
            <w:r w:rsidRPr="00DC72D7">
              <w:rPr>
                <w:rFonts w:ascii="Times New Roman" w:hAnsi="Times New Roman"/>
                <w:b/>
                <w:spacing w:val="-4"/>
                <w:sz w:val="22"/>
                <w:szCs w:val="22"/>
              </w:rPr>
              <w:t>klientui</w:t>
            </w:r>
            <w:r w:rsidRPr="00DC72D7">
              <w:rPr>
                <w:rFonts w:ascii="Times New Roman" w:hAnsi="Times New Roman"/>
                <w:spacing w:val="-4"/>
                <w:sz w:val="22"/>
                <w:szCs w:val="22"/>
              </w:rPr>
              <w:t xml:space="preserve"> fiziškai nedalyvaujant, </w:t>
            </w:r>
            <w:r w:rsidRPr="00DC72D7">
              <w:rPr>
                <w:rFonts w:ascii="Times New Roman" w:hAnsi="Times New Roman"/>
                <w:b/>
                <w:spacing w:val="-4"/>
                <w:sz w:val="22"/>
                <w:szCs w:val="22"/>
              </w:rPr>
              <w:t>kai yra pagrindo teigti, kad tai implikuoja apie padidėjusią pinigų plovimo ir teroristų finansavimo prevencijos riziką</w:t>
            </w:r>
            <w:r w:rsidRPr="00DC72D7">
              <w:rPr>
                <w:rFonts w:ascii="Times New Roman" w:hAnsi="Times New Roman"/>
                <w:spacing w:val="-4"/>
                <w:sz w:val="22"/>
                <w:szCs w:val="22"/>
              </w:rPr>
              <w:t>“.</w:t>
            </w:r>
          </w:p>
        </w:tc>
        <w:tc>
          <w:tcPr>
            <w:tcW w:w="6378" w:type="dxa"/>
          </w:tcPr>
          <w:p w:rsidR="00DC72D7" w:rsidRPr="00DC72D7" w:rsidRDefault="00DC72D7" w:rsidP="00380164">
            <w:pPr>
              <w:shd w:val="clear" w:color="auto" w:fill="FFFFFF"/>
              <w:jc w:val="both"/>
              <w:rPr>
                <w:rFonts w:ascii="Times New Roman" w:hAnsi="Times New Roman"/>
                <w:b/>
                <w:spacing w:val="-4"/>
                <w:sz w:val="22"/>
                <w:szCs w:val="22"/>
              </w:rPr>
            </w:pPr>
            <w:r w:rsidRPr="00DC72D7">
              <w:rPr>
                <w:rFonts w:ascii="Times New Roman" w:hAnsi="Times New Roman"/>
                <w:b/>
                <w:spacing w:val="-4"/>
                <w:sz w:val="22"/>
                <w:szCs w:val="22"/>
              </w:rPr>
              <w:lastRenderedPageBreak/>
              <w:t>Neatsižvelgta.</w:t>
            </w:r>
          </w:p>
          <w:p w:rsidR="00DC72D7" w:rsidRPr="00DC72D7" w:rsidRDefault="00DC72D7" w:rsidP="00C27D2D">
            <w:pPr>
              <w:shd w:val="clear" w:color="auto" w:fill="FFFFFF"/>
              <w:jc w:val="both"/>
              <w:rPr>
                <w:rFonts w:ascii="Times New Roman" w:hAnsi="Times New Roman"/>
                <w:b/>
                <w:spacing w:val="-4"/>
                <w:sz w:val="22"/>
                <w:szCs w:val="22"/>
              </w:rPr>
            </w:pPr>
            <w:r w:rsidRPr="00DC72D7">
              <w:rPr>
                <w:rFonts w:ascii="Times New Roman" w:hAnsi="Times New Roman"/>
                <w:spacing w:val="-4"/>
                <w:sz w:val="22"/>
                <w:szCs w:val="22"/>
              </w:rPr>
              <w:t>Įstatymo projekto 14 straipsnio 10 dalimi perkeliama Direktyvos 2015/849 III priedas, pagal kurį netiesioginiai verslo santykiai arba sandoriai be tam tikrų apsaugos priemonių, pavyzdžiui, elektroninės atpažinties priemonių, atitinkamų patikimumo užtikrinimo paslaugų, kaip apibrėžta Reglamente (ES) 910/2014, arba bet kurio kito saugaus nuotolinės arba elektroninės atpažinties proceso, kurį reglamentuoja, pripažįsta, yra patvirtinusios arba priėmusios atitinkamos nacionalinės valdžios institucijos laikytinas rizikos veiksniu, į kurį turi atsižvelgti finansų įstaigos ir kiti įpareigotieji subjektai. Atsižvelgiant į tai, siūlymas Įstatymo projekto 14 straipsnio 10 dalies 2 punkto c papunktį keisti nėra pagrįstas.</w:t>
            </w:r>
          </w:p>
        </w:tc>
      </w:tr>
      <w:tr w:rsidR="00DC72D7" w:rsidRPr="00126CEB" w:rsidTr="00AA506B">
        <w:tc>
          <w:tcPr>
            <w:tcW w:w="534" w:type="dxa"/>
          </w:tcPr>
          <w:p w:rsidR="00DC72D7" w:rsidRPr="00DC72D7" w:rsidRDefault="00892BD0" w:rsidP="00DB7E6A">
            <w:pPr>
              <w:jc w:val="both"/>
              <w:rPr>
                <w:rFonts w:ascii="Times New Roman" w:hAnsi="Times New Roman"/>
                <w:spacing w:val="-2"/>
                <w:sz w:val="22"/>
                <w:szCs w:val="22"/>
              </w:rPr>
            </w:pPr>
            <w:r>
              <w:rPr>
                <w:rFonts w:ascii="Times New Roman" w:hAnsi="Times New Roman"/>
                <w:spacing w:val="-2"/>
                <w:sz w:val="22"/>
                <w:szCs w:val="22"/>
              </w:rPr>
              <w:t>22.</w:t>
            </w:r>
          </w:p>
        </w:tc>
        <w:tc>
          <w:tcPr>
            <w:tcW w:w="1559" w:type="dxa"/>
            <w:shd w:val="clear" w:color="auto" w:fill="auto"/>
          </w:tcPr>
          <w:p w:rsidR="00DC72D7" w:rsidRPr="00DC72D7" w:rsidRDefault="00DC72D7" w:rsidP="007D5670">
            <w:pPr>
              <w:rPr>
                <w:rFonts w:ascii="Times New Roman" w:hAnsi="Times New Roman"/>
                <w:b/>
                <w:spacing w:val="-2"/>
                <w:sz w:val="22"/>
                <w:szCs w:val="22"/>
              </w:rPr>
            </w:pPr>
          </w:p>
        </w:tc>
        <w:tc>
          <w:tcPr>
            <w:tcW w:w="6379" w:type="dxa"/>
          </w:tcPr>
          <w:p w:rsidR="00DC72D7" w:rsidRPr="00DC72D7" w:rsidRDefault="00DC72D7" w:rsidP="00323880">
            <w:pPr>
              <w:shd w:val="clear" w:color="auto" w:fill="FFFFFF"/>
              <w:ind w:left="-69"/>
              <w:jc w:val="both"/>
              <w:rPr>
                <w:rFonts w:ascii="Times New Roman" w:hAnsi="Times New Roman"/>
                <w:spacing w:val="-4"/>
                <w:sz w:val="22"/>
                <w:szCs w:val="22"/>
              </w:rPr>
            </w:pPr>
            <w:r w:rsidRPr="00DC72D7">
              <w:rPr>
                <w:rFonts w:ascii="Times New Roman" w:hAnsi="Times New Roman"/>
                <w:spacing w:val="-4"/>
                <w:sz w:val="22"/>
                <w:szCs w:val="22"/>
              </w:rPr>
              <w:t xml:space="preserve">11) </w:t>
            </w:r>
            <w:r w:rsidR="00892BD0">
              <w:rPr>
                <w:rFonts w:ascii="Times New Roman" w:hAnsi="Times New Roman"/>
                <w:spacing w:val="-4"/>
                <w:sz w:val="22"/>
                <w:szCs w:val="22"/>
              </w:rPr>
              <w:t>&lt;...&gt;</w:t>
            </w:r>
            <w:r w:rsidRPr="00DC72D7">
              <w:rPr>
                <w:rFonts w:ascii="Times New Roman" w:hAnsi="Times New Roman"/>
                <w:spacing w:val="-4"/>
                <w:sz w:val="22"/>
                <w:szCs w:val="22"/>
              </w:rPr>
              <w:t xml:space="preserve"> Įvertinant aukščiau nurodytus argumentus, teisinį reguliavimą, vartojimo kreditų ir skolinimo veiklos specifiką, kitų šalių praktiką, siūlome papildyti Įstatymo projektą įtraukiant į jį nuostatą, kuria būtų pakeičiamas Įstatymo 15 straipsnio 1 dalies 7 punktas jį išdėstant taip (lyginamoji versija):</w:t>
            </w:r>
          </w:p>
          <w:p w:rsidR="00DC72D7" w:rsidRPr="00DC72D7" w:rsidRDefault="00DC72D7" w:rsidP="00323880">
            <w:pPr>
              <w:shd w:val="clear" w:color="auto" w:fill="FFFFFF"/>
              <w:ind w:left="-69"/>
              <w:jc w:val="both"/>
              <w:rPr>
                <w:rFonts w:ascii="Times New Roman" w:hAnsi="Times New Roman"/>
                <w:spacing w:val="-4"/>
                <w:sz w:val="22"/>
                <w:szCs w:val="22"/>
              </w:rPr>
            </w:pPr>
            <w:r w:rsidRPr="00DC72D7">
              <w:rPr>
                <w:rFonts w:ascii="Times New Roman" w:hAnsi="Times New Roman"/>
                <w:spacing w:val="-4"/>
                <w:sz w:val="22"/>
                <w:szCs w:val="22"/>
              </w:rPr>
              <w:t xml:space="preserve">„7) elektroninių pinigų atvejais, kai bendrai per kalendorinius metus įvykdytų operacijų vertei taikoma </w:t>
            </w:r>
            <w:r w:rsidRPr="00DC72D7">
              <w:rPr>
                <w:rFonts w:ascii="Times New Roman" w:hAnsi="Times New Roman"/>
                <w:strike/>
                <w:spacing w:val="-4"/>
                <w:sz w:val="22"/>
                <w:szCs w:val="22"/>
              </w:rPr>
              <w:t>1 000</w:t>
            </w:r>
            <w:r w:rsidRPr="00DC72D7">
              <w:rPr>
                <w:rFonts w:ascii="Times New Roman" w:hAnsi="Times New Roman"/>
                <w:spacing w:val="-4"/>
                <w:sz w:val="22"/>
                <w:szCs w:val="22"/>
              </w:rPr>
              <w:t xml:space="preserve"> </w:t>
            </w:r>
            <w:r w:rsidRPr="00DC72D7">
              <w:rPr>
                <w:rFonts w:ascii="Times New Roman" w:hAnsi="Times New Roman"/>
                <w:b/>
                <w:spacing w:val="-4"/>
                <w:sz w:val="22"/>
                <w:szCs w:val="22"/>
              </w:rPr>
              <w:t>3 000</w:t>
            </w:r>
            <w:r w:rsidRPr="00DC72D7">
              <w:rPr>
                <w:rFonts w:ascii="Times New Roman" w:hAnsi="Times New Roman"/>
                <w:spacing w:val="-4"/>
                <w:sz w:val="22"/>
                <w:szCs w:val="22"/>
              </w:rPr>
              <w:t xml:space="preserve"> eurų arba ją atitinkančios sumos užsienio valiuta riba, išskyrus šio įstatymo 9 straipsnio 4 dalyje nurodytus atvejus ir atvejus, kai tais pačiais kalendoriniais metais elektroninių pinigų turėtojo prašymu išperkama 500 eurų arba ją atitinkanti suma užsienio valiuta ar didesnė suma grynaisiais pinigais;"</w:t>
            </w:r>
          </w:p>
          <w:p w:rsidR="00DC72D7" w:rsidRPr="00DC72D7" w:rsidRDefault="00DC72D7" w:rsidP="00323880">
            <w:pPr>
              <w:shd w:val="clear" w:color="auto" w:fill="FFFFFF"/>
              <w:ind w:left="-69"/>
              <w:jc w:val="both"/>
              <w:rPr>
                <w:rFonts w:ascii="Times New Roman" w:hAnsi="Times New Roman"/>
                <w:spacing w:val="-4"/>
                <w:sz w:val="22"/>
                <w:szCs w:val="22"/>
              </w:rPr>
            </w:pPr>
            <w:r w:rsidRPr="00DC72D7">
              <w:rPr>
                <w:rFonts w:ascii="Times New Roman" w:hAnsi="Times New Roman"/>
                <w:spacing w:val="-4"/>
                <w:sz w:val="22"/>
                <w:szCs w:val="22"/>
              </w:rPr>
              <w:t>Dėl analogiškų priežasčių taip pat siūlome papildyti Įstatymo projektą įtraukiant į jį nuostatą, kuria Įstatymo 15 straipsnio 1 dalis būtų papildoma 11 punktu jį išdėstant taip:</w:t>
            </w:r>
          </w:p>
          <w:p w:rsidR="00DC72D7" w:rsidRPr="00DC72D7" w:rsidRDefault="00DC72D7" w:rsidP="00323880">
            <w:pPr>
              <w:shd w:val="clear" w:color="auto" w:fill="FFFFFF"/>
              <w:ind w:left="-69"/>
              <w:jc w:val="both"/>
              <w:rPr>
                <w:rFonts w:ascii="Times New Roman" w:hAnsi="Times New Roman"/>
                <w:spacing w:val="-4"/>
                <w:sz w:val="22"/>
                <w:szCs w:val="22"/>
              </w:rPr>
            </w:pPr>
            <w:r w:rsidRPr="00DC72D7">
              <w:rPr>
                <w:rFonts w:ascii="Times New Roman" w:hAnsi="Times New Roman"/>
                <w:spacing w:val="-4"/>
                <w:sz w:val="22"/>
                <w:szCs w:val="22"/>
              </w:rPr>
              <w:t>„11) suteikiamo kredito ar paskolos atvejais, kai sudaromi mažos vertės sandoriai, kurie neviršija 3 000 eurų sumos per metus ar ją atitinkančios sumos kita valiuta, įskaitant kredito liniją, vartojimo kreditą, hipotekos kreditą, sąskaitos kreditą, taip pat atpirkimo sandorius, išsimokėtinai (kreditan) parduotą turtą, kreditinius įsiskolinimus, susidariusius dėl faktoringo arba vekselių operacijų ir finansinę nuomą (lizingą).“.</w:t>
            </w:r>
          </w:p>
        </w:tc>
        <w:tc>
          <w:tcPr>
            <w:tcW w:w="6378" w:type="dxa"/>
          </w:tcPr>
          <w:p w:rsidR="00DC72D7" w:rsidRPr="00DC72D7" w:rsidRDefault="00DC72D7" w:rsidP="00380164">
            <w:pPr>
              <w:shd w:val="clear" w:color="auto" w:fill="FFFFFF"/>
              <w:jc w:val="both"/>
              <w:rPr>
                <w:rFonts w:ascii="Times New Roman" w:hAnsi="Times New Roman"/>
                <w:b/>
                <w:spacing w:val="-4"/>
                <w:sz w:val="22"/>
                <w:szCs w:val="22"/>
              </w:rPr>
            </w:pPr>
            <w:r w:rsidRPr="00DC72D7">
              <w:rPr>
                <w:rFonts w:ascii="Times New Roman" w:hAnsi="Times New Roman"/>
                <w:b/>
                <w:spacing w:val="-4"/>
                <w:sz w:val="22"/>
                <w:szCs w:val="22"/>
              </w:rPr>
              <w:t>Neatsižvelgta.</w:t>
            </w:r>
          </w:p>
          <w:p w:rsidR="00DC72D7" w:rsidRPr="00DC72D7" w:rsidRDefault="00DC72D7" w:rsidP="00A85F96">
            <w:pPr>
              <w:shd w:val="clear" w:color="auto" w:fill="FFFFFF"/>
              <w:jc w:val="both"/>
              <w:rPr>
                <w:rFonts w:ascii="Times New Roman" w:hAnsi="Times New Roman"/>
                <w:sz w:val="22"/>
                <w:szCs w:val="22"/>
              </w:rPr>
            </w:pPr>
            <w:r w:rsidRPr="00DC72D7">
              <w:rPr>
                <w:rFonts w:ascii="Times New Roman" w:hAnsi="Times New Roman"/>
                <w:spacing w:val="-4"/>
                <w:sz w:val="22"/>
                <w:szCs w:val="22"/>
              </w:rPr>
              <w:t>Vadovaujantis Direktyvos 2015/849 15 straipsniu</w:t>
            </w:r>
            <w:r w:rsidRPr="00DC72D7">
              <w:rPr>
                <w:rFonts w:ascii="Times New Roman" w:hAnsi="Times New Roman"/>
                <w:sz w:val="22"/>
                <w:szCs w:val="22"/>
              </w:rPr>
              <w:t xml:space="preserve">, kad kai valstybė narė nustato mažesnės rizikos sritis, ta valstybė narė gali leisti įpareigotiesiems subjektams taikyti supaprastinto deramo klientų tikrinimo priemones. Šiuo metu Įstatyme nustatyti 10 tokių sričių, kuriose, finansų įstaigoms ar kitiems įpareigotiesiems subjektams nustačius mažą pinigų plovimo ir (ar) teroristų finansavimo riziką, leidžiama taikyti supaprastintą kliento tapatybės nustatymą. </w:t>
            </w:r>
          </w:p>
          <w:p w:rsidR="00DC72D7" w:rsidRPr="00DC72D7" w:rsidRDefault="00DC72D7" w:rsidP="00A85F96">
            <w:pPr>
              <w:shd w:val="clear" w:color="auto" w:fill="FFFFFF"/>
              <w:jc w:val="both"/>
              <w:rPr>
                <w:rFonts w:ascii="Times New Roman" w:hAnsi="Times New Roman"/>
                <w:sz w:val="22"/>
                <w:szCs w:val="22"/>
              </w:rPr>
            </w:pPr>
            <w:r w:rsidRPr="00DC72D7">
              <w:rPr>
                <w:rFonts w:ascii="Times New Roman" w:hAnsi="Times New Roman"/>
                <w:sz w:val="22"/>
                <w:szCs w:val="22"/>
              </w:rPr>
              <w:t>Vertinant tokias sritis būtina atsižvelgti į Europos Komisijos atliktos pinigų plovimo ir teroristų finansavimo rizikos vertinimo Europos Sąjungos mastu rezultatus.</w:t>
            </w:r>
          </w:p>
          <w:p w:rsidR="00DC72D7" w:rsidRPr="00DC72D7" w:rsidRDefault="00DC72D7" w:rsidP="00A85F96">
            <w:pPr>
              <w:shd w:val="clear" w:color="auto" w:fill="FFFFFF"/>
              <w:jc w:val="both"/>
              <w:rPr>
                <w:rFonts w:ascii="Times New Roman" w:hAnsi="Times New Roman"/>
                <w:spacing w:val="-4"/>
                <w:sz w:val="22"/>
                <w:szCs w:val="22"/>
              </w:rPr>
            </w:pPr>
            <w:r w:rsidRPr="00DC72D7">
              <w:rPr>
                <w:rFonts w:ascii="Times New Roman" w:hAnsi="Times New Roman"/>
                <w:sz w:val="22"/>
                <w:szCs w:val="22"/>
              </w:rPr>
              <w:t>Pažymėtina, kad Europos Komisijai įvertinus vartojimo kredito ir mažos vertės paskolų sektorių, nustatyta, kad vartojimo kreditas ir mažos vertės paskolos siejamos su teroristų finansavimo rizika: Europos Komisija šią grėsmę įvertino kaip reikšmingą (3 balai iš 4), Europos Komisija sektoriaus pažeidžiamumą įvertino taip pat kaip reikšmingą (3 balai iš 4). Bendra vartojimo kredito ir mažos vertės paskolų sektoriui kylanti teroristų finansavimo rizika – aukšta (significant high). Atsižvelgiant į tai, nėra galimybės atsižvelgti į pasiūlymą nustatyti supaprastintą kliento tapatybės nustatymą</w:t>
            </w:r>
            <w:r w:rsidRPr="00DC72D7">
              <w:rPr>
                <w:rFonts w:ascii="Times New Roman" w:hAnsi="Times New Roman"/>
                <w:spacing w:val="-4"/>
                <w:sz w:val="22"/>
                <w:szCs w:val="22"/>
              </w:rPr>
              <w:t xml:space="preserve"> suteikiamo kredito ar paskolos atvejais, kai sudaromi mažos vertės sandoriai.</w:t>
            </w:r>
          </w:p>
          <w:p w:rsidR="00DC72D7" w:rsidRPr="00DC72D7" w:rsidRDefault="00DC72D7" w:rsidP="00BE35C5">
            <w:pPr>
              <w:shd w:val="clear" w:color="auto" w:fill="FFFFFF"/>
              <w:jc w:val="both"/>
              <w:rPr>
                <w:rFonts w:ascii="Times New Roman" w:hAnsi="Times New Roman"/>
                <w:spacing w:val="-4"/>
                <w:sz w:val="22"/>
                <w:szCs w:val="22"/>
              </w:rPr>
            </w:pPr>
            <w:r w:rsidRPr="00DC72D7">
              <w:rPr>
                <w:rFonts w:ascii="Times New Roman" w:hAnsi="Times New Roman"/>
                <w:spacing w:val="-4"/>
                <w:sz w:val="22"/>
                <w:szCs w:val="22"/>
              </w:rPr>
              <w:t xml:space="preserve">Pasiūlymas svarstyti didinti supaprastinto kliento tapatybės nustatymo limitą elektroninių pinigų atvejais yra įtrauktas į Priemonių finansinių technologijų sektoriaus plėtrai Lietuvoje skatinti planą. Šios priemonės turi būti tinkamai išanalizuotos specialistų, siekiant įvertinti siūlomų priemonių </w:t>
            </w:r>
            <w:r w:rsidRPr="00DC72D7">
              <w:rPr>
                <w:rFonts w:ascii="Times New Roman" w:hAnsi="Times New Roman"/>
                <w:sz w:val="22"/>
                <w:szCs w:val="22"/>
              </w:rPr>
              <w:t>saugumą, galimą poreikį taikyti papildomas kylančios rizikos mažinimo priemones. Atsižvelgiant į tai, kad pasiūlymas nagrinėjamas kartu su kitomis iniciatyvomis ir kadangi toks procesas dėl laiko sąnaudų nesuderinamas su Įstatymo projekto tikslu laiku perketi Direktyvos 2018/843 nuostatas, į pasiūlymą negali būti atsižvelgta.</w:t>
            </w:r>
          </w:p>
          <w:p w:rsidR="00DC72D7" w:rsidRPr="00DC72D7" w:rsidRDefault="00DC72D7" w:rsidP="00A85F96">
            <w:pPr>
              <w:shd w:val="clear" w:color="auto" w:fill="FFFFFF"/>
              <w:jc w:val="both"/>
              <w:rPr>
                <w:rFonts w:ascii="Times New Roman" w:hAnsi="Times New Roman"/>
                <w:spacing w:val="-4"/>
                <w:sz w:val="22"/>
                <w:szCs w:val="22"/>
              </w:rPr>
            </w:pPr>
          </w:p>
        </w:tc>
      </w:tr>
      <w:tr w:rsidR="00DC72D7" w:rsidRPr="00126CEB" w:rsidTr="00AA506B">
        <w:tc>
          <w:tcPr>
            <w:tcW w:w="534" w:type="dxa"/>
          </w:tcPr>
          <w:p w:rsidR="00DC72D7" w:rsidRPr="00DC72D7" w:rsidRDefault="00892BD0" w:rsidP="00F157B7">
            <w:pPr>
              <w:jc w:val="both"/>
              <w:rPr>
                <w:rFonts w:ascii="Times New Roman" w:hAnsi="Times New Roman"/>
                <w:spacing w:val="-2"/>
                <w:sz w:val="22"/>
                <w:szCs w:val="22"/>
              </w:rPr>
            </w:pPr>
            <w:r>
              <w:rPr>
                <w:rFonts w:ascii="Times New Roman" w:hAnsi="Times New Roman"/>
                <w:spacing w:val="-2"/>
                <w:sz w:val="22"/>
                <w:szCs w:val="22"/>
              </w:rPr>
              <w:t>23.</w:t>
            </w:r>
          </w:p>
        </w:tc>
        <w:tc>
          <w:tcPr>
            <w:tcW w:w="1559" w:type="dxa"/>
            <w:shd w:val="clear" w:color="auto" w:fill="auto"/>
          </w:tcPr>
          <w:p w:rsidR="00DC72D7" w:rsidRPr="00DC72D7" w:rsidRDefault="00DC72D7" w:rsidP="007D5670">
            <w:pPr>
              <w:rPr>
                <w:rFonts w:ascii="Times New Roman" w:hAnsi="Times New Roman"/>
                <w:b/>
                <w:spacing w:val="-2"/>
                <w:sz w:val="22"/>
                <w:szCs w:val="22"/>
              </w:rPr>
            </w:pPr>
          </w:p>
        </w:tc>
        <w:tc>
          <w:tcPr>
            <w:tcW w:w="6379" w:type="dxa"/>
          </w:tcPr>
          <w:p w:rsidR="00DC72D7" w:rsidRPr="00DC72D7" w:rsidRDefault="00DC72D7" w:rsidP="003426F7">
            <w:pPr>
              <w:shd w:val="clear" w:color="auto" w:fill="FFFFFF"/>
              <w:ind w:left="-69"/>
              <w:jc w:val="both"/>
              <w:rPr>
                <w:rFonts w:ascii="Times New Roman" w:hAnsi="Times New Roman"/>
                <w:spacing w:val="-4"/>
                <w:sz w:val="22"/>
                <w:szCs w:val="22"/>
              </w:rPr>
            </w:pPr>
            <w:r w:rsidRPr="00DC72D7">
              <w:rPr>
                <w:rFonts w:ascii="Times New Roman" w:hAnsi="Times New Roman"/>
                <w:spacing w:val="-4"/>
                <w:sz w:val="22"/>
                <w:szCs w:val="22"/>
              </w:rPr>
              <w:t>12) Dėl Įstatymo 18 straipsnio atitikties su Įstatymo 9 straipsnio 18 dalimi (Įstatymo projektu susiję pakeitimai kol kas nenumatyti)</w:t>
            </w:r>
          </w:p>
          <w:p w:rsidR="00DC72D7" w:rsidRPr="00DC72D7" w:rsidRDefault="00DC72D7" w:rsidP="003426F7">
            <w:pPr>
              <w:shd w:val="clear" w:color="auto" w:fill="FFFFFF"/>
              <w:ind w:left="-69"/>
              <w:jc w:val="both"/>
              <w:rPr>
                <w:rFonts w:ascii="Times New Roman" w:hAnsi="Times New Roman"/>
                <w:spacing w:val="-4"/>
                <w:sz w:val="22"/>
                <w:szCs w:val="22"/>
              </w:rPr>
            </w:pPr>
            <w:r w:rsidRPr="00DC72D7">
              <w:rPr>
                <w:rFonts w:ascii="Times New Roman" w:hAnsi="Times New Roman"/>
                <w:spacing w:val="-4"/>
                <w:sz w:val="22"/>
                <w:szCs w:val="22"/>
              </w:rPr>
              <w:lastRenderedPageBreak/>
              <w:t>Įstatymo 18 straipsnis įtvirtina finansų įstaigų ir kitų įpareigotųjų subjektų teisę atsisakyti vykdyti pinigines operacijas ar sandorius, nutraukti juos ar dalykinius santykius su klientu tuo atveju, jei klientas vengia ar atsisako finansų įstaigai ar kitam įpareigotajam subjektui jo prašymu ir terminais pateikti papildomą informaciją.</w:t>
            </w:r>
          </w:p>
          <w:p w:rsidR="00DC72D7" w:rsidRPr="00DC72D7" w:rsidRDefault="00DC72D7" w:rsidP="003426F7">
            <w:pPr>
              <w:shd w:val="clear" w:color="auto" w:fill="FFFFFF"/>
              <w:ind w:left="-69"/>
              <w:jc w:val="both"/>
              <w:rPr>
                <w:rFonts w:ascii="Times New Roman" w:hAnsi="Times New Roman"/>
                <w:spacing w:val="-4"/>
                <w:sz w:val="22"/>
                <w:szCs w:val="22"/>
              </w:rPr>
            </w:pPr>
            <w:r w:rsidRPr="00DC72D7">
              <w:rPr>
                <w:rFonts w:ascii="Times New Roman" w:hAnsi="Times New Roman"/>
                <w:spacing w:val="-4"/>
                <w:sz w:val="22"/>
                <w:szCs w:val="22"/>
              </w:rPr>
              <w:t>Įstatymo 9 straipsnio 18 dalis numato draudimą finansų įstaigai ar kitam įpareigotam subjektui vykdyti sandorius, užmegzti ar tęsti dalykinius santykius su klientu, jeigu klientas nepateikia, pateikia ne visus ar vengia pateikti informaciją, būtiną užtikrinti Įstatyme įtvirtintų pareigų tinkamą įvykdymą.</w:t>
            </w:r>
          </w:p>
          <w:p w:rsidR="00DC72D7" w:rsidRPr="00DC72D7" w:rsidRDefault="00DC72D7" w:rsidP="003426F7">
            <w:pPr>
              <w:shd w:val="clear" w:color="auto" w:fill="FFFFFF"/>
              <w:ind w:left="-69"/>
              <w:jc w:val="both"/>
              <w:rPr>
                <w:rFonts w:ascii="Times New Roman" w:hAnsi="Times New Roman"/>
                <w:spacing w:val="-4"/>
                <w:sz w:val="22"/>
                <w:szCs w:val="22"/>
              </w:rPr>
            </w:pPr>
            <w:r w:rsidRPr="00DC72D7">
              <w:rPr>
                <w:rFonts w:ascii="Times New Roman" w:hAnsi="Times New Roman"/>
                <w:spacing w:val="-4"/>
                <w:sz w:val="22"/>
                <w:szCs w:val="22"/>
              </w:rPr>
              <w:t>Siūlome Įstatymo projektu suvienodinti aukščiau nurodytas Įstatymo nuostatas, kad neliktų neaiškumo, ar finansų įstaigos ir kiti įpareigotieji subjektai turi teisę ar pareigą atsisakyti vykdyti sandorius su klientu ir/ar nutraukti dalykinius santykius su klientu, jeigu klientas nepateikia Įstatyme numatytų reikalavimų įvykdymui svarbios informacijos.</w:t>
            </w:r>
          </w:p>
          <w:p w:rsidR="00DC72D7" w:rsidRPr="00DC72D7" w:rsidRDefault="00DC72D7" w:rsidP="00380164">
            <w:pPr>
              <w:shd w:val="clear" w:color="auto" w:fill="FFFFFF"/>
              <w:ind w:left="-69"/>
              <w:jc w:val="both"/>
              <w:rPr>
                <w:rFonts w:ascii="Times New Roman" w:hAnsi="Times New Roman"/>
                <w:spacing w:val="-4"/>
                <w:sz w:val="22"/>
                <w:szCs w:val="22"/>
              </w:rPr>
            </w:pPr>
          </w:p>
        </w:tc>
        <w:tc>
          <w:tcPr>
            <w:tcW w:w="6378" w:type="dxa"/>
          </w:tcPr>
          <w:p w:rsidR="00DC72D7" w:rsidRPr="00DC72D7" w:rsidRDefault="00DC72D7" w:rsidP="00380164">
            <w:pPr>
              <w:shd w:val="clear" w:color="auto" w:fill="FFFFFF"/>
              <w:jc w:val="both"/>
              <w:rPr>
                <w:rFonts w:ascii="Times New Roman" w:hAnsi="Times New Roman"/>
                <w:b/>
                <w:spacing w:val="-4"/>
                <w:sz w:val="22"/>
                <w:szCs w:val="22"/>
              </w:rPr>
            </w:pPr>
            <w:r w:rsidRPr="00DC72D7">
              <w:rPr>
                <w:rFonts w:ascii="Times New Roman" w:hAnsi="Times New Roman"/>
                <w:b/>
                <w:spacing w:val="-4"/>
                <w:sz w:val="22"/>
                <w:szCs w:val="22"/>
              </w:rPr>
              <w:lastRenderedPageBreak/>
              <w:t>Neatsižvelgta.</w:t>
            </w:r>
          </w:p>
          <w:p w:rsidR="00DC72D7" w:rsidRPr="00DC72D7" w:rsidRDefault="00DC72D7" w:rsidP="00087742">
            <w:pPr>
              <w:shd w:val="clear" w:color="auto" w:fill="FFFFFF"/>
              <w:jc w:val="both"/>
              <w:rPr>
                <w:rFonts w:ascii="Times New Roman" w:hAnsi="Times New Roman"/>
                <w:spacing w:val="-4"/>
                <w:sz w:val="22"/>
                <w:szCs w:val="22"/>
              </w:rPr>
            </w:pPr>
            <w:r w:rsidRPr="00DC72D7">
              <w:rPr>
                <w:rFonts w:ascii="Times New Roman" w:hAnsi="Times New Roman"/>
                <w:spacing w:val="-4"/>
                <w:sz w:val="22"/>
                <w:szCs w:val="22"/>
              </w:rPr>
              <w:t xml:space="preserve">Įstatymo 18 straipsnis ir Įstatymo 9 straipsnio 18 dalis reglamentuoja </w:t>
            </w:r>
            <w:r w:rsidRPr="00DC72D7">
              <w:rPr>
                <w:rFonts w:ascii="Times New Roman" w:hAnsi="Times New Roman"/>
                <w:spacing w:val="-4"/>
                <w:sz w:val="22"/>
                <w:szCs w:val="22"/>
              </w:rPr>
              <w:lastRenderedPageBreak/>
              <w:t xml:space="preserve">skirtingus santykius, t.y. vadovaujantis Įstatymo 9 straipsnio 18 dalimis, finansų įstaigoms ir kitiems įpareigotiesiems subjektams draudžiama užmegzti ar tęsti dalykinius santykius, vykdyti sandorius, kai jie negali įvykdyti </w:t>
            </w:r>
            <w:r w:rsidRPr="00DC72D7">
              <w:rPr>
                <w:rFonts w:ascii="Times New Roman" w:hAnsi="Times New Roman"/>
                <w:spacing w:val="-4"/>
                <w:sz w:val="22"/>
                <w:szCs w:val="22"/>
                <w:u w:val="single"/>
              </w:rPr>
              <w:t>Įstatyme nustatytų</w:t>
            </w:r>
            <w:r w:rsidRPr="00DC72D7">
              <w:rPr>
                <w:rFonts w:ascii="Times New Roman" w:hAnsi="Times New Roman"/>
                <w:spacing w:val="-4"/>
                <w:sz w:val="22"/>
                <w:szCs w:val="22"/>
              </w:rPr>
              <w:t xml:space="preserve"> privalomų tapatybės nustatymo ir kitų reikalavimų, o vadovaujantis Įstatymo 18 straipsniu finansų įstaigoms ir kitiems įpareigotiesiems suteikiama teisė atsisakyti vykdyti pinigines operacijas ar sandorį, nutraukti sandorius ar dalykinius santykius su klientu, jeigu klientas neteikia </w:t>
            </w:r>
            <w:r w:rsidRPr="00DC72D7">
              <w:rPr>
                <w:rFonts w:ascii="Times New Roman" w:hAnsi="Times New Roman"/>
                <w:spacing w:val="-4"/>
                <w:sz w:val="22"/>
                <w:szCs w:val="22"/>
                <w:u w:val="single"/>
              </w:rPr>
              <w:t>papildomos</w:t>
            </w:r>
            <w:r w:rsidRPr="00DC72D7">
              <w:rPr>
                <w:rFonts w:ascii="Times New Roman" w:hAnsi="Times New Roman"/>
                <w:spacing w:val="-4"/>
                <w:sz w:val="22"/>
                <w:szCs w:val="22"/>
              </w:rPr>
              <w:t xml:space="preserve"> (kitos, nei minimaliai privaloma pagal Įstatymą) informacijos. Atsižvelgiant į tai, kad Įstatymo 18 straipsnio nuostata praktikoje yra reikalinga, nėra tikslinga jos išbraukti.</w:t>
            </w:r>
          </w:p>
        </w:tc>
      </w:tr>
      <w:tr w:rsidR="00DC72D7" w:rsidRPr="00126CEB" w:rsidTr="00AA506B">
        <w:tc>
          <w:tcPr>
            <w:tcW w:w="534" w:type="dxa"/>
          </w:tcPr>
          <w:p w:rsidR="00DC72D7" w:rsidRPr="00DC72D7" w:rsidRDefault="00892BD0" w:rsidP="00F157B7">
            <w:pPr>
              <w:jc w:val="both"/>
              <w:rPr>
                <w:rFonts w:ascii="Times New Roman" w:hAnsi="Times New Roman"/>
                <w:spacing w:val="-2"/>
                <w:sz w:val="22"/>
                <w:szCs w:val="22"/>
              </w:rPr>
            </w:pPr>
            <w:r>
              <w:rPr>
                <w:rFonts w:ascii="Times New Roman" w:hAnsi="Times New Roman"/>
                <w:spacing w:val="-2"/>
                <w:sz w:val="22"/>
                <w:szCs w:val="22"/>
              </w:rPr>
              <w:lastRenderedPageBreak/>
              <w:t>24.</w:t>
            </w:r>
          </w:p>
        </w:tc>
        <w:tc>
          <w:tcPr>
            <w:tcW w:w="1559" w:type="dxa"/>
            <w:shd w:val="clear" w:color="auto" w:fill="auto"/>
          </w:tcPr>
          <w:p w:rsidR="00DC72D7" w:rsidRPr="00DC72D7" w:rsidRDefault="00DC72D7" w:rsidP="007D5670">
            <w:pPr>
              <w:rPr>
                <w:rFonts w:ascii="Times New Roman" w:hAnsi="Times New Roman"/>
                <w:spacing w:val="-2"/>
                <w:sz w:val="22"/>
                <w:szCs w:val="22"/>
              </w:rPr>
            </w:pPr>
            <w:r w:rsidRPr="00DC72D7">
              <w:rPr>
                <w:rFonts w:ascii="Times New Roman" w:hAnsi="Times New Roman"/>
                <w:spacing w:val="-2"/>
                <w:sz w:val="22"/>
                <w:szCs w:val="22"/>
              </w:rPr>
              <w:t>Lietuvos buhalterių ir auditorių asociacija</w:t>
            </w:r>
          </w:p>
          <w:p w:rsidR="00DC72D7" w:rsidRPr="00DC72D7" w:rsidRDefault="00DC72D7" w:rsidP="007D5670">
            <w:pPr>
              <w:rPr>
                <w:rFonts w:ascii="Times New Roman" w:hAnsi="Times New Roman"/>
                <w:b/>
                <w:spacing w:val="-2"/>
                <w:sz w:val="22"/>
                <w:szCs w:val="22"/>
              </w:rPr>
            </w:pPr>
            <w:r w:rsidRPr="00DC72D7">
              <w:rPr>
                <w:rFonts w:ascii="Times New Roman" w:hAnsi="Times New Roman"/>
                <w:spacing w:val="-2"/>
                <w:sz w:val="22"/>
                <w:szCs w:val="22"/>
              </w:rPr>
              <w:t>2019-01-03 raštas</w:t>
            </w:r>
          </w:p>
        </w:tc>
        <w:tc>
          <w:tcPr>
            <w:tcW w:w="6379" w:type="dxa"/>
          </w:tcPr>
          <w:p w:rsidR="00DC72D7" w:rsidRPr="00DC72D7" w:rsidRDefault="00DC72D7" w:rsidP="00957A40">
            <w:pPr>
              <w:shd w:val="clear" w:color="auto" w:fill="FFFFFF"/>
              <w:ind w:left="-69"/>
              <w:jc w:val="both"/>
              <w:rPr>
                <w:rFonts w:ascii="Times New Roman" w:hAnsi="Times New Roman"/>
                <w:spacing w:val="-4"/>
                <w:sz w:val="22"/>
                <w:szCs w:val="22"/>
              </w:rPr>
            </w:pPr>
            <w:r w:rsidRPr="00DC72D7">
              <w:rPr>
                <w:rFonts w:ascii="Times New Roman" w:hAnsi="Times New Roman"/>
                <w:spacing w:val="-4"/>
                <w:sz w:val="22"/>
                <w:szCs w:val="22"/>
              </w:rPr>
              <w:t>1. Direktyvos pakeitime numatyta, kad pareigos turi būti taikomos asmenims, kurie teikia mokesčių konsultacijų paslaugas. Įstatymo pakeitimo projektas neaiškiai atskleidžia įpareigotojo subjekto apibūdinimą, t.y. kad įpareigotuoju subjektu buhalterinės apskaitos ar mokesčių konsultavimo paslaugas teikiančios įmonės bei savarankiškai veikiantys asmenys tampa įpareigotaisiais subjektais, TIK kai jie teikia mokesčių konsultavimo paslaugas ir toje apimtyje, kiek jų veikla yra susijusi su mokesčių konsultavimu. T.y. jeigu buhalterinės apskaitos paslaugas teikianti įmonė teikia ir buhalterinės apskaitos ir mokesčių konsultavimo paslaugas, PPTFPĮ įstatymo 17 str. ir panašios pareigos taikomos, kai teikiamos mokesčių konsultacijos ir netaikomos, kai teikiamos tik buhalterinės apskaitos paslaugos.</w:t>
            </w:r>
          </w:p>
          <w:p w:rsidR="00DC72D7" w:rsidRPr="00DC72D7" w:rsidRDefault="00DC72D7" w:rsidP="00892BD0">
            <w:pPr>
              <w:shd w:val="clear" w:color="auto" w:fill="FFFFFF"/>
              <w:ind w:left="-69"/>
              <w:jc w:val="both"/>
              <w:rPr>
                <w:rFonts w:ascii="Times New Roman" w:hAnsi="Times New Roman"/>
                <w:spacing w:val="-4"/>
                <w:sz w:val="22"/>
                <w:szCs w:val="22"/>
              </w:rPr>
            </w:pPr>
            <w:r w:rsidRPr="00DC72D7">
              <w:rPr>
                <w:rFonts w:ascii="Times New Roman" w:hAnsi="Times New Roman"/>
                <w:spacing w:val="-4"/>
                <w:sz w:val="22"/>
                <w:szCs w:val="22"/>
              </w:rPr>
              <w:t>Įstatymo projekte numatyta didesnė našta buhalterinių paslaugų įmonėms dėl PPTFP tvarkos taikymo, nei yra nustatyta direktyvoje. Lietuva be pagrindo pasirinko praplėsti direktyvos taikymą didesniam asmenų ratui ir siūlo jį numatyti taikyti buhalterinių paslaugų įmonių klientams, kai jiems nėra teikiamos mokesčių konsultacijos.</w:t>
            </w:r>
            <w:r w:rsidR="00892BD0">
              <w:rPr>
                <w:rFonts w:ascii="Times New Roman" w:hAnsi="Times New Roman"/>
                <w:spacing w:val="-4"/>
                <w:sz w:val="22"/>
                <w:szCs w:val="22"/>
              </w:rPr>
              <w:t xml:space="preserve"> &lt;...&gt; </w:t>
            </w:r>
            <w:r w:rsidRPr="00DC72D7">
              <w:rPr>
                <w:rFonts w:ascii="Times New Roman" w:hAnsi="Times New Roman"/>
                <w:spacing w:val="-4"/>
                <w:sz w:val="22"/>
                <w:szCs w:val="22"/>
              </w:rPr>
              <w:t xml:space="preserve">Prašome perkelti direktyvos nuostatas nedidinant naštos verslui ir nenumatant daugiau asmenų, jei numato direktyva. Prašome panaikinti nuostatas, pagal kurias buhalterinių paslaugų įmonės buvo nustatyta pareiga kaupti duomenis apie visus klientus, net ir tuos, kuriems nebuvo teikiamos mokestinės konsultacijos. Prašome nustatyti, kad įstatymas taikomas tik buhalterinių paslaugų įmonių klientams, kuriems yra teikiamos mokestinės </w:t>
            </w:r>
            <w:r w:rsidRPr="00DC72D7">
              <w:rPr>
                <w:rFonts w:ascii="Times New Roman" w:hAnsi="Times New Roman"/>
                <w:spacing w:val="-4"/>
                <w:sz w:val="22"/>
                <w:szCs w:val="22"/>
              </w:rPr>
              <w:lastRenderedPageBreak/>
              <w:t>konsultacijos ir netaikomos klientams, kuriems tokios paslaugos neteikiamos.</w:t>
            </w:r>
          </w:p>
        </w:tc>
        <w:tc>
          <w:tcPr>
            <w:tcW w:w="6378" w:type="dxa"/>
          </w:tcPr>
          <w:p w:rsidR="00DC72D7" w:rsidRPr="00DC72D7" w:rsidRDefault="00DC72D7" w:rsidP="00380164">
            <w:pPr>
              <w:shd w:val="clear" w:color="auto" w:fill="FFFFFF"/>
              <w:jc w:val="both"/>
              <w:rPr>
                <w:rFonts w:ascii="Times New Roman" w:hAnsi="Times New Roman"/>
                <w:b/>
                <w:spacing w:val="-4"/>
                <w:sz w:val="22"/>
                <w:szCs w:val="22"/>
              </w:rPr>
            </w:pPr>
            <w:r w:rsidRPr="00DC72D7">
              <w:rPr>
                <w:rFonts w:ascii="Times New Roman" w:hAnsi="Times New Roman"/>
                <w:b/>
                <w:spacing w:val="-4"/>
                <w:sz w:val="22"/>
                <w:szCs w:val="22"/>
              </w:rPr>
              <w:lastRenderedPageBreak/>
              <w:t>Neatsižvelgta.</w:t>
            </w:r>
          </w:p>
          <w:p w:rsidR="00DC72D7" w:rsidRPr="00DC72D7" w:rsidRDefault="00DC72D7" w:rsidP="00E11346">
            <w:pPr>
              <w:jc w:val="both"/>
              <w:rPr>
                <w:rFonts w:ascii="Times New Roman" w:hAnsi="Times New Roman"/>
                <w:spacing w:val="-2"/>
                <w:sz w:val="22"/>
                <w:szCs w:val="22"/>
              </w:rPr>
            </w:pPr>
            <w:r w:rsidRPr="00DC72D7">
              <w:rPr>
                <w:rFonts w:ascii="Times New Roman" w:hAnsi="Times New Roman"/>
                <w:spacing w:val="-4"/>
                <w:sz w:val="22"/>
                <w:szCs w:val="22"/>
              </w:rPr>
              <w:t xml:space="preserve">Priešingai, nei nurodo </w:t>
            </w:r>
            <w:r w:rsidRPr="00DC72D7">
              <w:rPr>
                <w:rFonts w:ascii="Times New Roman" w:hAnsi="Times New Roman"/>
                <w:spacing w:val="-2"/>
                <w:sz w:val="22"/>
                <w:szCs w:val="22"/>
              </w:rPr>
              <w:t xml:space="preserve">Lietuvos buhalterių ir auditorių asociacija, Direktyvos 2015/849 nuostatos turi būti taikomos išorės apskaitininkams ir mokesčių konsultantams (angl. </w:t>
            </w:r>
            <w:r w:rsidRPr="00DC72D7">
              <w:rPr>
                <w:rFonts w:ascii="Times New Roman" w:hAnsi="Times New Roman"/>
                <w:i/>
                <w:spacing w:val="-2"/>
                <w:sz w:val="22"/>
                <w:szCs w:val="22"/>
              </w:rPr>
              <w:t>external accountants and tax advisors</w:t>
            </w:r>
            <w:r w:rsidRPr="00DC72D7">
              <w:rPr>
                <w:rFonts w:ascii="Times New Roman" w:hAnsi="Times New Roman"/>
                <w:spacing w:val="-2"/>
                <w:sz w:val="22"/>
                <w:szCs w:val="22"/>
              </w:rPr>
              <w:t xml:space="preserve">), t.y. tiek tais atvejais, kai teikiamos mokesčių konsultavimo paslaugos, tiek tais atvejais, kai teikiamos apskaitos paslaugos. Maža to, Europos Sąjungoje siekiama ne siaurinti šį subjektų rašą, bet jį plėsti tiksliai įvardijant, kad </w:t>
            </w:r>
            <w:r w:rsidRPr="00DC72D7">
              <w:rPr>
                <w:rFonts w:ascii="Times New Roman" w:hAnsi="Times New Roman"/>
                <w:sz w:val="22"/>
                <w:szCs w:val="22"/>
              </w:rPr>
              <w:t>ši direktyva taikoma šiems visiems asmenims, kurie vykdydami savo pagrindinę verslo arba profesinę veiklą įsipareigoja tiesiogiai arba per kitus asmenis, su kuriais tas kitas asmuo yra susijęs, teikti materialinę pagalbą, paramą ar patarimus mokesčių klausimais.</w:t>
            </w:r>
            <w:r w:rsidRPr="00DC72D7">
              <w:rPr>
                <w:rFonts w:ascii="Times New Roman" w:hAnsi="Times New Roman"/>
                <w:spacing w:val="-2"/>
                <w:sz w:val="22"/>
                <w:szCs w:val="22"/>
              </w:rPr>
              <w:t xml:space="preserve"> Atsižvelgiant į tai, p</w:t>
            </w:r>
            <w:r w:rsidRPr="00DC72D7">
              <w:rPr>
                <w:rFonts w:ascii="Times New Roman" w:hAnsi="Times New Roman"/>
                <w:spacing w:val="-4"/>
                <w:sz w:val="22"/>
                <w:szCs w:val="22"/>
              </w:rPr>
              <w:t>rašymas nustatyti, kad įstatymas taikomas tik buhalterinių paslaugų įmonių klientams, kuriems yra teikiamos mokestinės konsultacijos, yra nepagrįstas.</w:t>
            </w:r>
          </w:p>
          <w:p w:rsidR="00DC72D7" w:rsidRPr="00DC72D7" w:rsidRDefault="00DC72D7" w:rsidP="00380164">
            <w:pPr>
              <w:shd w:val="clear" w:color="auto" w:fill="FFFFFF"/>
              <w:jc w:val="both"/>
              <w:rPr>
                <w:rFonts w:ascii="Times New Roman" w:hAnsi="Times New Roman"/>
                <w:spacing w:val="-4"/>
                <w:sz w:val="22"/>
                <w:szCs w:val="22"/>
              </w:rPr>
            </w:pPr>
          </w:p>
        </w:tc>
      </w:tr>
      <w:tr w:rsidR="00DC72D7" w:rsidRPr="00126CEB" w:rsidTr="00AA506B">
        <w:tc>
          <w:tcPr>
            <w:tcW w:w="534" w:type="dxa"/>
          </w:tcPr>
          <w:p w:rsidR="00DC72D7" w:rsidRPr="00DC72D7" w:rsidRDefault="00892BD0" w:rsidP="00F157B7">
            <w:pPr>
              <w:jc w:val="both"/>
              <w:rPr>
                <w:rFonts w:ascii="Times New Roman" w:hAnsi="Times New Roman"/>
                <w:spacing w:val="-2"/>
                <w:sz w:val="22"/>
                <w:szCs w:val="22"/>
              </w:rPr>
            </w:pPr>
            <w:r>
              <w:rPr>
                <w:rFonts w:ascii="Times New Roman" w:hAnsi="Times New Roman"/>
                <w:spacing w:val="-2"/>
                <w:sz w:val="22"/>
                <w:szCs w:val="22"/>
              </w:rPr>
              <w:t>25.</w:t>
            </w:r>
          </w:p>
        </w:tc>
        <w:tc>
          <w:tcPr>
            <w:tcW w:w="1559" w:type="dxa"/>
            <w:shd w:val="clear" w:color="auto" w:fill="auto"/>
          </w:tcPr>
          <w:p w:rsidR="00DC72D7" w:rsidRPr="00DC72D7" w:rsidRDefault="00DC72D7" w:rsidP="007D5670">
            <w:pPr>
              <w:rPr>
                <w:rFonts w:ascii="Times New Roman" w:hAnsi="Times New Roman"/>
                <w:b/>
                <w:spacing w:val="-2"/>
                <w:sz w:val="22"/>
                <w:szCs w:val="22"/>
              </w:rPr>
            </w:pPr>
          </w:p>
        </w:tc>
        <w:tc>
          <w:tcPr>
            <w:tcW w:w="6379" w:type="dxa"/>
          </w:tcPr>
          <w:p w:rsidR="00DC72D7" w:rsidRPr="00DC72D7" w:rsidRDefault="00DC72D7" w:rsidP="00892BD0">
            <w:pPr>
              <w:shd w:val="clear" w:color="auto" w:fill="FFFFFF"/>
              <w:ind w:left="-69"/>
              <w:jc w:val="both"/>
              <w:rPr>
                <w:rFonts w:ascii="Times New Roman" w:hAnsi="Times New Roman"/>
                <w:spacing w:val="-4"/>
                <w:sz w:val="22"/>
                <w:szCs w:val="22"/>
              </w:rPr>
            </w:pPr>
            <w:r w:rsidRPr="00DC72D7">
              <w:rPr>
                <w:rFonts w:ascii="Times New Roman" w:hAnsi="Times New Roman"/>
                <w:spacing w:val="-4"/>
                <w:sz w:val="22"/>
                <w:szCs w:val="22"/>
              </w:rPr>
              <w:t>2. Direktyvos pakeitimas nereikalauja, kad verslo subjektai, pvz. buhalterinės apskaitos įmonės ar auditoriai (o PPTFP) šie pakeitimai būtent tai nurodo) vykdytų savo klientų nuolatinį stebėjimą. Siūlomas 14 punkto pakeitimas prieštarauja dalykiniam bendravimui ir sudaro erdvės spekuliacijoms, kiek tiksliai turi būti nustatomas "kliento dalykinių santykių tikslas ir numatomas pobūdis" - ar užtenka, pvz. "verslo sandoris su tikslu gauti pelną". Numatomi pakeitimai uždeda perteklines pareigas verslo subjektams - 16 punkte numatyta pareiga "įpareigotieji subjektai visais atvejais privalo vykdyti nuolatinę kliento dalykinių santykių stebėseną, įskaitant sandorių ... tyrimą." Jeigu ši pareiga bus tik formali, tuomet ji nereikalinga. Jeigu apie kiekvieno kliento stebėseną buhalterinės apskaitos ir audito paslaugas teikiančios įmonės turės pildyti net ir formalią ataskaitą, tai sukels išskirtinių pasekmių - pareikalaus tiek papildomų žmogiškųjų resursų, tiek sukels klientų pasipriešinimą dėl informacijos apsaugos. Tuo labiau, kad valstybės institucijoms ši informacija bus prieinama per i.SAF, i.MAS ir i.VAZ ir kitas sistemas. Buhalterinės apskaitos ir audito paslaugas teikiančios įmonės negali atlikti tokios išsamios stebėsenos tiek dėl resursų trūkumų, tiek dėl pareigos saugoti konfidencialią informaciją, tiek dėl galimai kompetencijos atlikti verslo subjektų veiklos tyrimus trūkumų. Direktyva akcentuoja visų duomenų prieinamumą per centrinius valstybinius registrus ir duomenų prieinamumą finansinės žvalgybos tarnyboms (preambulės 16, 17, 18, 19, 20 ir kt. punktai). Papildomos pareigos numatytos finansų įstaigoms, per kurias vykdomi mokėjimai. Tuo tarpu buhalterinės apskaitos ir audito paslaugas teikiančios įmonės neturi nei galių sustabdyti vykdomus mokėjimus, nei įpareigoti savo klientus pateikti jiems konkrečią informaciją, nei turėti prieigą prie reikalingos informacijos šaltinio. Manome, kad tokiems subjektams kaip buhalterinės apskaitos ir audito paslaugas teikiantiems asmenims, turi būti nustatytas reikalavimas TIK pranešti apie pastebėtus įtartinus sandorius, kurie atitiktų įstatyme nurodytus kriterijus.</w:t>
            </w:r>
            <w:r w:rsidR="00892BD0">
              <w:rPr>
                <w:rFonts w:ascii="Times New Roman" w:hAnsi="Times New Roman"/>
                <w:spacing w:val="-4"/>
                <w:sz w:val="22"/>
                <w:szCs w:val="22"/>
              </w:rPr>
              <w:t xml:space="preserve"> </w:t>
            </w:r>
            <w:r w:rsidRPr="00DC72D7">
              <w:rPr>
                <w:rFonts w:ascii="Times New Roman" w:hAnsi="Times New Roman"/>
                <w:spacing w:val="-4"/>
                <w:sz w:val="22"/>
                <w:szCs w:val="22"/>
              </w:rPr>
              <w:t>Prašome įstatyme nenumatyti perteklinių reikalavimų, kurie nėra nustatyti direktyvoje ir tokiu būdu nedidinti naštos verslui.</w:t>
            </w:r>
          </w:p>
        </w:tc>
        <w:tc>
          <w:tcPr>
            <w:tcW w:w="6378" w:type="dxa"/>
          </w:tcPr>
          <w:p w:rsidR="00DC72D7" w:rsidRPr="00DC72D7" w:rsidRDefault="00DC72D7" w:rsidP="00E83F3E">
            <w:pPr>
              <w:shd w:val="clear" w:color="auto" w:fill="FFFFFF"/>
              <w:jc w:val="both"/>
              <w:rPr>
                <w:rFonts w:ascii="Times New Roman" w:hAnsi="Times New Roman"/>
                <w:b/>
                <w:spacing w:val="-4"/>
                <w:sz w:val="22"/>
                <w:szCs w:val="22"/>
              </w:rPr>
            </w:pPr>
            <w:r w:rsidRPr="00DC72D7">
              <w:rPr>
                <w:rFonts w:ascii="Times New Roman" w:hAnsi="Times New Roman"/>
                <w:b/>
                <w:spacing w:val="-4"/>
                <w:sz w:val="22"/>
                <w:szCs w:val="22"/>
              </w:rPr>
              <w:t>Neatsižvelgta.</w:t>
            </w:r>
          </w:p>
          <w:p w:rsidR="00DC72D7" w:rsidRPr="00DC72D7" w:rsidRDefault="00DC72D7" w:rsidP="006F21CE">
            <w:pPr>
              <w:shd w:val="clear" w:color="auto" w:fill="FFFFFF"/>
              <w:jc w:val="both"/>
              <w:rPr>
                <w:rFonts w:ascii="Times New Roman" w:hAnsi="Times New Roman"/>
                <w:spacing w:val="-4"/>
                <w:sz w:val="22"/>
                <w:szCs w:val="22"/>
              </w:rPr>
            </w:pPr>
            <w:r w:rsidRPr="00DC72D7">
              <w:rPr>
                <w:rFonts w:ascii="Times New Roman" w:hAnsi="Times New Roman"/>
                <w:spacing w:val="-4"/>
                <w:sz w:val="22"/>
                <w:szCs w:val="22"/>
              </w:rPr>
              <w:t xml:space="preserve">Pažymėtina, kad </w:t>
            </w:r>
            <w:r w:rsidRPr="00DC72D7">
              <w:rPr>
                <w:rFonts w:ascii="Times New Roman" w:hAnsi="Times New Roman"/>
                <w:spacing w:val="-2"/>
                <w:sz w:val="22"/>
                <w:szCs w:val="22"/>
              </w:rPr>
              <w:t xml:space="preserve">Direktyvoje 2015/849 </w:t>
            </w:r>
            <w:r w:rsidRPr="00DC72D7">
              <w:rPr>
                <w:rFonts w:ascii="Times New Roman" w:hAnsi="Times New Roman"/>
                <w:spacing w:val="-4"/>
                <w:sz w:val="22"/>
                <w:szCs w:val="22"/>
              </w:rPr>
              <w:t xml:space="preserve">nėra nustatyta išimčių dėl </w:t>
            </w:r>
            <w:r w:rsidRPr="00DC72D7">
              <w:rPr>
                <w:rFonts w:ascii="Times New Roman" w:hAnsi="Times New Roman"/>
                <w:spacing w:val="-2"/>
                <w:sz w:val="22"/>
                <w:szCs w:val="22"/>
              </w:rPr>
              <w:t>Direktyvos 2015/849 nuostatos, susijusios su kliento stebėsena. Vadovaujantis Direktyvos 2015/849 13 straipsnio 1 dalies d punktu, deramo klientų tikrinimo priemones sudaro</w:t>
            </w:r>
            <w:r w:rsidRPr="00DC72D7">
              <w:rPr>
                <w:rFonts w:ascii="Times New Roman" w:hAnsi="Times New Roman"/>
                <w:sz w:val="22"/>
                <w:szCs w:val="22"/>
              </w:rPr>
              <w:t xml:space="preserve"> </w:t>
            </w:r>
            <w:r w:rsidRPr="00DC72D7">
              <w:rPr>
                <w:rFonts w:ascii="Times New Roman" w:hAnsi="Times New Roman"/>
                <w:spacing w:val="-2"/>
                <w:sz w:val="22"/>
                <w:szCs w:val="22"/>
              </w:rPr>
              <w:t>nuolatinė verslo santykių stebėsena, įskaitant sandorių, kurie buvo sudaryti tokių santykių metu, tikrinimą, siekiant užtikrinti, kad vykdomi sandoriai atitiktų įpareigotojo subjekto turimas žinias apie klientą, jo verslą ir rizikos pobūdį, prireikus įskaitant žinias apie lėšų šaltinį bei užtikrinant, kad turimi dokumentai, duomenys ar informacija būtų nuolat atnaujinami. Atsižvelgiant į tai, buhalterinės apskaitos ar mokesčių konsultavimo paslaugas teikiančios įmonės ir šias paslaugas savarankiškai teikiantys asmenys, kaip įpareigotieji vykdyti pinigų plovimo ir teroristų finansavimo prevenciją subjektai, taip pat nuo šios pareigos nėra ir negali būti atleidžiami. Be to, pastebėtina, kad įtartinos piniginės operacijos ar sandoriai objektyviai nustatomi finansų įstaigoms ir kitiems įpareigotiesiems subjektams atkreipiant dėmesį į tokią klientų veiklą, kuri, jų nuomone, dėl savo pobūdžio gali būti susijusi su pinigų plovimu ir (ar) teroristų finansavimu, vykdant kliento ir naudos gavėjo tapatybės nustatymą ir nuolatinę kliento dalykinių santykių stebėseną, įskaitant sandorių, kurie buvo sudaryti tokių santykių metu, tyrimą, ir atsižvelgiant į Finansinių nusikaltimų tyrimo tarnybos patvirtintus įtartinų piniginių operacijų ar sandorių atpažinimo kriterijus. Taigi tinkamas įtartinų piniginių operacijų ar sandorių nustatymas neatsiejamas nuo dalykinių santykių stebėsenos.</w:t>
            </w:r>
          </w:p>
        </w:tc>
      </w:tr>
      <w:tr w:rsidR="00DC72D7" w:rsidRPr="00126CEB" w:rsidTr="00AA506B">
        <w:tc>
          <w:tcPr>
            <w:tcW w:w="534" w:type="dxa"/>
          </w:tcPr>
          <w:p w:rsidR="00DC72D7" w:rsidRPr="00DC72D7" w:rsidRDefault="00892BD0" w:rsidP="00F157B7">
            <w:pPr>
              <w:jc w:val="both"/>
              <w:rPr>
                <w:rFonts w:ascii="Times New Roman" w:hAnsi="Times New Roman"/>
                <w:spacing w:val="-2"/>
                <w:sz w:val="22"/>
                <w:szCs w:val="22"/>
              </w:rPr>
            </w:pPr>
            <w:r>
              <w:rPr>
                <w:rFonts w:ascii="Times New Roman" w:hAnsi="Times New Roman"/>
                <w:spacing w:val="-2"/>
                <w:sz w:val="22"/>
                <w:szCs w:val="22"/>
              </w:rPr>
              <w:t>26.</w:t>
            </w:r>
          </w:p>
        </w:tc>
        <w:tc>
          <w:tcPr>
            <w:tcW w:w="1559" w:type="dxa"/>
            <w:shd w:val="clear" w:color="auto" w:fill="auto"/>
          </w:tcPr>
          <w:p w:rsidR="00DC72D7" w:rsidRPr="00DC72D7" w:rsidRDefault="00DC72D7" w:rsidP="007D5670">
            <w:pPr>
              <w:rPr>
                <w:rFonts w:ascii="Times New Roman" w:hAnsi="Times New Roman"/>
                <w:b/>
                <w:spacing w:val="-2"/>
                <w:sz w:val="22"/>
                <w:szCs w:val="22"/>
              </w:rPr>
            </w:pPr>
          </w:p>
        </w:tc>
        <w:tc>
          <w:tcPr>
            <w:tcW w:w="6379" w:type="dxa"/>
          </w:tcPr>
          <w:p w:rsidR="00DC72D7" w:rsidRPr="00DC72D7" w:rsidRDefault="00DC72D7" w:rsidP="00892BD0">
            <w:pPr>
              <w:shd w:val="clear" w:color="auto" w:fill="FFFFFF"/>
              <w:ind w:left="-69"/>
              <w:jc w:val="both"/>
              <w:rPr>
                <w:rFonts w:ascii="Times New Roman" w:hAnsi="Times New Roman"/>
                <w:spacing w:val="-4"/>
                <w:sz w:val="22"/>
                <w:szCs w:val="22"/>
              </w:rPr>
            </w:pPr>
            <w:r w:rsidRPr="00DC72D7">
              <w:rPr>
                <w:rFonts w:ascii="Times New Roman" w:hAnsi="Times New Roman"/>
                <w:spacing w:val="-4"/>
                <w:sz w:val="22"/>
                <w:szCs w:val="22"/>
              </w:rPr>
              <w:t xml:space="preserve">3. Vertiname, kad potencialaus kliento pateikta informacija ir /arba išrašas iš VĮ Registrų centras apie vadovus ir naudos gavėjus turėtų būti laikomas tinkamu dokumentu, o ne numatoma pareiga buhalterinės apskaitos ir audito paslaugas teikiančioms įmonėms kreiptis į </w:t>
            </w:r>
            <w:r w:rsidRPr="00DC72D7">
              <w:rPr>
                <w:rFonts w:ascii="Times New Roman" w:hAnsi="Times New Roman"/>
                <w:spacing w:val="-4"/>
                <w:sz w:val="22"/>
                <w:szCs w:val="22"/>
              </w:rPr>
              <w:lastRenderedPageBreak/>
              <w:t>nepriklausomą šaltinį - t.y. V] Registrų centras - ir patiems už užmokestį kreiptis dėl tokių duomenų gavimo. Atkreipiame dėmesį į tai, kad duomenys apie juridinių asmenų naudos gavėjus (duomenys, esantys JADIS informacinėje sistemoje) nėra prieinami visiems fiziniams ir juridiniams asmenims, todėl ši informacija apie naudos gavėjus nebūtų prieinama buhalterinės apskaitos ir audito paslaugas teikiantiems asmenims savarankiškai, o tik per klientą/potencialų klientą.</w:t>
            </w:r>
            <w:r w:rsidR="00892BD0">
              <w:rPr>
                <w:rFonts w:ascii="Times New Roman" w:hAnsi="Times New Roman"/>
                <w:spacing w:val="-4"/>
                <w:sz w:val="22"/>
                <w:szCs w:val="22"/>
              </w:rPr>
              <w:t xml:space="preserve"> </w:t>
            </w:r>
            <w:r w:rsidRPr="00DC72D7">
              <w:rPr>
                <w:rFonts w:ascii="Times New Roman" w:hAnsi="Times New Roman"/>
                <w:spacing w:val="-4"/>
                <w:sz w:val="22"/>
                <w:szCs w:val="22"/>
              </w:rPr>
              <w:t>Be to, tokios informacijos rinkimas kelių paslaugas teikiančių asmenų - V] Registrų centras, finansų įstaigų, kurios bet kokiu atveju nustato naudos gavėjus - ir, juos dubliuojant, buhalterinės apskaitos ir audito paslaugas teikiančių įmonių, vertintinas kaip pažeidžiantis asmens duomenų apsaugos principus, dubliuojantis asmens duomenis, kai tuo tarpu siekiama mažinti kaupiamų asmens duomenų apimtį, rinkti tik būtinus duomenis.</w:t>
            </w:r>
            <w:r w:rsidR="00892BD0">
              <w:rPr>
                <w:rFonts w:ascii="Times New Roman" w:hAnsi="Times New Roman"/>
                <w:spacing w:val="-4"/>
                <w:sz w:val="22"/>
                <w:szCs w:val="22"/>
              </w:rPr>
              <w:t xml:space="preserve"> </w:t>
            </w:r>
            <w:r w:rsidRPr="00DC72D7">
              <w:rPr>
                <w:rFonts w:ascii="Times New Roman" w:hAnsi="Times New Roman"/>
                <w:spacing w:val="-4"/>
                <w:sz w:val="22"/>
                <w:szCs w:val="22"/>
              </w:rPr>
              <w:t>Manytume, kad jei bankas, kuriam taikomi griežtesni reikalavimai dėl PPTFP tvarkų taikymo, nustatė naudos gavėją ir rizikų neidentifikavo, tai to turėtų pakakti buhalterinių paslaugų ir audito įmonėms, kad būtų pasiremta banko atliktu darbu. Atkreipiame dėmesį, kad tokia įstatymo redakcija perkelia ne tik direktyvos nuostatas, bet jas reikšmingai išplečia ir reikšmingai didina reikalavimus verslui, nei tai numato direktyva. Prašome įstatyme nustatyti reikalavimus, kurie atitinka protingumo kriterijus ir nėra pertekliniai. Prašome nustatyti galimybę identifikuoti asmenį per bankinę sistemą, jei banko veiklos licenzija yra registruota ES ir yra prižiūrima pagal ES teisės aktus.</w:t>
            </w:r>
          </w:p>
        </w:tc>
        <w:tc>
          <w:tcPr>
            <w:tcW w:w="6378" w:type="dxa"/>
          </w:tcPr>
          <w:p w:rsidR="00DC72D7" w:rsidRPr="00DC72D7" w:rsidRDefault="00DC72D7" w:rsidP="00C31A7B">
            <w:pPr>
              <w:shd w:val="clear" w:color="auto" w:fill="FFFFFF"/>
              <w:jc w:val="both"/>
              <w:rPr>
                <w:rFonts w:ascii="Times New Roman" w:hAnsi="Times New Roman"/>
                <w:b/>
                <w:spacing w:val="-4"/>
                <w:sz w:val="22"/>
                <w:szCs w:val="22"/>
              </w:rPr>
            </w:pPr>
            <w:r w:rsidRPr="00DC72D7">
              <w:rPr>
                <w:rFonts w:ascii="Times New Roman" w:hAnsi="Times New Roman"/>
                <w:b/>
                <w:spacing w:val="-4"/>
                <w:sz w:val="22"/>
                <w:szCs w:val="22"/>
              </w:rPr>
              <w:lastRenderedPageBreak/>
              <w:t>Neatsižvelgta.</w:t>
            </w:r>
          </w:p>
          <w:p w:rsidR="00DC72D7" w:rsidRPr="00DC72D7" w:rsidRDefault="00DC72D7" w:rsidP="006F21CE">
            <w:pPr>
              <w:shd w:val="clear" w:color="auto" w:fill="FFFFFF"/>
              <w:jc w:val="both"/>
              <w:rPr>
                <w:rFonts w:ascii="Times New Roman" w:hAnsi="Times New Roman"/>
                <w:spacing w:val="-4"/>
                <w:sz w:val="22"/>
                <w:szCs w:val="22"/>
              </w:rPr>
            </w:pPr>
            <w:r w:rsidRPr="00DC72D7">
              <w:rPr>
                <w:rFonts w:ascii="Times New Roman" w:hAnsi="Times New Roman"/>
                <w:spacing w:val="-4"/>
                <w:sz w:val="22"/>
                <w:szCs w:val="22"/>
              </w:rPr>
              <w:t xml:space="preserve">Įstatymo projekto 9 straipsnio 15 dalimi perkeliama Direktyvos 2018/843 8 punktu keičiamo 13 straipsnio 1 dalies b punkto pakeitimą, pagal kurį tais atvejais, kai nustatytas tikrasis savininkas yra vyresnysis </w:t>
            </w:r>
            <w:r w:rsidRPr="00DC72D7">
              <w:rPr>
                <w:rFonts w:ascii="Times New Roman" w:hAnsi="Times New Roman"/>
                <w:spacing w:val="-4"/>
                <w:sz w:val="22"/>
                <w:szCs w:val="22"/>
              </w:rPr>
              <w:lastRenderedPageBreak/>
              <w:t xml:space="preserve">vadovas, kaip nurodyta 3 straipsnio 6 dalies a punkto ii papunktyje, įpareigotieji subjektai imasi būtinų pagrįstų priemonių, kad patikrintų vyresniojo vadovo pareigas užimančio fizinio asmens tapatybę, ir saugo įrašus apie atliktus veiksmus ir iškilusius sunkumus patikrinimo proceso metu, jei tokių esama. Kaip minėta, </w:t>
            </w:r>
            <w:r w:rsidRPr="00DC72D7">
              <w:rPr>
                <w:rFonts w:ascii="Times New Roman" w:hAnsi="Times New Roman"/>
                <w:spacing w:val="-2"/>
                <w:sz w:val="22"/>
                <w:szCs w:val="22"/>
              </w:rPr>
              <w:t xml:space="preserve">Direktyvos 2015/849 nuostatos turi būti taikomos išorės apskaitininkams ir mokesčių konsultantams ir šiuo atveju išimčių dėl taikymo apimties nenustato. </w:t>
            </w:r>
            <w:r w:rsidRPr="00DC72D7">
              <w:rPr>
                <w:rFonts w:ascii="Times New Roman" w:hAnsi="Times New Roman"/>
                <w:spacing w:val="-4"/>
                <w:sz w:val="22"/>
                <w:szCs w:val="22"/>
              </w:rPr>
              <w:t>Atsižvelgiant į tai, siūlymas išbraukti Įstatymo projekto 9 straipsnio 15 dalį nėra pagrįstas.</w:t>
            </w:r>
          </w:p>
        </w:tc>
      </w:tr>
      <w:tr w:rsidR="00DC72D7" w:rsidRPr="00126CEB" w:rsidTr="00AA506B">
        <w:tc>
          <w:tcPr>
            <w:tcW w:w="534" w:type="dxa"/>
          </w:tcPr>
          <w:p w:rsidR="00DC72D7" w:rsidRPr="00DC72D7" w:rsidRDefault="00892BD0" w:rsidP="00F157B7">
            <w:pPr>
              <w:jc w:val="both"/>
              <w:rPr>
                <w:rFonts w:ascii="Times New Roman" w:hAnsi="Times New Roman"/>
                <w:spacing w:val="-2"/>
                <w:sz w:val="22"/>
                <w:szCs w:val="22"/>
              </w:rPr>
            </w:pPr>
            <w:r>
              <w:rPr>
                <w:rFonts w:ascii="Times New Roman" w:hAnsi="Times New Roman"/>
                <w:spacing w:val="-2"/>
                <w:sz w:val="22"/>
                <w:szCs w:val="22"/>
              </w:rPr>
              <w:lastRenderedPageBreak/>
              <w:t>27.</w:t>
            </w:r>
          </w:p>
        </w:tc>
        <w:tc>
          <w:tcPr>
            <w:tcW w:w="1559" w:type="dxa"/>
            <w:shd w:val="clear" w:color="auto" w:fill="auto"/>
          </w:tcPr>
          <w:p w:rsidR="00DC72D7" w:rsidRPr="00DC72D7" w:rsidRDefault="00DC72D7" w:rsidP="007D5670">
            <w:pPr>
              <w:rPr>
                <w:rFonts w:ascii="Times New Roman" w:hAnsi="Times New Roman"/>
                <w:b/>
                <w:spacing w:val="-2"/>
                <w:sz w:val="22"/>
                <w:szCs w:val="22"/>
              </w:rPr>
            </w:pPr>
          </w:p>
        </w:tc>
        <w:tc>
          <w:tcPr>
            <w:tcW w:w="6379" w:type="dxa"/>
          </w:tcPr>
          <w:p w:rsidR="00DC72D7" w:rsidRPr="00DC72D7" w:rsidRDefault="00DC72D7" w:rsidP="00380164">
            <w:pPr>
              <w:shd w:val="clear" w:color="auto" w:fill="FFFFFF"/>
              <w:ind w:left="-69"/>
              <w:jc w:val="both"/>
              <w:rPr>
                <w:rFonts w:ascii="Times New Roman" w:hAnsi="Times New Roman"/>
                <w:spacing w:val="-4"/>
                <w:sz w:val="22"/>
                <w:szCs w:val="22"/>
              </w:rPr>
            </w:pPr>
            <w:r w:rsidRPr="00DC72D7">
              <w:rPr>
                <w:rFonts w:ascii="Times New Roman" w:hAnsi="Times New Roman"/>
                <w:spacing w:val="-4"/>
                <w:sz w:val="22"/>
                <w:szCs w:val="22"/>
              </w:rPr>
              <w:t>4. Vertiname, kad yra pakankama, kad tokius duomenis gauna V] Registrų centras ir finansų įstaigos, ir laikome, kad pareiga buhalterinės apskaitos ir audito paslaugas teikiančioms įmonėms reikalauti tokių duomenų iš potencialių klientų yra perteklinė, jeigu tai yra LR registruotas juridinis asmuo, duomenys apie kurį yra prieinami visoms kontroliuojančioms institucijoms. Atkreipiame dėmesį, kad tokia įstatymo redakcija perkelia ne tik direktyvos nuostatas, bet jas reikšmingai išplečia ir reikšmingai didina reikalavimus verslui, nei tai numato direktyva. Prašome įstatyme nustatyti reikalavimus, kurie atitinka protingumo kriterijus ir nėra pertekliniai. Prašome nustatyti galimybę identifikuoti asmenį per bankinę sistemą, jei banko veiklos licenzija yra registruota ES ir yra prižiūrima pagal ES teisės aktus.</w:t>
            </w:r>
          </w:p>
        </w:tc>
        <w:tc>
          <w:tcPr>
            <w:tcW w:w="6378" w:type="dxa"/>
          </w:tcPr>
          <w:p w:rsidR="00DC72D7" w:rsidRPr="00DC72D7" w:rsidRDefault="00DC72D7" w:rsidP="005B406E">
            <w:pPr>
              <w:shd w:val="clear" w:color="auto" w:fill="FFFFFF"/>
              <w:jc w:val="both"/>
              <w:rPr>
                <w:rFonts w:ascii="Times New Roman" w:hAnsi="Times New Roman"/>
                <w:b/>
                <w:spacing w:val="-4"/>
                <w:sz w:val="22"/>
                <w:szCs w:val="22"/>
              </w:rPr>
            </w:pPr>
            <w:r w:rsidRPr="00DC72D7">
              <w:rPr>
                <w:rFonts w:ascii="Times New Roman" w:hAnsi="Times New Roman"/>
                <w:b/>
                <w:spacing w:val="-4"/>
                <w:sz w:val="22"/>
                <w:szCs w:val="22"/>
              </w:rPr>
              <w:t>Neatsižvelgta.</w:t>
            </w:r>
          </w:p>
          <w:p w:rsidR="00DC72D7" w:rsidRPr="00DC72D7" w:rsidRDefault="00DC72D7" w:rsidP="006F21CE">
            <w:pPr>
              <w:shd w:val="clear" w:color="auto" w:fill="FFFFFF"/>
              <w:jc w:val="both"/>
              <w:rPr>
                <w:rFonts w:ascii="Times New Roman" w:hAnsi="Times New Roman"/>
                <w:spacing w:val="-4"/>
                <w:sz w:val="22"/>
                <w:szCs w:val="22"/>
              </w:rPr>
            </w:pPr>
            <w:r w:rsidRPr="00DC72D7">
              <w:rPr>
                <w:rFonts w:ascii="Times New Roman" w:hAnsi="Times New Roman"/>
                <w:spacing w:val="-4"/>
                <w:sz w:val="22"/>
                <w:szCs w:val="22"/>
              </w:rPr>
              <w:t xml:space="preserve">Įstatymo projekto 12 straipsnio 9 dalimi perkeliama Direktyvos 2018/843 9 punktu keičiamo 14 straipsnio a punkto pakeitimą, pagal kurį užmegzdami naujus verslo santykius su bendrove arba kitu juridiniu asmeniu, patikos fondu ar juridine struktūra, turinčia panašią į patikos fondų struktūrą arba funkcijas (toliau – panaši juridinė struktūra), kurių informacija apie tikruosius savininkus turi būti registruojama pagal 30 arba 31 straipsnį, įpareigotieji subjektai turi gauti registracijos įrodymą arba išrašą iš registro. Kaip minėta, </w:t>
            </w:r>
            <w:r w:rsidRPr="00DC72D7">
              <w:rPr>
                <w:rFonts w:ascii="Times New Roman" w:hAnsi="Times New Roman"/>
                <w:spacing w:val="-2"/>
                <w:sz w:val="22"/>
                <w:szCs w:val="22"/>
              </w:rPr>
              <w:t xml:space="preserve">Direktyvos 2015/849 nuostatos turi būti taikomos išorės apskaitininkams ir mokesčių konsultantams ir šiuo atveju išimčių dėl taikymo apimties nenustato. </w:t>
            </w:r>
            <w:r w:rsidRPr="00DC72D7">
              <w:rPr>
                <w:rFonts w:ascii="Times New Roman" w:hAnsi="Times New Roman"/>
                <w:spacing w:val="-4"/>
                <w:sz w:val="22"/>
                <w:szCs w:val="22"/>
              </w:rPr>
              <w:t>Atsižvelgiant į tai, siūlymas išbraukti Įstatymo projekto 12 straipsnio 9 dalį nėra pagrįstas.</w:t>
            </w:r>
          </w:p>
        </w:tc>
      </w:tr>
      <w:tr w:rsidR="00DC72D7" w:rsidRPr="00126CEB" w:rsidTr="00AA506B">
        <w:tc>
          <w:tcPr>
            <w:tcW w:w="534" w:type="dxa"/>
          </w:tcPr>
          <w:p w:rsidR="00DC72D7" w:rsidRPr="00DC72D7" w:rsidRDefault="00892BD0" w:rsidP="00F157B7">
            <w:pPr>
              <w:jc w:val="both"/>
              <w:rPr>
                <w:rFonts w:ascii="Times New Roman" w:hAnsi="Times New Roman"/>
                <w:spacing w:val="-2"/>
                <w:sz w:val="22"/>
                <w:szCs w:val="22"/>
              </w:rPr>
            </w:pPr>
            <w:r>
              <w:rPr>
                <w:rFonts w:ascii="Times New Roman" w:hAnsi="Times New Roman"/>
                <w:spacing w:val="-2"/>
                <w:sz w:val="22"/>
                <w:szCs w:val="22"/>
              </w:rPr>
              <w:t>28.</w:t>
            </w:r>
          </w:p>
        </w:tc>
        <w:tc>
          <w:tcPr>
            <w:tcW w:w="1559" w:type="dxa"/>
            <w:shd w:val="clear" w:color="auto" w:fill="auto"/>
          </w:tcPr>
          <w:p w:rsidR="00DC72D7" w:rsidRPr="00DC72D7" w:rsidRDefault="00DC72D7" w:rsidP="007D5670">
            <w:pPr>
              <w:rPr>
                <w:rFonts w:ascii="Times New Roman" w:hAnsi="Times New Roman"/>
                <w:b/>
                <w:spacing w:val="-2"/>
                <w:sz w:val="22"/>
                <w:szCs w:val="22"/>
              </w:rPr>
            </w:pPr>
          </w:p>
        </w:tc>
        <w:tc>
          <w:tcPr>
            <w:tcW w:w="6379" w:type="dxa"/>
          </w:tcPr>
          <w:p w:rsidR="00DC72D7" w:rsidRPr="00DC72D7" w:rsidRDefault="00DC72D7" w:rsidP="00957A40">
            <w:pPr>
              <w:shd w:val="clear" w:color="auto" w:fill="FFFFFF"/>
              <w:ind w:left="-69"/>
              <w:jc w:val="both"/>
              <w:rPr>
                <w:rFonts w:ascii="Times New Roman" w:hAnsi="Times New Roman"/>
                <w:spacing w:val="-4"/>
                <w:sz w:val="22"/>
                <w:szCs w:val="22"/>
              </w:rPr>
            </w:pPr>
            <w:r w:rsidRPr="00DC72D7">
              <w:rPr>
                <w:rFonts w:ascii="Times New Roman" w:hAnsi="Times New Roman"/>
                <w:spacing w:val="-4"/>
                <w:sz w:val="22"/>
                <w:szCs w:val="22"/>
              </w:rPr>
              <w:t xml:space="preserve">5. Pareiga buhalterinės apskaitos paslaugas teikiančioms įmonėms analizuoti sudėtingus ir/ar sandorius, jų vykdymo pagrindą ir tikslą o tyrimo rezultatus įforminti raštu sudaro pernelyg didelę naštą tokias paslaugas teikiantiems asmenims. Jie neturi ir pakankamų kompetencijų, </w:t>
            </w:r>
            <w:r w:rsidRPr="00DC72D7">
              <w:rPr>
                <w:rFonts w:ascii="Times New Roman" w:hAnsi="Times New Roman"/>
                <w:spacing w:val="-4"/>
                <w:sz w:val="22"/>
                <w:szCs w:val="22"/>
              </w:rPr>
              <w:lastRenderedPageBreak/>
              <w:t>kad galėtų atlikti tokį visapusišką įvertinimą, o rašytinių ataskaitų pildymas bei saugojimas sukuria perteklinę naštą, jų atlikimas, tikėtina, kad bus formalus, riboja asmenų - sandorių šalių - ekonominės veiklos laisvę bei kelia grėsmę komercinės informacijos konfidencialumo apsaugai. Vertiname, kad pareiga pranešti apie įtartinus sandorius, yra pakankama, o pareiga kiekvienu atveju pildyti rašytines ataskaitas yra perteklinė. Direktyvoje nenustatytas rašytinių ataskaitų reikalavimas. Buhalterinių paslaugų įmonės neturi tokių kompetencijų, kad galėtų atlikti visų apskaitoje registruojamų sandorių analizę, nustatyti jų tikslus ir pagrindus. Pagal LR buhalterinės apskaitos įstatymą, buhalteris turi registruoti ūkines operacijas, o ne atlikti jų analizę. Analizę atlieka finansų analitikai, kurių paslaugas retai kada teikia buhalterinių paslaugų įmonės. Pagal LR buhalterinės apskaitos įstatymą už sandorių tikslą ir pagrindą yra atsakingas įmonės vadovas, o ne buhalteris.</w:t>
            </w:r>
            <w:r w:rsidR="00892BD0">
              <w:rPr>
                <w:rFonts w:ascii="Times New Roman" w:hAnsi="Times New Roman"/>
                <w:spacing w:val="-4"/>
                <w:sz w:val="22"/>
                <w:szCs w:val="22"/>
              </w:rPr>
              <w:t xml:space="preserve"> </w:t>
            </w:r>
            <w:r w:rsidRPr="00DC72D7">
              <w:rPr>
                <w:rFonts w:ascii="Times New Roman" w:hAnsi="Times New Roman"/>
                <w:spacing w:val="-4"/>
                <w:sz w:val="22"/>
                <w:szCs w:val="22"/>
              </w:rPr>
              <w:t>Prašome įstatyme nenustatyti reikalavimų dirbti darbus buhalterinių paslaugų teikėjams, kai tai nėra jų kompetencija ir nėra susiję su atsakomybėmis.</w:t>
            </w:r>
          </w:p>
          <w:p w:rsidR="00DC72D7" w:rsidRPr="00DC72D7" w:rsidRDefault="00DC72D7" w:rsidP="00957A40">
            <w:pPr>
              <w:shd w:val="clear" w:color="auto" w:fill="FFFFFF"/>
              <w:ind w:left="-69"/>
              <w:jc w:val="both"/>
              <w:rPr>
                <w:rFonts w:ascii="Times New Roman" w:hAnsi="Times New Roman"/>
                <w:spacing w:val="-4"/>
                <w:sz w:val="22"/>
                <w:szCs w:val="22"/>
              </w:rPr>
            </w:pPr>
            <w:r w:rsidRPr="00DC72D7">
              <w:rPr>
                <w:rFonts w:ascii="Times New Roman" w:hAnsi="Times New Roman"/>
                <w:spacing w:val="-4"/>
                <w:sz w:val="22"/>
                <w:szCs w:val="22"/>
              </w:rPr>
              <w:t>Direktyvoje nėra tokių reikalavimų buhalterinių paslaugų įmonėms, kurias siekiama perkelti į įstatymą ir taip padidinti naštą verslui. Siūlome nustatyti įstatyme, kad šios nuostatos netaikomos buhalterinių paslaugų ir konsultacijų įmonėms.</w:t>
            </w:r>
          </w:p>
        </w:tc>
        <w:tc>
          <w:tcPr>
            <w:tcW w:w="6378" w:type="dxa"/>
          </w:tcPr>
          <w:p w:rsidR="00DC72D7" w:rsidRPr="00DC72D7" w:rsidRDefault="00DC72D7" w:rsidP="00E65DBF">
            <w:pPr>
              <w:shd w:val="clear" w:color="auto" w:fill="FFFFFF"/>
              <w:jc w:val="both"/>
              <w:rPr>
                <w:rFonts w:ascii="Times New Roman" w:hAnsi="Times New Roman"/>
                <w:b/>
                <w:spacing w:val="-4"/>
                <w:sz w:val="22"/>
                <w:szCs w:val="22"/>
              </w:rPr>
            </w:pPr>
            <w:r w:rsidRPr="00DC72D7">
              <w:rPr>
                <w:rFonts w:ascii="Times New Roman" w:hAnsi="Times New Roman"/>
                <w:b/>
                <w:spacing w:val="-4"/>
                <w:sz w:val="22"/>
                <w:szCs w:val="22"/>
              </w:rPr>
              <w:lastRenderedPageBreak/>
              <w:t>Neatsižvelgta.</w:t>
            </w:r>
          </w:p>
          <w:p w:rsidR="00DC72D7" w:rsidRPr="00DC72D7" w:rsidRDefault="00DC72D7" w:rsidP="006F21CE">
            <w:pPr>
              <w:shd w:val="clear" w:color="auto" w:fill="FFFFFF"/>
              <w:jc w:val="both"/>
              <w:rPr>
                <w:rFonts w:ascii="Times New Roman" w:hAnsi="Times New Roman"/>
                <w:spacing w:val="-4"/>
                <w:sz w:val="22"/>
                <w:szCs w:val="22"/>
              </w:rPr>
            </w:pPr>
            <w:r w:rsidRPr="00DC72D7">
              <w:rPr>
                <w:rFonts w:ascii="Times New Roman" w:hAnsi="Times New Roman"/>
                <w:spacing w:val="-4"/>
                <w:sz w:val="22"/>
                <w:szCs w:val="22"/>
              </w:rPr>
              <w:t>Įstatymo projekto 17 straipsnio pakeitimu perkeliamas Direktyvos 2018/843 10 punktu keičiamo 18 straipsnio 2 dalies pakeitimas, pagal kurį</w:t>
            </w:r>
            <w:r w:rsidRPr="00DC72D7">
              <w:rPr>
                <w:rFonts w:ascii="Times New Roman" w:hAnsi="Times New Roman"/>
                <w:sz w:val="22"/>
                <w:szCs w:val="22"/>
              </w:rPr>
              <w:t xml:space="preserve"> v</w:t>
            </w:r>
            <w:r w:rsidRPr="00DC72D7">
              <w:rPr>
                <w:rFonts w:ascii="Times New Roman" w:hAnsi="Times New Roman"/>
                <w:spacing w:val="-4"/>
                <w:sz w:val="22"/>
                <w:szCs w:val="22"/>
              </w:rPr>
              <w:t xml:space="preserve">alstybės narės reikalauja, kad įpareigotieji subjektai išnagrinėtų, </w:t>
            </w:r>
            <w:r w:rsidRPr="00DC72D7">
              <w:rPr>
                <w:rFonts w:ascii="Times New Roman" w:hAnsi="Times New Roman"/>
                <w:spacing w:val="-4"/>
                <w:sz w:val="22"/>
                <w:szCs w:val="22"/>
              </w:rPr>
              <w:lastRenderedPageBreak/>
              <w:t xml:space="preserve">kiek tai pagrįstai įmanoma, aplinkybes ir paskirtį visų sandorių, kurie atitinka bent vieną iš šių sąlygų: i) tai sudėtingi sandoriai; ii) tai neįprastai dideli sandoriai; iii) tie sandoriai vykdomi neįprastu būdu; iv) tie sandoriai neturi akivaizdžios ekonominės arba teisėtos paskirties. Visų pirma, įpareigotieji subjektai padidina verslo santykių stebėsenos apimtį ir sugriežtina jos metodus, kad nustatytų, ar tie sandoriai ar veiksmai atrodo įtartini. Kaip minėta, </w:t>
            </w:r>
            <w:r w:rsidRPr="00DC72D7">
              <w:rPr>
                <w:rFonts w:ascii="Times New Roman" w:hAnsi="Times New Roman"/>
                <w:spacing w:val="-2"/>
                <w:sz w:val="22"/>
                <w:szCs w:val="22"/>
              </w:rPr>
              <w:t xml:space="preserve">Direktyvos 2015/849 nuostatos turi būti taikomos išorės apskaitininkams ir mokesčių konsultantams ir šiuo atveju išimčių dėl taikymo apimties nenustato. </w:t>
            </w:r>
            <w:r w:rsidRPr="00DC72D7">
              <w:rPr>
                <w:rFonts w:ascii="Times New Roman" w:hAnsi="Times New Roman"/>
                <w:spacing w:val="-4"/>
                <w:sz w:val="22"/>
                <w:szCs w:val="22"/>
              </w:rPr>
              <w:t>Atsižvelgiant į tai, siūlymas išbraukti Įstatymo projekto 17 straipsnio pakeitimus nėra pagrįstas.</w:t>
            </w:r>
          </w:p>
        </w:tc>
      </w:tr>
      <w:tr w:rsidR="00DC72D7" w:rsidRPr="00126CEB" w:rsidTr="00AA506B">
        <w:tc>
          <w:tcPr>
            <w:tcW w:w="534" w:type="dxa"/>
          </w:tcPr>
          <w:p w:rsidR="00DC72D7" w:rsidRPr="00DC72D7" w:rsidRDefault="00892BD0" w:rsidP="00F157B7">
            <w:pPr>
              <w:jc w:val="both"/>
              <w:rPr>
                <w:rFonts w:ascii="Times New Roman" w:hAnsi="Times New Roman"/>
                <w:spacing w:val="-2"/>
                <w:sz w:val="22"/>
                <w:szCs w:val="22"/>
              </w:rPr>
            </w:pPr>
            <w:r>
              <w:rPr>
                <w:rFonts w:ascii="Times New Roman" w:hAnsi="Times New Roman"/>
                <w:spacing w:val="-2"/>
                <w:sz w:val="22"/>
                <w:szCs w:val="22"/>
              </w:rPr>
              <w:lastRenderedPageBreak/>
              <w:t>29.</w:t>
            </w:r>
          </w:p>
        </w:tc>
        <w:tc>
          <w:tcPr>
            <w:tcW w:w="1559" w:type="dxa"/>
            <w:shd w:val="clear" w:color="auto" w:fill="auto"/>
          </w:tcPr>
          <w:p w:rsidR="00DC72D7" w:rsidRPr="00DC72D7" w:rsidRDefault="00DC72D7" w:rsidP="007D5670">
            <w:pPr>
              <w:rPr>
                <w:rFonts w:ascii="Times New Roman" w:hAnsi="Times New Roman"/>
                <w:b/>
                <w:spacing w:val="-2"/>
                <w:sz w:val="22"/>
                <w:szCs w:val="22"/>
              </w:rPr>
            </w:pPr>
          </w:p>
        </w:tc>
        <w:tc>
          <w:tcPr>
            <w:tcW w:w="6379" w:type="dxa"/>
          </w:tcPr>
          <w:p w:rsidR="00DC72D7" w:rsidRPr="00DC72D7" w:rsidRDefault="00DC72D7" w:rsidP="00892BD0">
            <w:pPr>
              <w:shd w:val="clear" w:color="auto" w:fill="FFFFFF"/>
              <w:ind w:left="-69"/>
              <w:jc w:val="both"/>
              <w:rPr>
                <w:rFonts w:ascii="Times New Roman" w:hAnsi="Times New Roman"/>
                <w:spacing w:val="-4"/>
                <w:sz w:val="22"/>
                <w:szCs w:val="22"/>
              </w:rPr>
            </w:pPr>
            <w:r w:rsidRPr="00DC72D7">
              <w:rPr>
                <w:rFonts w:ascii="Times New Roman" w:hAnsi="Times New Roman"/>
                <w:spacing w:val="-4"/>
                <w:sz w:val="22"/>
                <w:szCs w:val="22"/>
              </w:rPr>
              <w:t>6. Įpareigotiesiems subjektams iš kliento/potencialaus kliento gavus išrašą iš VĮ Registrų centras tai turėtų būti laikoma pakankamu duomenų patikrinimu, patys įpareigotieji subjektai turėtų pareigą tikrinti savo sąskaita tokius duomenis registruose tik kilus įtarimų. Direktyvos pakeitimuose numatyta, kad tokie duomenys turi būti prieinami centriniuose valstybės registruose, informacija iš kurių turi būti prieinama valstybinėms institucijoms, tame tarpe finansinių žvalgybų tarnyboms, tačiau nenumato pareigos privatiems juridiniams asmenims nuolat kreiptis ir tikrinti tokius duomenis registruose. Atkreipiame dėmesį, kad šiuo metu VĮ Registrų centras neatlygintinai tokius duomenis teikia tik valstybės institucijoms, bet ne privatiems asmenims.</w:t>
            </w:r>
            <w:r w:rsidR="00892BD0">
              <w:rPr>
                <w:rFonts w:ascii="Times New Roman" w:hAnsi="Times New Roman"/>
                <w:spacing w:val="-4"/>
                <w:sz w:val="22"/>
                <w:szCs w:val="22"/>
              </w:rPr>
              <w:t xml:space="preserve"> </w:t>
            </w:r>
            <w:r w:rsidRPr="00DC72D7">
              <w:rPr>
                <w:rFonts w:ascii="Times New Roman" w:hAnsi="Times New Roman"/>
                <w:spacing w:val="-4"/>
                <w:sz w:val="22"/>
                <w:szCs w:val="22"/>
              </w:rPr>
              <w:t xml:space="preserve">Direktyvoje nėra tokių reikalavimų buhalterinių paslaugų ir konsultacijų įmonėms, kurias siekiama perkelti į įstatymą ir taip padidinti naštą verslui. Siūlome nustatyti įstatyme, kad šios nuostatos netaikomos buhalterinių paslaugų ir konsultacijų įmonėms. Yra perteklinė našta reikalauti buhalterinių paslaugų ir konsultacijų įmonėms 10 metų saugoti RC išrašų duomenis, kai šių duomenų saugojimui yra RC. </w:t>
            </w:r>
            <w:r w:rsidR="00892BD0">
              <w:rPr>
                <w:rFonts w:ascii="Times New Roman" w:hAnsi="Times New Roman"/>
                <w:spacing w:val="-4"/>
                <w:sz w:val="22"/>
                <w:szCs w:val="22"/>
              </w:rPr>
              <w:t xml:space="preserve">&lt;...&gt; </w:t>
            </w:r>
            <w:r w:rsidRPr="00DC72D7">
              <w:rPr>
                <w:rFonts w:ascii="Times New Roman" w:hAnsi="Times New Roman"/>
                <w:spacing w:val="-4"/>
                <w:sz w:val="22"/>
                <w:szCs w:val="22"/>
              </w:rPr>
              <w:t xml:space="preserve">Prašome atsisakyti įstatyme tokių nuostatų, kurios neturi nieko bendro su direktyvos perkėlimu ir sudaro sąlygas reikalauti iš buhalterinių paslaugų ir konsultacijų įmonių, </w:t>
            </w:r>
            <w:r w:rsidRPr="00DC72D7">
              <w:rPr>
                <w:rFonts w:ascii="Times New Roman" w:hAnsi="Times New Roman"/>
                <w:spacing w:val="-4"/>
                <w:sz w:val="22"/>
                <w:szCs w:val="22"/>
              </w:rPr>
              <w:lastRenderedPageBreak/>
              <w:t>duomenų apie asmenis, kurie nėra jokioje rizikos zonoje.</w:t>
            </w:r>
          </w:p>
        </w:tc>
        <w:tc>
          <w:tcPr>
            <w:tcW w:w="6378" w:type="dxa"/>
          </w:tcPr>
          <w:p w:rsidR="00DC72D7" w:rsidRPr="00DC72D7" w:rsidRDefault="00DC72D7" w:rsidP="006F21CE">
            <w:pPr>
              <w:shd w:val="clear" w:color="auto" w:fill="FFFFFF"/>
              <w:jc w:val="both"/>
              <w:rPr>
                <w:rFonts w:ascii="Times New Roman" w:hAnsi="Times New Roman"/>
                <w:b/>
                <w:spacing w:val="-4"/>
                <w:sz w:val="22"/>
                <w:szCs w:val="22"/>
              </w:rPr>
            </w:pPr>
            <w:r w:rsidRPr="00DC72D7">
              <w:rPr>
                <w:rFonts w:ascii="Times New Roman" w:hAnsi="Times New Roman"/>
                <w:b/>
                <w:spacing w:val="-4"/>
                <w:sz w:val="22"/>
                <w:szCs w:val="22"/>
              </w:rPr>
              <w:lastRenderedPageBreak/>
              <w:t>Neatsižvelgta.</w:t>
            </w:r>
          </w:p>
          <w:p w:rsidR="00DC72D7" w:rsidRPr="00DC72D7" w:rsidRDefault="00DC72D7" w:rsidP="006F21CE">
            <w:pPr>
              <w:shd w:val="clear" w:color="auto" w:fill="FFFFFF"/>
              <w:jc w:val="both"/>
              <w:rPr>
                <w:rFonts w:ascii="Times New Roman" w:hAnsi="Times New Roman"/>
                <w:spacing w:val="-4"/>
                <w:sz w:val="22"/>
                <w:szCs w:val="22"/>
              </w:rPr>
            </w:pPr>
            <w:r w:rsidRPr="00DC72D7">
              <w:rPr>
                <w:rFonts w:ascii="Times New Roman" w:hAnsi="Times New Roman"/>
                <w:spacing w:val="-4"/>
                <w:sz w:val="22"/>
                <w:szCs w:val="22"/>
              </w:rPr>
              <w:t xml:space="preserve">Įstatymo projekto 12 straipsnio 9 dalimi perkeliama Direktyvos 2018/843 9 punktu keičiamo 14 straipsnio a punkto pakeitimą, pagal kurį užmegzdami naujus verslo santykius su bendrove arba kitu juridiniu asmeniu, patikos fondu ar juridine struktūra, turinčia panašią į patikos fondų struktūrą arba funkcijas (toliau – panaši juridinė struktūra), kurių informacija apie tikruosius savininkus turi būti registruojama pagal 30 arba 31 straipsnį, įpareigotieji subjektai turi gauti registracijos įrodymą arba išrašą iš registro. Kaip minėta, </w:t>
            </w:r>
            <w:r w:rsidRPr="00DC72D7">
              <w:rPr>
                <w:rFonts w:ascii="Times New Roman" w:hAnsi="Times New Roman"/>
                <w:spacing w:val="-2"/>
                <w:sz w:val="22"/>
                <w:szCs w:val="22"/>
              </w:rPr>
              <w:t xml:space="preserve">Direktyvos 2015/849 nuostatos turi būti taikomos išorės apskaitininkams ir mokesčių konsultantams ir šiuo atveju išimčių dėl taikymo apimties nenustato. </w:t>
            </w:r>
            <w:r w:rsidRPr="00DC72D7">
              <w:rPr>
                <w:rFonts w:ascii="Times New Roman" w:hAnsi="Times New Roman"/>
                <w:spacing w:val="-4"/>
                <w:sz w:val="22"/>
                <w:szCs w:val="22"/>
              </w:rPr>
              <w:t>Atsižvelgiant į tai, siūlymas išbraukti Įstatymo projekto 12 straipsnio 9 dalį nėra pagrįstas.</w:t>
            </w:r>
          </w:p>
        </w:tc>
      </w:tr>
      <w:tr w:rsidR="00DC72D7" w:rsidRPr="00126CEB" w:rsidTr="00AA506B">
        <w:tc>
          <w:tcPr>
            <w:tcW w:w="534" w:type="dxa"/>
          </w:tcPr>
          <w:p w:rsidR="00DC72D7" w:rsidRPr="00DC72D7" w:rsidRDefault="00892BD0" w:rsidP="00DB7E6A">
            <w:pPr>
              <w:jc w:val="both"/>
              <w:rPr>
                <w:rFonts w:ascii="Times New Roman" w:hAnsi="Times New Roman"/>
                <w:spacing w:val="-2"/>
                <w:sz w:val="22"/>
                <w:szCs w:val="22"/>
              </w:rPr>
            </w:pPr>
            <w:r>
              <w:rPr>
                <w:rFonts w:ascii="Times New Roman" w:hAnsi="Times New Roman"/>
                <w:spacing w:val="-2"/>
                <w:sz w:val="22"/>
                <w:szCs w:val="22"/>
              </w:rPr>
              <w:t>30.</w:t>
            </w:r>
          </w:p>
        </w:tc>
        <w:tc>
          <w:tcPr>
            <w:tcW w:w="1559" w:type="dxa"/>
            <w:shd w:val="clear" w:color="auto" w:fill="auto"/>
          </w:tcPr>
          <w:p w:rsidR="00DC72D7" w:rsidRPr="00DC72D7" w:rsidRDefault="00DC72D7" w:rsidP="007D5670">
            <w:pPr>
              <w:rPr>
                <w:rFonts w:ascii="Times New Roman" w:hAnsi="Times New Roman"/>
                <w:spacing w:val="-2"/>
                <w:sz w:val="22"/>
                <w:szCs w:val="22"/>
              </w:rPr>
            </w:pPr>
            <w:r w:rsidRPr="00DC72D7">
              <w:rPr>
                <w:rFonts w:ascii="Times New Roman" w:hAnsi="Times New Roman"/>
                <w:spacing w:val="-2"/>
                <w:sz w:val="22"/>
                <w:szCs w:val="22"/>
              </w:rPr>
              <w:t>Elektroninių pinigų asociacija EMA</w:t>
            </w:r>
          </w:p>
          <w:p w:rsidR="00DC72D7" w:rsidRPr="00DC72D7" w:rsidRDefault="00DC72D7" w:rsidP="007D5670">
            <w:pPr>
              <w:rPr>
                <w:rFonts w:ascii="Times New Roman" w:hAnsi="Times New Roman"/>
                <w:b/>
                <w:spacing w:val="-2"/>
                <w:sz w:val="22"/>
                <w:szCs w:val="22"/>
              </w:rPr>
            </w:pPr>
            <w:r w:rsidRPr="00DC72D7">
              <w:rPr>
                <w:rFonts w:ascii="Times New Roman" w:hAnsi="Times New Roman"/>
                <w:spacing w:val="-2"/>
                <w:sz w:val="22"/>
                <w:szCs w:val="22"/>
              </w:rPr>
              <w:t>2019-01-14</w:t>
            </w:r>
          </w:p>
        </w:tc>
        <w:tc>
          <w:tcPr>
            <w:tcW w:w="6379" w:type="dxa"/>
          </w:tcPr>
          <w:p w:rsidR="00DC72D7" w:rsidRPr="00DC72D7" w:rsidRDefault="00DC72D7" w:rsidP="00FA4235">
            <w:pPr>
              <w:shd w:val="clear" w:color="auto" w:fill="FFFFFF"/>
              <w:ind w:left="-69"/>
              <w:jc w:val="both"/>
              <w:rPr>
                <w:rFonts w:ascii="Times New Roman" w:hAnsi="Times New Roman"/>
                <w:spacing w:val="-4"/>
                <w:sz w:val="22"/>
                <w:szCs w:val="22"/>
              </w:rPr>
            </w:pPr>
            <w:r w:rsidRPr="00DC72D7">
              <w:rPr>
                <w:rFonts w:ascii="Times New Roman" w:hAnsi="Times New Roman"/>
                <w:spacing w:val="-4"/>
                <w:sz w:val="22"/>
                <w:szCs w:val="22"/>
              </w:rPr>
              <w:t>2) Norėtume pateikti pasiūlymus dėl supaprastinto kliento tapatybės nustatymo (toliau angl. SDD) nuostatų dėl elektroninių pinigų institucijų 15 straipsnio 1 dalies 7 punkte, siekiant, kad šios nuostatos būtų naudingesnės elektroninių pinigų institucijoms licencijuotoms Lietuvoje. Esant dabartinėms sąlygoms, šiose nuostatose numatyta tik ribota visiško tikrinimo reikalavimų išimtis, taikoma produktams, kurių rizikos pobūdis pateisintų platesnę išimtį. Todėl siūlome nustatyti parametrus, remiantis kuriais produktai gali pasinaudoti SDD nuostatomis, kai viršijama 1000 eurų riba.</w:t>
            </w:r>
          </w:p>
          <w:p w:rsidR="00DC72D7" w:rsidRPr="00DC72D7" w:rsidRDefault="00DC72D7" w:rsidP="00FA4235">
            <w:pPr>
              <w:shd w:val="clear" w:color="auto" w:fill="FFFFFF"/>
              <w:ind w:left="-69"/>
              <w:jc w:val="both"/>
              <w:rPr>
                <w:rFonts w:ascii="Times New Roman" w:hAnsi="Times New Roman"/>
                <w:spacing w:val="-4"/>
                <w:sz w:val="22"/>
                <w:szCs w:val="22"/>
              </w:rPr>
            </w:pPr>
            <w:r w:rsidRPr="00DC72D7">
              <w:rPr>
                <w:rFonts w:ascii="Times New Roman" w:hAnsi="Times New Roman"/>
                <w:sz w:val="22"/>
                <w:szCs w:val="22"/>
              </w:rPr>
              <w:t xml:space="preserve"> 3) </w:t>
            </w:r>
            <w:r w:rsidRPr="00DC72D7">
              <w:rPr>
                <w:rFonts w:ascii="Times New Roman" w:hAnsi="Times New Roman"/>
                <w:spacing w:val="-4"/>
                <w:sz w:val="22"/>
                <w:szCs w:val="22"/>
              </w:rPr>
              <w:t>Atsižvelgiant į tai rekomenduojame numatyti ir didesnę 2 500 EUR metinę ribą, kuri būtų taikoma, jei produktas atitiktų BET KURIĄ iš šių sąlygų:</w:t>
            </w:r>
          </w:p>
          <w:p w:rsidR="00DC72D7" w:rsidRPr="00DC72D7" w:rsidRDefault="00DC72D7" w:rsidP="00FA4235">
            <w:pPr>
              <w:shd w:val="clear" w:color="auto" w:fill="FFFFFF"/>
              <w:ind w:left="-69"/>
              <w:jc w:val="both"/>
              <w:rPr>
                <w:rFonts w:ascii="Times New Roman" w:hAnsi="Times New Roman"/>
                <w:spacing w:val="-4"/>
                <w:sz w:val="22"/>
                <w:szCs w:val="22"/>
              </w:rPr>
            </w:pPr>
            <w:r w:rsidRPr="00DC72D7">
              <w:rPr>
                <w:rFonts w:ascii="Times New Roman" w:hAnsi="Times New Roman"/>
                <w:spacing w:val="-4"/>
                <w:sz w:val="22"/>
                <w:szCs w:val="22"/>
              </w:rPr>
              <w:t>a. Kai elektroninių pinigų priemonė gali būti naudojama tik prekėms ar paslaugoms įsigyti ir ne daugiau kaip 500 EUR gali būti atšaukta per bet kurį 12 mėnesių laikotarpį.</w:t>
            </w:r>
          </w:p>
          <w:p w:rsidR="00DC72D7" w:rsidRPr="00DC72D7" w:rsidRDefault="00DC72D7" w:rsidP="00FA4235">
            <w:pPr>
              <w:shd w:val="clear" w:color="auto" w:fill="FFFFFF"/>
              <w:ind w:left="-69"/>
              <w:jc w:val="both"/>
              <w:rPr>
                <w:rFonts w:ascii="Times New Roman" w:hAnsi="Times New Roman"/>
                <w:spacing w:val="-4"/>
                <w:sz w:val="22"/>
                <w:szCs w:val="22"/>
              </w:rPr>
            </w:pPr>
            <w:r w:rsidRPr="00DC72D7">
              <w:rPr>
                <w:rFonts w:ascii="Times New Roman" w:hAnsi="Times New Roman"/>
                <w:spacing w:val="-4"/>
                <w:sz w:val="22"/>
                <w:szCs w:val="22"/>
              </w:rPr>
              <w:t>b. Kai produktas leidžia mokėjimus tarp fizinių asmenų, taip pat prekių ir paslaugų pirkimą, bet neleidžia atlikti jokių grynųjų pinigų įnešimo ar išėmimo.</w:t>
            </w:r>
          </w:p>
        </w:tc>
        <w:tc>
          <w:tcPr>
            <w:tcW w:w="6378" w:type="dxa"/>
          </w:tcPr>
          <w:p w:rsidR="00DC72D7" w:rsidRPr="00DC72D7" w:rsidRDefault="00DC72D7" w:rsidP="00FA4235">
            <w:pPr>
              <w:shd w:val="clear" w:color="auto" w:fill="FFFFFF"/>
              <w:jc w:val="both"/>
              <w:rPr>
                <w:rFonts w:ascii="Times New Roman" w:hAnsi="Times New Roman"/>
                <w:b/>
                <w:spacing w:val="-4"/>
                <w:sz w:val="22"/>
                <w:szCs w:val="22"/>
              </w:rPr>
            </w:pPr>
            <w:r w:rsidRPr="00DC72D7">
              <w:rPr>
                <w:rFonts w:ascii="Times New Roman" w:hAnsi="Times New Roman"/>
                <w:b/>
                <w:spacing w:val="-4"/>
                <w:sz w:val="22"/>
                <w:szCs w:val="22"/>
              </w:rPr>
              <w:t>Neatsižvelgta.</w:t>
            </w:r>
          </w:p>
          <w:p w:rsidR="00DC72D7" w:rsidRPr="00DC72D7" w:rsidRDefault="00DC72D7" w:rsidP="00FA4235">
            <w:pPr>
              <w:shd w:val="clear" w:color="auto" w:fill="FFFFFF"/>
              <w:jc w:val="both"/>
              <w:rPr>
                <w:rFonts w:ascii="Times New Roman" w:hAnsi="Times New Roman"/>
                <w:spacing w:val="-4"/>
                <w:sz w:val="22"/>
                <w:szCs w:val="22"/>
              </w:rPr>
            </w:pPr>
            <w:r w:rsidRPr="00DC72D7">
              <w:rPr>
                <w:rFonts w:ascii="Times New Roman" w:hAnsi="Times New Roman"/>
                <w:spacing w:val="-4"/>
                <w:sz w:val="22"/>
                <w:szCs w:val="22"/>
              </w:rPr>
              <w:t xml:space="preserve">Pasiūlymas svarstyti didinti supaprastinto kliento tapatybės nustatymo limitą elektroninių pinigų atvejais yra įtrauktas į Priemonių finansinių technologijų sektoriaus plėtrai Lietuvoje skatinti planą. Šios priemonės turi būti tinkamai išanalizuotos specialistų, siekiant įvertinti siūlomų priemonių </w:t>
            </w:r>
            <w:r w:rsidRPr="00DC72D7">
              <w:rPr>
                <w:rFonts w:ascii="Times New Roman" w:hAnsi="Times New Roman"/>
                <w:sz w:val="22"/>
                <w:szCs w:val="22"/>
              </w:rPr>
              <w:t>saugumą, galimą poreikį taikyti papildomas kylančios rizikos mažinimo priemones. Atsižvelgiant į tai, kad pasiūlymas nagrinėjamas kartu su kitomis iniciatyvomis ir kadangi toks procesas dėl laiko sąnaudų nesuderinamas su Įstatymo projekto tikslu laiku perketi Direktyvos 2018/843 nuostatas, į pasiūlymą negali būti atsižvelgta.</w:t>
            </w:r>
          </w:p>
        </w:tc>
      </w:tr>
      <w:tr w:rsidR="00DC72D7" w:rsidRPr="00126CEB" w:rsidTr="00AD57A7">
        <w:trPr>
          <w:trHeight w:val="415"/>
        </w:trPr>
        <w:tc>
          <w:tcPr>
            <w:tcW w:w="534" w:type="dxa"/>
          </w:tcPr>
          <w:p w:rsidR="00DC72D7" w:rsidRPr="00DC72D7" w:rsidRDefault="00892BD0" w:rsidP="00F157B7">
            <w:pPr>
              <w:jc w:val="both"/>
              <w:rPr>
                <w:rFonts w:ascii="Times New Roman" w:hAnsi="Times New Roman"/>
                <w:spacing w:val="-2"/>
                <w:sz w:val="22"/>
                <w:szCs w:val="22"/>
              </w:rPr>
            </w:pPr>
            <w:r>
              <w:rPr>
                <w:rFonts w:ascii="Times New Roman" w:hAnsi="Times New Roman"/>
                <w:spacing w:val="-2"/>
                <w:sz w:val="22"/>
                <w:szCs w:val="22"/>
              </w:rPr>
              <w:t>31.</w:t>
            </w:r>
          </w:p>
        </w:tc>
        <w:tc>
          <w:tcPr>
            <w:tcW w:w="1559" w:type="dxa"/>
            <w:shd w:val="clear" w:color="auto" w:fill="auto"/>
          </w:tcPr>
          <w:p w:rsidR="00DC72D7" w:rsidRPr="00DC72D7" w:rsidRDefault="00DC72D7" w:rsidP="007D5670">
            <w:pPr>
              <w:rPr>
                <w:rFonts w:ascii="Times New Roman" w:hAnsi="Times New Roman"/>
                <w:b/>
                <w:spacing w:val="-2"/>
                <w:sz w:val="22"/>
                <w:szCs w:val="22"/>
              </w:rPr>
            </w:pPr>
          </w:p>
        </w:tc>
        <w:tc>
          <w:tcPr>
            <w:tcW w:w="6379" w:type="dxa"/>
          </w:tcPr>
          <w:p w:rsidR="00DC72D7" w:rsidRPr="00DC72D7" w:rsidRDefault="00DC72D7" w:rsidP="00646A52">
            <w:pPr>
              <w:shd w:val="clear" w:color="auto" w:fill="FFFFFF"/>
              <w:ind w:left="-69"/>
              <w:jc w:val="both"/>
              <w:rPr>
                <w:rFonts w:ascii="Times New Roman" w:hAnsi="Times New Roman"/>
                <w:spacing w:val="-4"/>
                <w:sz w:val="22"/>
                <w:szCs w:val="22"/>
              </w:rPr>
            </w:pPr>
            <w:r w:rsidRPr="00DC72D7">
              <w:rPr>
                <w:rFonts w:ascii="Times New Roman" w:hAnsi="Times New Roman"/>
                <w:spacing w:val="-4"/>
                <w:sz w:val="22"/>
                <w:szCs w:val="22"/>
              </w:rPr>
              <w:t>4) Taip pat būtų naudinga, jei 15 straipsnio 2 dalies 2 punkte įvardintą sąskaitą būtų galima išplėsti į bet kurio reguliuojamo mokėjimo paslaugų teikėjo patikrintą sąskaitą, kad būtų įtraukti, pavyzdžiui, ne banko kredito kortelių leidėjai, kurie buvo CDD subjektais.</w:t>
            </w:r>
          </w:p>
        </w:tc>
        <w:tc>
          <w:tcPr>
            <w:tcW w:w="6378" w:type="dxa"/>
          </w:tcPr>
          <w:p w:rsidR="00DC72D7" w:rsidRPr="00DC72D7" w:rsidRDefault="00DC72D7" w:rsidP="00646A52">
            <w:pPr>
              <w:shd w:val="clear" w:color="auto" w:fill="FFFFFF"/>
              <w:jc w:val="both"/>
              <w:rPr>
                <w:rFonts w:ascii="Times New Roman" w:hAnsi="Times New Roman"/>
                <w:b/>
                <w:spacing w:val="-4"/>
                <w:sz w:val="22"/>
                <w:szCs w:val="22"/>
              </w:rPr>
            </w:pPr>
            <w:r w:rsidRPr="00DC72D7">
              <w:rPr>
                <w:rFonts w:ascii="Times New Roman" w:hAnsi="Times New Roman"/>
                <w:b/>
                <w:spacing w:val="-4"/>
                <w:sz w:val="22"/>
                <w:szCs w:val="22"/>
              </w:rPr>
              <w:t>Neatsižvelgta.</w:t>
            </w:r>
          </w:p>
          <w:p w:rsidR="00DC72D7" w:rsidRPr="00DC72D7" w:rsidRDefault="00DC72D7" w:rsidP="00646A52">
            <w:pPr>
              <w:shd w:val="clear" w:color="auto" w:fill="FFFFFF"/>
              <w:jc w:val="both"/>
              <w:rPr>
                <w:rFonts w:ascii="Times New Roman" w:hAnsi="Times New Roman"/>
                <w:spacing w:val="-4"/>
                <w:sz w:val="22"/>
                <w:szCs w:val="22"/>
              </w:rPr>
            </w:pPr>
            <w:r w:rsidRPr="00DC72D7">
              <w:rPr>
                <w:rFonts w:ascii="Times New Roman" w:hAnsi="Times New Roman"/>
                <w:spacing w:val="-4"/>
                <w:sz w:val="22"/>
                <w:szCs w:val="22"/>
              </w:rPr>
              <w:t>Finansų įstaigoms, priklausomai nuo veiklos rūšies, taikomi skirtingi klientų tapatybės nustatymo reikalavimai. Pavyzdžiui, mokėjimo įstaigos kliento tapatybę nustato tik nuo 1000 EUR mokėjimo sumos, taip pat tam tikros išimtys dėl klientų tapatybės nustatymo nacionalinėje teisėje leidžiamos elektroninių pinigų įstaigoms. Atsižvelgiant į tai, reikalavimas atlikti pirmąjį mokėjimą iš bet kurios finansų įstaigos gali neužtikrinti tikslų, pagal kuriuos siekiama, kad pilni kliento tapatybės duomenys būtų prieinami bent netiesioginiu būdu. Tuo tarpu kredito įstaigos šiuos reikalavimus turi užtikrinti be išimčių ir nepriklausomai nuo kliento operacijų sumos. Taigi, reikalavimas, kad pirmasis kliento mokėjimas būtų atliekamas iš kredito įstaigoje turimos sąskaitos, kai kredito įstaiga yra registruota Europos Sąjungos valstybėje narėje arba trečiojoje valstybėje, nustačiusioje šio įstatymo reikalavimams lygiaverčius reikalavimus, ir kompetentingų institucijų prižiūrima dėl šių reikalavimų laikymosi, laikytinas tinkamu saugikliu atliekant supaprastintą kliento tapatybės nustatymą.</w:t>
            </w:r>
          </w:p>
        </w:tc>
      </w:tr>
      <w:tr w:rsidR="00DC72D7" w:rsidRPr="00126CEB" w:rsidTr="00AA506B">
        <w:tc>
          <w:tcPr>
            <w:tcW w:w="534" w:type="dxa"/>
          </w:tcPr>
          <w:p w:rsidR="00DC72D7" w:rsidRPr="00DC72D7" w:rsidRDefault="00892BD0" w:rsidP="00892BD0">
            <w:pPr>
              <w:jc w:val="both"/>
              <w:rPr>
                <w:rFonts w:ascii="Times New Roman" w:hAnsi="Times New Roman"/>
                <w:spacing w:val="-2"/>
                <w:sz w:val="22"/>
                <w:szCs w:val="22"/>
              </w:rPr>
            </w:pPr>
            <w:r>
              <w:rPr>
                <w:rFonts w:ascii="Times New Roman" w:hAnsi="Times New Roman"/>
                <w:spacing w:val="-2"/>
                <w:sz w:val="22"/>
                <w:szCs w:val="22"/>
              </w:rPr>
              <w:t>32.</w:t>
            </w:r>
          </w:p>
        </w:tc>
        <w:tc>
          <w:tcPr>
            <w:tcW w:w="1559" w:type="dxa"/>
            <w:shd w:val="clear" w:color="auto" w:fill="auto"/>
          </w:tcPr>
          <w:p w:rsidR="00DC72D7" w:rsidRPr="00DC72D7" w:rsidRDefault="00DC72D7" w:rsidP="007D5670">
            <w:pPr>
              <w:rPr>
                <w:rFonts w:ascii="Times New Roman" w:hAnsi="Times New Roman"/>
                <w:b/>
                <w:spacing w:val="-2"/>
                <w:sz w:val="22"/>
                <w:szCs w:val="22"/>
              </w:rPr>
            </w:pPr>
          </w:p>
        </w:tc>
        <w:tc>
          <w:tcPr>
            <w:tcW w:w="6379" w:type="dxa"/>
          </w:tcPr>
          <w:p w:rsidR="00DC72D7" w:rsidRPr="00DC72D7" w:rsidRDefault="00DC72D7" w:rsidP="00836055">
            <w:pPr>
              <w:shd w:val="clear" w:color="auto" w:fill="FFFFFF"/>
              <w:ind w:left="-69"/>
              <w:jc w:val="both"/>
              <w:rPr>
                <w:rFonts w:ascii="Times New Roman" w:hAnsi="Times New Roman"/>
                <w:spacing w:val="-4"/>
                <w:sz w:val="22"/>
                <w:szCs w:val="22"/>
              </w:rPr>
            </w:pPr>
            <w:r w:rsidRPr="00DC72D7">
              <w:rPr>
                <w:rFonts w:ascii="Times New Roman" w:hAnsi="Times New Roman"/>
                <w:spacing w:val="-4"/>
                <w:sz w:val="22"/>
                <w:szCs w:val="22"/>
              </w:rPr>
              <w:t xml:space="preserve">5) Nėra aišku, kodėl 15 straipsnio 1 dalies 7 punktas netaikomas produktams, kuriems taikoma 9 straipsnio 4 dalis. Jei produktas atitinka SDD kriterijus, turėtų būti galimybė pasinaudoti SDD nuostatomis, todėl, </w:t>
            </w:r>
            <w:r w:rsidRPr="00DC72D7">
              <w:rPr>
                <w:rFonts w:ascii="Times New Roman" w:hAnsi="Times New Roman"/>
                <w:spacing w:val="-4"/>
                <w:sz w:val="22"/>
                <w:szCs w:val="22"/>
              </w:rPr>
              <w:lastRenderedPageBreak/>
              <w:t>kad SDD nuostatose reikalaujama, kad klientas būtų identifikuojamas, nesilaikant 9 straipsnio 4 dalies reikalavimų. 4MLD tekste konstatuojamosios dalies 7 punkte nurodyta:</w:t>
            </w:r>
          </w:p>
          <w:p w:rsidR="00DC72D7" w:rsidRPr="00DC72D7" w:rsidRDefault="00DC72D7" w:rsidP="00836055">
            <w:pPr>
              <w:shd w:val="clear" w:color="auto" w:fill="FFFFFF"/>
              <w:ind w:left="-69"/>
              <w:jc w:val="both"/>
              <w:rPr>
                <w:rFonts w:ascii="Times New Roman" w:hAnsi="Times New Roman"/>
                <w:spacing w:val="-4"/>
                <w:sz w:val="22"/>
                <w:szCs w:val="22"/>
              </w:rPr>
            </w:pPr>
            <w:r w:rsidRPr="00DC72D7">
              <w:rPr>
                <w:rFonts w:ascii="Times New Roman" w:hAnsi="Times New Roman"/>
                <w:spacing w:val="-4"/>
                <w:sz w:val="22"/>
                <w:szCs w:val="22"/>
              </w:rPr>
              <w:t>"Tokios išimties taikymas neturėtų daryti poveikio valstybėms narėms suteiktai veiksmų laisvei leisti įpareigotiesiems subjektams taikyti supaprastinto deramo klientų tikrinimo priemones kitiems elektroninių pinigų produktams, kurie kelia mažesnę riziką, laikantis 15 straipsnio“</w:t>
            </w:r>
          </w:p>
          <w:p w:rsidR="00DC72D7" w:rsidRPr="00DC72D7" w:rsidRDefault="00DC72D7" w:rsidP="00836055">
            <w:pPr>
              <w:shd w:val="clear" w:color="auto" w:fill="FFFFFF"/>
              <w:ind w:left="-69"/>
              <w:jc w:val="both"/>
              <w:rPr>
                <w:rFonts w:ascii="Times New Roman" w:hAnsi="Times New Roman"/>
                <w:spacing w:val="-4"/>
                <w:sz w:val="22"/>
                <w:szCs w:val="22"/>
              </w:rPr>
            </w:pPr>
            <w:r w:rsidRPr="00DC72D7">
              <w:rPr>
                <w:rFonts w:ascii="Times New Roman" w:hAnsi="Times New Roman"/>
                <w:spacing w:val="-4"/>
                <w:sz w:val="22"/>
                <w:szCs w:val="22"/>
              </w:rPr>
              <w:t>Pavyzdžiui, ši nuostata buvo įgyvendinta JK teisės aktuose; žr. 2017 m. JK pinigų plovimo taisyklių 38 straipsnio 4 dalį.</w:t>
            </w:r>
          </w:p>
        </w:tc>
        <w:tc>
          <w:tcPr>
            <w:tcW w:w="6378" w:type="dxa"/>
          </w:tcPr>
          <w:p w:rsidR="00DC72D7" w:rsidRPr="00DC72D7" w:rsidRDefault="00DC72D7" w:rsidP="00836055">
            <w:pPr>
              <w:shd w:val="clear" w:color="auto" w:fill="FFFFFF"/>
              <w:jc w:val="both"/>
              <w:rPr>
                <w:rFonts w:ascii="Times New Roman" w:hAnsi="Times New Roman"/>
                <w:b/>
                <w:spacing w:val="-4"/>
                <w:sz w:val="22"/>
                <w:szCs w:val="22"/>
              </w:rPr>
            </w:pPr>
            <w:r w:rsidRPr="00DC72D7">
              <w:rPr>
                <w:rFonts w:ascii="Times New Roman" w:hAnsi="Times New Roman"/>
                <w:b/>
                <w:spacing w:val="-4"/>
                <w:sz w:val="22"/>
                <w:szCs w:val="22"/>
              </w:rPr>
              <w:lastRenderedPageBreak/>
              <w:t>Neatsižvelgta.</w:t>
            </w:r>
          </w:p>
          <w:p w:rsidR="00DC72D7" w:rsidRPr="00DC72D7" w:rsidRDefault="00DC72D7" w:rsidP="00836055">
            <w:pPr>
              <w:shd w:val="clear" w:color="auto" w:fill="FFFFFF"/>
              <w:jc w:val="both"/>
              <w:rPr>
                <w:rFonts w:ascii="Times New Roman" w:hAnsi="Times New Roman"/>
                <w:spacing w:val="-4"/>
                <w:sz w:val="22"/>
                <w:szCs w:val="22"/>
              </w:rPr>
            </w:pPr>
            <w:r w:rsidRPr="00DC72D7">
              <w:rPr>
                <w:rFonts w:ascii="Times New Roman" w:hAnsi="Times New Roman"/>
                <w:spacing w:val="-4"/>
                <w:sz w:val="22"/>
                <w:szCs w:val="22"/>
              </w:rPr>
              <w:t xml:space="preserve">Įstatymo 9 straipsnio 4 dalis įtvirtina išimtį, kada kliento tapatybės duomenys apskritai nėra renkami (nei standartine, nei sumažinta </w:t>
            </w:r>
            <w:r w:rsidRPr="00DC72D7">
              <w:rPr>
                <w:rFonts w:ascii="Times New Roman" w:hAnsi="Times New Roman"/>
                <w:spacing w:val="-4"/>
                <w:sz w:val="22"/>
                <w:szCs w:val="22"/>
              </w:rPr>
              <w:lastRenderedPageBreak/>
              <w:t xml:space="preserve">apimtimi), t.y. </w:t>
            </w:r>
            <w:r w:rsidRPr="00DC72D7">
              <w:rPr>
                <w:rFonts w:ascii="Times New Roman" w:hAnsi="Times New Roman"/>
                <w:sz w:val="22"/>
                <w:szCs w:val="22"/>
              </w:rPr>
              <w:t>didžiausia elektroninių pinigų mokėjimo priemonėje saugoma suma neviršija 150 eurų, mokėjimo priemonėje saugomi elektroniniai pinigai negali būti finansuojami anoniminiais elektroniniais pinigais ir kita. Tuo tarpu Įstatymo 15 straipsnio 1 dalies 7 punktu nustatomas atvejis, kada elektroninių pinigų atvejais leidžiama taikyti supaprastintą klientų tapatybės nustatymo procedūrą, kai operacijų vertei per metus taikoma 1 000 eurų. Taigi šios įstatymo nuostatos reglamentuoja skirtingus atvejus, o šių nuostatų tarpusavio santykis aptartas Įstatyme nustatant, kad supaprastintas kliento tapatybės nustatymas neprivalo būti atliekamas įstatymo 9 straipsnio 4 dalyje nurodytais atvejais. Nesant šios išimties tie patys santykiai būtų reglamentuojami skirtingomis teisinėmis normomis ir sukeltų teisinį neaiškumą.</w:t>
            </w:r>
          </w:p>
          <w:p w:rsidR="00DC72D7" w:rsidRPr="00DC72D7" w:rsidRDefault="00DC72D7" w:rsidP="00836055">
            <w:pPr>
              <w:shd w:val="clear" w:color="auto" w:fill="FFFFFF"/>
              <w:jc w:val="both"/>
              <w:rPr>
                <w:rFonts w:ascii="Times New Roman" w:hAnsi="Times New Roman"/>
                <w:spacing w:val="-4"/>
                <w:sz w:val="22"/>
                <w:szCs w:val="22"/>
              </w:rPr>
            </w:pPr>
            <w:r w:rsidRPr="00DC72D7">
              <w:rPr>
                <w:rFonts w:ascii="Times New Roman" w:hAnsi="Times New Roman"/>
                <w:spacing w:val="-4"/>
                <w:sz w:val="22"/>
                <w:szCs w:val="22"/>
              </w:rPr>
              <w:t xml:space="preserve">Atkreiptinas dėmesys, kad jeigu finansų įstaiga, vadovaudamasi savo nustatytomis </w:t>
            </w:r>
            <w:r w:rsidRPr="00DC72D7">
              <w:rPr>
                <w:rFonts w:ascii="Times New Roman" w:hAnsi="Times New Roman"/>
                <w:sz w:val="22"/>
                <w:szCs w:val="22"/>
              </w:rPr>
              <w:t xml:space="preserve">rizikos vertinimo ir valdymo procedūromis, </w:t>
            </w:r>
            <w:r w:rsidRPr="00DC72D7">
              <w:rPr>
                <w:rFonts w:ascii="Times New Roman" w:hAnsi="Times New Roman"/>
                <w:spacing w:val="-4"/>
                <w:sz w:val="22"/>
                <w:szCs w:val="22"/>
              </w:rPr>
              <w:t xml:space="preserve">įvertina produkto riziką kaip vidutinę ar didelę, finansų įstaiga turi teisę, vadovaudamasi </w:t>
            </w:r>
            <w:r w:rsidRPr="00DC72D7">
              <w:rPr>
                <w:rFonts w:ascii="Times New Roman" w:hAnsi="Times New Roman"/>
                <w:sz w:val="22"/>
                <w:szCs w:val="22"/>
              </w:rPr>
              <w:t xml:space="preserve">vidaus politikos ir vidaus kontrolės procedūromis, </w:t>
            </w:r>
            <w:r w:rsidRPr="00DC72D7">
              <w:rPr>
                <w:rFonts w:ascii="Times New Roman" w:hAnsi="Times New Roman"/>
                <w:spacing w:val="-4"/>
                <w:sz w:val="22"/>
                <w:szCs w:val="22"/>
              </w:rPr>
              <w:t xml:space="preserve">produktams, kuriems taikoma 9 straipsnio 4 dalis, vis tiek taikyti tapatybės nustatymo procedūras ir apie klientą rinkti duomenų apimtį, atitinkančią Įstatymo reikalavimus, t.y. finansų įstaigos neprivalo naudotis Įstatymo leidžiamomis išimtimis. </w:t>
            </w:r>
          </w:p>
        </w:tc>
      </w:tr>
      <w:tr w:rsidR="00DC72D7" w:rsidRPr="00126CEB" w:rsidTr="00AA506B">
        <w:tc>
          <w:tcPr>
            <w:tcW w:w="534" w:type="dxa"/>
          </w:tcPr>
          <w:p w:rsidR="00DC72D7" w:rsidRPr="00DC72D7" w:rsidRDefault="00892BD0" w:rsidP="00892BD0">
            <w:pPr>
              <w:jc w:val="both"/>
              <w:rPr>
                <w:rFonts w:ascii="Times New Roman" w:hAnsi="Times New Roman"/>
                <w:spacing w:val="-2"/>
                <w:sz w:val="22"/>
                <w:szCs w:val="22"/>
              </w:rPr>
            </w:pPr>
            <w:r>
              <w:rPr>
                <w:rFonts w:ascii="Times New Roman" w:hAnsi="Times New Roman"/>
                <w:spacing w:val="-2"/>
                <w:sz w:val="22"/>
                <w:szCs w:val="22"/>
              </w:rPr>
              <w:lastRenderedPageBreak/>
              <w:t>33.</w:t>
            </w:r>
          </w:p>
        </w:tc>
        <w:tc>
          <w:tcPr>
            <w:tcW w:w="1559" w:type="dxa"/>
            <w:shd w:val="clear" w:color="auto" w:fill="auto"/>
          </w:tcPr>
          <w:p w:rsidR="00DC72D7" w:rsidRPr="00DC72D7" w:rsidRDefault="00DC72D7" w:rsidP="007D5670">
            <w:pPr>
              <w:rPr>
                <w:rFonts w:ascii="Times New Roman" w:hAnsi="Times New Roman"/>
                <w:b/>
                <w:spacing w:val="-2"/>
                <w:sz w:val="22"/>
                <w:szCs w:val="22"/>
              </w:rPr>
            </w:pPr>
          </w:p>
        </w:tc>
        <w:tc>
          <w:tcPr>
            <w:tcW w:w="6379" w:type="dxa"/>
          </w:tcPr>
          <w:p w:rsidR="00DC72D7" w:rsidRPr="00DC72D7" w:rsidRDefault="00DC72D7" w:rsidP="00AD57A7">
            <w:pPr>
              <w:shd w:val="clear" w:color="auto" w:fill="FFFFFF"/>
              <w:ind w:left="-69"/>
              <w:jc w:val="both"/>
              <w:rPr>
                <w:rFonts w:ascii="Times New Roman" w:hAnsi="Times New Roman"/>
                <w:spacing w:val="-4"/>
                <w:sz w:val="22"/>
                <w:szCs w:val="22"/>
              </w:rPr>
            </w:pPr>
            <w:r w:rsidRPr="00DC72D7">
              <w:rPr>
                <w:rFonts w:ascii="Times New Roman" w:hAnsi="Times New Roman"/>
                <w:spacing w:val="-4"/>
                <w:sz w:val="22"/>
                <w:szCs w:val="22"/>
              </w:rPr>
              <w:t>6) Mes taip pat siūlome į 15 straipsnio 1 dalies 2 punktą įtraukti švietimo ir sveikatos institutus, kurie taip pat vertintini kaip mažą riziką keliantys subjektai.</w:t>
            </w:r>
          </w:p>
        </w:tc>
        <w:tc>
          <w:tcPr>
            <w:tcW w:w="6378" w:type="dxa"/>
          </w:tcPr>
          <w:p w:rsidR="00DC72D7" w:rsidRPr="00DC72D7" w:rsidRDefault="00DC72D7" w:rsidP="00380164">
            <w:pPr>
              <w:shd w:val="clear" w:color="auto" w:fill="FFFFFF"/>
              <w:jc w:val="both"/>
              <w:rPr>
                <w:rFonts w:ascii="Times New Roman" w:hAnsi="Times New Roman"/>
                <w:b/>
                <w:spacing w:val="-4"/>
                <w:sz w:val="22"/>
                <w:szCs w:val="22"/>
              </w:rPr>
            </w:pPr>
            <w:r w:rsidRPr="00DC72D7">
              <w:rPr>
                <w:rFonts w:ascii="Times New Roman" w:hAnsi="Times New Roman"/>
                <w:b/>
                <w:spacing w:val="-4"/>
                <w:sz w:val="22"/>
                <w:szCs w:val="22"/>
              </w:rPr>
              <w:t>Neatsižvelgta.</w:t>
            </w:r>
          </w:p>
          <w:p w:rsidR="00DC72D7" w:rsidRPr="00DC72D7" w:rsidRDefault="00DC72D7" w:rsidP="002D368A">
            <w:pPr>
              <w:shd w:val="clear" w:color="auto" w:fill="FFFFFF"/>
              <w:jc w:val="both"/>
              <w:rPr>
                <w:rFonts w:ascii="Times New Roman" w:hAnsi="Times New Roman"/>
                <w:b/>
                <w:spacing w:val="-4"/>
                <w:sz w:val="22"/>
                <w:szCs w:val="22"/>
              </w:rPr>
            </w:pPr>
            <w:r w:rsidRPr="00DC72D7">
              <w:rPr>
                <w:rFonts w:ascii="Times New Roman" w:hAnsi="Times New Roman"/>
                <w:spacing w:val="-4"/>
                <w:sz w:val="22"/>
                <w:szCs w:val="22"/>
              </w:rPr>
              <w:t xml:space="preserve">Nėra nurodyti argumentai, kuriais remiamas teiginys, kad švietimo ir sveikatos institutai pat vertintini kaip mažą riziką keliantys subjektai, taip pat siūlomas juridinių asmenų formos apibrėžimas nėra pakankamai aiškus. Švietimo ir sveikatos institutų, kurie yra </w:t>
            </w:r>
            <w:r w:rsidRPr="00DC72D7">
              <w:rPr>
                <w:rFonts w:ascii="Times New Roman" w:hAnsi="Times New Roman"/>
                <w:sz w:val="22"/>
                <w:szCs w:val="22"/>
              </w:rPr>
              <w:t>valstybės ir savivaldybių įstaigos,</w:t>
            </w:r>
            <w:r w:rsidRPr="00DC72D7">
              <w:rPr>
                <w:rFonts w:ascii="Times New Roman" w:hAnsi="Times New Roman"/>
                <w:spacing w:val="-4"/>
                <w:sz w:val="22"/>
                <w:szCs w:val="22"/>
              </w:rPr>
              <w:t xml:space="preserve"> atžvilgiu būtų galima atlikti supaprastintą kliento tapatybės nustatymą.</w:t>
            </w:r>
          </w:p>
        </w:tc>
      </w:tr>
      <w:tr w:rsidR="00DC72D7" w:rsidRPr="00126CEB" w:rsidTr="00AA506B">
        <w:tc>
          <w:tcPr>
            <w:tcW w:w="534" w:type="dxa"/>
          </w:tcPr>
          <w:p w:rsidR="00DC72D7" w:rsidRPr="00DC72D7" w:rsidRDefault="00892BD0" w:rsidP="00892BD0">
            <w:pPr>
              <w:jc w:val="both"/>
              <w:rPr>
                <w:rFonts w:ascii="Times New Roman" w:hAnsi="Times New Roman"/>
                <w:spacing w:val="-2"/>
                <w:sz w:val="22"/>
                <w:szCs w:val="22"/>
              </w:rPr>
            </w:pPr>
            <w:r>
              <w:rPr>
                <w:rFonts w:ascii="Times New Roman" w:hAnsi="Times New Roman"/>
                <w:spacing w:val="-2"/>
                <w:sz w:val="22"/>
                <w:szCs w:val="22"/>
              </w:rPr>
              <w:t>34.</w:t>
            </w:r>
          </w:p>
        </w:tc>
        <w:tc>
          <w:tcPr>
            <w:tcW w:w="1559" w:type="dxa"/>
            <w:shd w:val="clear" w:color="auto" w:fill="auto"/>
          </w:tcPr>
          <w:p w:rsidR="00DC72D7" w:rsidRPr="00DC72D7" w:rsidRDefault="00DC72D7" w:rsidP="007D5670">
            <w:pPr>
              <w:rPr>
                <w:rFonts w:ascii="Times New Roman" w:hAnsi="Times New Roman"/>
                <w:b/>
                <w:spacing w:val="-2"/>
                <w:sz w:val="22"/>
                <w:szCs w:val="22"/>
              </w:rPr>
            </w:pPr>
          </w:p>
        </w:tc>
        <w:tc>
          <w:tcPr>
            <w:tcW w:w="6379" w:type="dxa"/>
          </w:tcPr>
          <w:p w:rsidR="00DC72D7" w:rsidRPr="00DC72D7" w:rsidRDefault="00DC72D7" w:rsidP="00380164">
            <w:pPr>
              <w:shd w:val="clear" w:color="auto" w:fill="FFFFFF"/>
              <w:ind w:left="-69"/>
              <w:jc w:val="both"/>
              <w:rPr>
                <w:rFonts w:ascii="Times New Roman" w:hAnsi="Times New Roman"/>
                <w:spacing w:val="-4"/>
                <w:sz w:val="22"/>
                <w:szCs w:val="22"/>
              </w:rPr>
            </w:pPr>
            <w:r w:rsidRPr="00DC72D7">
              <w:rPr>
                <w:rFonts w:ascii="Times New Roman" w:hAnsi="Times New Roman"/>
                <w:spacing w:val="-4"/>
                <w:sz w:val="22"/>
                <w:szCs w:val="22"/>
              </w:rPr>
              <w:t>7) Galiausiai siūlome išplėsti SDD 15 straipsnio 2 dalies 2 punktą reikalavimą, kad pirmasis mokėjimas turi būti iš sąskaitos kredito įstaigoje, praplėsti sąvoka, kad būtų galima naudotis kitomis patikimomis mokėjimo paslaugų teikėjų sąskaitomis, kurios turi būti tikrinamos CDD numatytais reikalavimais pagal ES teisę.</w:t>
            </w:r>
          </w:p>
        </w:tc>
        <w:tc>
          <w:tcPr>
            <w:tcW w:w="6378" w:type="dxa"/>
          </w:tcPr>
          <w:p w:rsidR="00DC72D7" w:rsidRPr="00DC72D7" w:rsidRDefault="00DC72D7" w:rsidP="00380164">
            <w:pPr>
              <w:shd w:val="clear" w:color="auto" w:fill="FFFFFF"/>
              <w:jc w:val="both"/>
              <w:rPr>
                <w:rFonts w:ascii="Times New Roman" w:hAnsi="Times New Roman"/>
                <w:b/>
                <w:spacing w:val="-4"/>
                <w:sz w:val="22"/>
                <w:szCs w:val="22"/>
              </w:rPr>
            </w:pPr>
            <w:r w:rsidRPr="00DC72D7">
              <w:rPr>
                <w:rFonts w:ascii="Times New Roman" w:hAnsi="Times New Roman"/>
                <w:b/>
                <w:spacing w:val="-4"/>
                <w:sz w:val="22"/>
                <w:szCs w:val="22"/>
              </w:rPr>
              <w:t>Neatsižvelgta.</w:t>
            </w:r>
          </w:p>
          <w:p w:rsidR="00DC72D7" w:rsidRPr="00DC72D7" w:rsidRDefault="00DC72D7" w:rsidP="004E6502">
            <w:pPr>
              <w:shd w:val="clear" w:color="auto" w:fill="FFFFFF"/>
              <w:jc w:val="both"/>
              <w:rPr>
                <w:rFonts w:ascii="Times New Roman" w:hAnsi="Times New Roman"/>
                <w:b/>
                <w:spacing w:val="-4"/>
                <w:sz w:val="22"/>
                <w:szCs w:val="22"/>
              </w:rPr>
            </w:pPr>
            <w:r w:rsidRPr="00DC72D7">
              <w:rPr>
                <w:rFonts w:ascii="Times New Roman" w:hAnsi="Times New Roman"/>
                <w:spacing w:val="-4"/>
                <w:sz w:val="22"/>
                <w:szCs w:val="22"/>
              </w:rPr>
              <w:t xml:space="preserve">Finansų įstaigoms, priklausomai nuo veiklos rūšies, taikomi skirtingi klientų tapatybės nustatymo reikalavimai. Pavyzdžiui, mokėjimo įstaigos kliento tapatybę nustato tik nuo 1000 EUR mokėjimo sumos, taip pat tam tikros išimtys dėl klientų tapatybės nustatymo nacionalinėje teisėje leidžiamos elektroninių pinigų įstaigoms. Atsižvelgiant į tai, reikalavimas atlikti pirmąjį mokėjimą iš bet kurios finansų įstaigos gali neužtikrinti tikslų, pagal kuriuos siekiama, kad pilni kliento tapatybės duomenys būtų prieinami bent netiesioginiu būdu. Tuo tarpu kredito įstaigos šiuos reikalavimus turi užtikrinti be išimčių ir nepriklausomai nuo kliento operacijų sumos. Taigi, reikalavimas, kad pirmasis kliento </w:t>
            </w:r>
            <w:r w:rsidRPr="00DC72D7">
              <w:rPr>
                <w:rFonts w:ascii="Times New Roman" w:hAnsi="Times New Roman"/>
                <w:spacing w:val="-4"/>
                <w:sz w:val="22"/>
                <w:szCs w:val="22"/>
              </w:rPr>
              <w:lastRenderedPageBreak/>
              <w:t>mokėjimas būtų atliekamas iš kredito įstaigoje turimos sąskaitos, kai kredito įstaiga yra registruota Europos Sąjungos valstybėje narėje arba trečiojoje valstybėje, nustačiusioje šio įstatymo reikalavimams lygiaverčius reikalavimus, ir kompetentingų institucijų prižiūrima dėl šių reikalavimų laikymosi, laikytinas tinkamu saugikliu atliekant supaprastintą kliento tapatybės nustatymą.</w:t>
            </w:r>
          </w:p>
        </w:tc>
      </w:tr>
      <w:tr w:rsidR="00DC72D7" w:rsidRPr="00126CEB" w:rsidTr="00AA506B">
        <w:tc>
          <w:tcPr>
            <w:tcW w:w="534" w:type="dxa"/>
          </w:tcPr>
          <w:p w:rsidR="00DC72D7" w:rsidRPr="00DC72D7" w:rsidRDefault="00892BD0" w:rsidP="00892BD0">
            <w:pPr>
              <w:jc w:val="both"/>
              <w:rPr>
                <w:rFonts w:ascii="Times New Roman" w:hAnsi="Times New Roman"/>
                <w:spacing w:val="-2"/>
                <w:sz w:val="22"/>
                <w:szCs w:val="22"/>
              </w:rPr>
            </w:pPr>
            <w:r>
              <w:rPr>
                <w:rFonts w:ascii="Times New Roman" w:hAnsi="Times New Roman"/>
                <w:spacing w:val="-2"/>
                <w:sz w:val="22"/>
                <w:szCs w:val="22"/>
              </w:rPr>
              <w:lastRenderedPageBreak/>
              <w:t>35.</w:t>
            </w:r>
          </w:p>
        </w:tc>
        <w:tc>
          <w:tcPr>
            <w:tcW w:w="1559" w:type="dxa"/>
            <w:shd w:val="clear" w:color="auto" w:fill="auto"/>
          </w:tcPr>
          <w:p w:rsidR="00DC72D7" w:rsidRPr="00DC72D7" w:rsidRDefault="00DC72D7" w:rsidP="007D5670">
            <w:pPr>
              <w:rPr>
                <w:rFonts w:ascii="Times New Roman" w:hAnsi="Times New Roman"/>
                <w:b/>
                <w:spacing w:val="-2"/>
                <w:sz w:val="22"/>
                <w:szCs w:val="22"/>
              </w:rPr>
            </w:pPr>
          </w:p>
        </w:tc>
        <w:tc>
          <w:tcPr>
            <w:tcW w:w="6379" w:type="dxa"/>
          </w:tcPr>
          <w:p w:rsidR="00DC72D7" w:rsidRPr="00DC72D7" w:rsidRDefault="00DC72D7" w:rsidP="004056C4">
            <w:pPr>
              <w:shd w:val="clear" w:color="auto" w:fill="FFFFFF"/>
              <w:ind w:left="-69"/>
              <w:jc w:val="both"/>
              <w:rPr>
                <w:rFonts w:ascii="Times New Roman" w:hAnsi="Times New Roman"/>
                <w:spacing w:val="-4"/>
                <w:sz w:val="22"/>
                <w:szCs w:val="22"/>
              </w:rPr>
            </w:pPr>
            <w:r w:rsidRPr="00DC72D7">
              <w:rPr>
                <w:rFonts w:ascii="Times New Roman" w:hAnsi="Times New Roman"/>
                <w:spacing w:val="-4"/>
                <w:sz w:val="22"/>
                <w:szCs w:val="22"/>
              </w:rPr>
              <w:t>8)Kai tapatybė nustatoma klientui fiziškai nedalyvaujant, kas numatyta įstatymo 11 straipsnyje, netinka mažos vertės mokėjimo produktams, kai rizika yra maža, nes tai yra sudėtinga ir brangi įgyvendinti procedūra.</w:t>
            </w:r>
          </w:p>
          <w:p w:rsidR="00DC72D7" w:rsidRPr="00DC72D7" w:rsidRDefault="00DC72D7" w:rsidP="004056C4">
            <w:pPr>
              <w:shd w:val="clear" w:color="auto" w:fill="FFFFFF"/>
              <w:ind w:left="-69"/>
              <w:jc w:val="both"/>
              <w:rPr>
                <w:rFonts w:ascii="Times New Roman" w:hAnsi="Times New Roman"/>
                <w:spacing w:val="-4"/>
                <w:sz w:val="22"/>
                <w:szCs w:val="22"/>
              </w:rPr>
            </w:pPr>
            <w:r w:rsidRPr="00DC72D7">
              <w:rPr>
                <w:rFonts w:ascii="Times New Roman" w:hAnsi="Times New Roman"/>
                <w:spacing w:val="-4"/>
                <w:sz w:val="22"/>
                <w:szCs w:val="22"/>
              </w:rPr>
              <w:t>Siūlome įtraukti šias papildomas CDD įgyvendinimo priemones; kurios patenka į reikalavimą tikrinti tapatybę remiantis dokumentais arba patikimais ir nepriklausomais šaltiniais gautais duomenimis ar informacija, kurie galėtu būti papildomai taikomi akumuliuojamai 10 000 EUR, viso produkto veiki</w:t>
            </w:r>
            <w:r>
              <w:rPr>
                <w:rFonts w:ascii="Times New Roman" w:hAnsi="Times New Roman"/>
                <w:spacing w:val="-4"/>
                <w:sz w:val="22"/>
                <w:szCs w:val="22"/>
              </w:rPr>
              <w:t>mo laikotarpio, apyvartos ribai &lt;...&gt;.</w:t>
            </w:r>
          </w:p>
          <w:p w:rsidR="00DC72D7" w:rsidRPr="00DC72D7" w:rsidRDefault="00DC72D7" w:rsidP="004056C4">
            <w:pPr>
              <w:shd w:val="clear" w:color="auto" w:fill="FFFFFF"/>
              <w:ind w:left="-69"/>
              <w:jc w:val="both"/>
              <w:rPr>
                <w:rFonts w:ascii="Times New Roman" w:hAnsi="Times New Roman"/>
                <w:spacing w:val="-4"/>
                <w:sz w:val="22"/>
                <w:szCs w:val="22"/>
              </w:rPr>
            </w:pPr>
          </w:p>
        </w:tc>
        <w:tc>
          <w:tcPr>
            <w:tcW w:w="6378" w:type="dxa"/>
          </w:tcPr>
          <w:p w:rsidR="00DC72D7" w:rsidRPr="00DC72D7" w:rsidRDefault="00DC72D7" w:rsidP="005A1FA7">
            <w:pPr>
              <w:shd w:val="clear" w:color="auto" w:fill="FFFFFF"/>
              <w:jc w:val="both"/>
              <w:rPr>
                <w:rFonts w:ascii="Times New Roman" w:hAnsi="Times New Roman"/>
                <w:b/>
                <w:spacing w:val="-4"/>
                <w:sz w:val="22"/>
                <w:szCs w:val="22"/>
              </w:rPr>
            </w:pPr>
            <w:r w:rsidRPr="00DC72D7">
              <w:rPr>
                <w:rFonts w:ascii="Times New Roman" w:hAnsi="Times New Roman"/>
                <w:b/>
                <w:spacing w:val="-4"/>
                <w:sz w:val="22"/>
                <w:szCs w:val="22"/>
              </w:rPr>
              <w:t>Neatsižvelgta.</w:t>
            </w:r>
          </w:p>
          <w:p w:rsidR="00DC72D7" w:rsidRPr="00DC72D7" w:rsidRDefault="00DC72D7" w:rsidP="005A1FA7">
            <w:pPr>
              <w:shd w:val="clear" w:color="auto" w:fill="FFFFFF"/>
              <w:jc w:val="both"/>
              <w:rPr>
                <w:rFonts w:ascii="Times New Roman" w:hAnsi="Times New Roman"/>
                <w:spacing w:val="-4"/>
                <w:sz w:val="22"/>
                <w:szCs w:val="22"/>
              </w:rPr>
            </w:pPr>
            <w:r w:rsidRPr="00DC72D7">
              <w:rPr>
                <w:rFonts w:ascii="Times New Roman" w:hAnsi="Times New Roman"/>
                <w:spacing w:val="-4"/>
                <w:sz w:val="22"/>
                <w:szCs w:val="22"/>
              </w:rPr>
              <w:t>Pasiūlymas išanalizuoti ir įvertinti galimybes nustatyti naujas kliento (Lietuvos Respublikos rezidento ir nerezidento) tapatybės nustatymo priemones yra įtrauktas į Priemonių finansinių technologijų sektoriaus plėtrai Lietuvoje skatinti planą. Šios priemonės turi būti tinkamai išanalizuotos specialistų, siekiant įvertinti siūlomų priemonių saugumą, galimą poreikį taikyti papildomas kylančios rizikos mažinimo priemones. Atsižvelgiant į</w:t>
            </w:r>
            <w:r w:rsidRPr="00DC72D7">
              <w:rPr>
                <w:rFonts w:ascii="Times New Roman" w:hAnsi="Times New Roman"/>
                <w:sz w:val="22"/>
                <w:szCs w:val="22"/>
              </w:rPr>
              <w:t xml:space="preserve"> tai, kad pasiūlymas nagrinėjamas kartu su kitomis iniciatyvomis ir kadangi toks procesas dėl laiko sąnaudų nesuderinamas su Įstatymo projekto tikslu laiku perketi Direktyvos 2018/843 nuostatas, į pasiūlymą negali būti atsižvelgta.</w:t>
            </w:r>
          </w:p>
          <w:p w:rsidR="00DC72D7" w:rsidRPr="00DC72D7" w:rsidRDefault="00DC72D7" w:rsidP="00380164">
            <w:pPr>
              <w:shd w:val="clear" w:color="auto" w:fill="FFFFFF"/>
              <w:jc w:val="both"/>
              <w:rPr>
                <w:rFonts w:ascii="Times New Roman" w:hAnsi="Times New Roman"/>
                <w:spacing w:val="-4"/>
                <w:sz w:val="22"/>
                <w:szCs w:val="22"/>
              </w:rPr>
            </w:pPr>
          </w:p>
        </w:tc>
      </w:tr>
      <w:tr w:rsidR="00DC72D7" w:rsidRPr="00126CEB" w:rsidTr="00AA506B">
        <w:tc>
          <w:tcPr>
            <w:tcW w:w="534" w:type="dxa"/>
          </w:tcPr>
          <w:p w:rsidR="00DC72D7" w:rsidRPr="00DC72D7" w:rsidRDefault="00892BD0" w:rsidP="00892BD0">
            <w:pPr>
              <w:jc w:val="both"/>
              <w:rPr>
                <w:rFonts w:ascii="Times New Roman" w:hAnsi="Times New Roman"/>
                <w:spacing w:val="-2"/>
                <w:sz w:val="22"/>
                <w:szCs w:val="22"/>
              </w:rPr>
            </w:pPr>
            <w:r>
              <w:rPr>
                <w:rFonts w:ascii="Times New Roman" w:hAnsi="Times New Roman"/>
                <w:spacing w:val="-2"/>
                <w:sz w:val="22"/>
                <w:szCs w:val="22"/>
              </w:rPr>
              <w:t>36.</w:t>
            </w:r>
          </w:p>
        </w:tc>
        <w:tc>
          <w:tcPr>
            <w:tcW w:w="1559" w:type="dxa"/>
            <w:shd w:val="clear" w:color="auto" w:fill="auto"/>
          </w:tcPr>
          <w:p w:rsidR="00DC72D7" w:rsidRPr="00DC72D7" w:rsidRDefault="00DC72D7" w:rsidP="007D5670">
            <w:pPr>
              <w:rPr>
                <w:rFonts w:ascii="Times New Roman" w:hAnsi="Times New Roman"/>
                <w:spacing w:val="-2"/>
                <w:sz w:val="22"/>
                <w:szCs w:val="22"/>
              </w:rPr>
            </w:pPr>
            <w:r w:rsidRPr="00DC72D7">
              <w:rPr>
                <w:rFonts w:ascii="Times New Roman" w:hAnsi="Times New Roman"/>
                <w:spacing w:val="-2"/>
                <w:sz w:val="22"/>
                <w:szCs w:val="22"/>
              </w:rPr>
              <w:t>Vilniaus universiteto Teisės fakultetas</w:t>
            </w:r>
          </w:p>
          <w:p w:rsidR="00DC72D7" w:rsidRPr="00DC72D7" w:rsidRDefault="00DC72D7" w:rsidP="007D5670">
            <w:pPr>
              <w:rPr>
                <w:rFonts w:ascii="Times New Roman" w:hAnsi="Times New Roman"/>
                <w:spacing w:val="-2"/>
                <w:sz w:val="22"/>
                <w:szCs w:val="22"/>
              </w:rPr>
            </w:pPr>
            <w:r w:rsidRPr="00DC72D7">
              <w:rPr>
                <w:rFonts w:ascii="Times New Roman" w:hAnsi="Times New Roman"/>
                <w:spacing w:val="-2"/>
                <w:sz w:val="22"/>
                <w:szCs w:val="22"/>
              </w:rPr>
              <w:t>2018-01-24 raštas Nr. 220000-S-12</w:t>
            </w:r>
          </w:p>
        </w:tc>
        <w:tc>
          <w:tcPr>
            <w:tcW w:w="6379" w:type="dxa"/>
          </w:tcPr>
          <w:p w:rsidR="00DC72D7" w:rsidRPr="00DC72D7" w:rsidRDefault="00DC72D7" w:rsidP="003F5F59">
            <w:pPr>
              <w:shd w:val="clear" w:color="auto" w:fill="FFFFFF"/>
              <w:ind w:left="-69"/>
              <w:jc w:val="both"/>
              <w:rPr>
                <w:rFonts w:ascii="Times New Roman" w:hAnsi="Times New Roman"/>
                <w:spacing w:val="-4"/>
                <w:sz w:val="22"/>
                <w:szCs w:val="22"/>
              </w:rPr>
            </w:pPr>
            <w:r w:rsidRPr="00DC72D7">
              <w:rPr>
                <w:rFonts w:ascii="Times New Roman" w:hAnsi="Times New Roman"/>
                <w:spacing w:val="-4"/>
                <w:sz w:val="22"/>
                <w:szCs w:val="22"/>
              </w:rPr>
              <w:t xml:space="preserve">2. Įstatymo 2 straipsnio 2 dalyje (lyginant su Direktyvos reikalavimais) netinkamai apibrėžta „artimųjų šeimos narių“ samprata, kuri nustato, jog „artimieji šeimos nariai – sutuoktinis, asmuo, su kuriuo registruota partnerystė (toliau – sugyventinis), tėvai, broliai, seserys, vaikai ir vaikų sutuoktiniai, vaikų sugyventiniai“. Visų pirma, ši samprata turi apibrėžti „politikoje dalyvaujančių asmenų šeimos narius“, kita vertus, abejotina, ar pagrįstai į ją įtrauktas politikoje dalyvaujančio asmens „brolis ir sesuo“. Siūlytina šią dalį išdėstyti taip: „artimieji šeimos nariai – politikoje dalyvaujančio asmens sutuoktinis, asmuo, su kuriuo registruota partnerystė (toliau – sugyventinis), tėvai, </w:t>
            </w:r>
            <w:r w:rsidRPr="00DC72D7">
              <w:rPr>
                <w:rFonts w:ascii="Times New Roman" w:hAnsi="Times New Roman"/>
                <w:strike/>
                <w:spacing w:val="-4"/>
                <w:sz w:val="22"/>
                <w:szCs w:val="22"/>
              </w:rPr>
              <w:t xml:space="preserve">broliai, seserys, </w:t>
            </w:r>
            <w:r w:rsidRPr="00DC72D7">
              <w:rPr>
                <w:rFonts w:ascii="Times New Roman" w:hAnsi="Times New Roman"/>
                <w:spacing w:val="-4"/>
                <w:sz w:val="22"/>
                <w:szCs w:val="22"/>
              </w:rPr>
              <w:t>vaikai ir vaikų sutuoktiniai, vaikų sugyventiniai“.</w:t>
            </w:r>
          </w:p>
        </w:tc>
        <w:tc>
          <w:tcPr>
            <w:tcW w:w="6378" w:type="dxa"/>
          </w:tcPr>
          <w:p w:rsidR="00DC72D7" w:rsidRPr="00DC72D7" w:rsidRDefault="00DC72D7" w:rsidP="003F5F59">
            <w:pPr>
              <w:shd w:val="clear" w:color="auto" w:fill="FFFFFF"/>
              <w:jc w:val="both"/>
              <w:rPr>
                <w:rFonts w:ascii="Times New Roman" w:hAnsi="Times New Roman"/>
                <w:b/>
                <w:spacing w:val="-4"/>
                <w:sz w:val="22"/>
                <w:szCs w:val="22"/>
              </w:rPr>
            </w:pPr>
            <w:r w:rsidRPr="00DC72D7">
              <w:rPr>
                <w:rFonts w:ascii="Times New Roman" w:hAnsi="Times New Roman"/>
                <w:b/>
                <w:spacing w:val="-4"/>
                <w:sz w:val="22"/>
                <w:szCs w:val="22"/>
              </w:rPr>
              <w:t>Neatsižvelgta.</w:t>
            </w:r>
          </w:p>
          <w:p w:rsidR="00DC72D7" w:rsidRPr="00DC72D7" w:rsidRDefault="00DC72D7" w:rsidP="003F5F59">
            <w:pPr>
              <w:shd w:val="clear" w:color="auto" w:fill="FFFFFF"/>
              <w:jc w:val="both"/>
              <w:rPr>
                <w:rFonts w:ascii="Times New Roman" w:hAnsi="Times New Roman"/>
                <w:spacing w:val="-4"/>
                <w:sz w:val="22"/>
                <w:szCs w:val="22"/>
              </w:rPr>
            </w:pPr>
            <w:r w:rsidRPr="00DC72D7">
              <w:rPr>
                <w:rFonts w:ascii="Times New Roman" w:hAnsi="Times New Roman"/>
                <w:spacing w:val="-4"/>
                <w:sz w:val="22"/>
                <w:szCs w:val="22"/>
              </w:rPr>
              <w:t xml:space="preserve">Lietuvos nacionalinėje teisėje </w:t>
            </w:r>
            <w:r w:rsidRPr="00DC72D7">
              <w:rPr>
                <w:rFonts w:ascii="Times New Roman" w:hAnsi="Times New Roman"/>
                <w:sz w:val="22"/>
                <w:szCs w:val="22"/>
              </w:rPr>
              <w:t xml:space="preserve">šoninė giminystės linija priskiriama artimiesiems giminaičiams. Vadovaujantis </w:t>
            </w:r>
            <w:r w:rsidRPr="00DC72D7">
              <w:rPr>
                <w:rFonts w:ascii="Times New Roman" w:hAnsi="Times New Roman"/>
                <w:spacing w:val="-4"/>
                <w:sz w:val="22"/>
                <w:szCs w:val="22"/>
              </w:rPr>
              <w:t>Lietuvos Respublikos civilinio kodekso 3.135 straipsniu, artimaisiais giminaičiais pripažįstami tiesiosios linijos giminaičiai iki antrojo laipsnio imtinai (tėvai ir vaikai, seneliai ir vaikaičiai) ir šoninės linijos antrojo laipsnio giminaičiai (broliai ir seserys). Lietuvos pinigų plovimo ir teroristų finansavimo prevencijos sistemoje, broliai ir seserys laikomi artimaisiais šeimos nariais nuo 2007 m. Siekiant pinigų plovimo ir teroristų finansavimo prevencijos reglamentavimo nuoseklumo ir atsižvelgiant į nacionalinės teisės ypatumus, nėra tikslinga keisti 2 straipsnio 2 punkte nustatyto artimųjų šeimos narių apibrėžimą.</w:t>
            </w:r>
          </w:p>
          <w:p w:rsidR="00DC72D7" w:rsidRPr="00DC72D7" w:rsidRDefault="00DC72D7" w:rsidP="003F5F59">
            <w:pPr>
              <w:shd w:val="clear" w:color="auto" w:fill="FFFFFF"/>
              <w:jc w:val="both"/>
              <w:rPr>
                <w:rFonts w:ascii="Times New Roman" w:hAnsi="Times New Roman"/>
                <w:b/>
                <w:spacing w:val="-4"/>
                <w:sz w:val="22"/>
                <w:szCs w:val="22"/>
              </w:rPr>
            </w:pPr>
          </w:p>
        </w:tc>
      </w:tr>
      <w:tr w:rsidR="00DC72D7" w:rsidRPr="00126CEB" w:rsidTr="00AA506B">
        <w:tc>
          <w:tcPr>
            <w:tcW w:w="534" w:type="dxa"/>
          </w:tcPr>
          <w:p w:rsidR="00DC72D7" w:rsidRPr="00DC72D7" w:rsidRDefault="00892BD0" w:rsidP="00892BD0">
            <w:pPr>
              <w:jc w:val="both"/>
              <w:rPr>
                <w:rFonts w:ascii="Times New Roman" w:hAnsi="Times New Roman"/>
                <w:spacing w:val="-2"/>
                <w:sz w:val="22"/>
                <w:szCs w:val="22"/>
              </w:rPr>
            </w:pPr>
            <w:r>
              <w:rPr>
                <w:rFonts w:ascii="Times New Roman" w:hAnsi="Times New Roman"/>
                <w:spacing w:val="-2"/>
                <w:sz w:val="22"/>
                <w:szCs w:val="22"/>
              </w:rPr>
              <w:t>37.</w:t>
            </w:r>
          </w:p>
        </w:tc>
        <w:tc>
          <w:tcPr>
            <w:tcW w:w="1559" w:type="dxa"/>
            <w:shd w:val="clear" w:color="auto" w:fill="auto"/>
          </w:tcPr>
          <w:p w:rsidR="00DC72D7" w:rsidRPr="00DC72D7" w:rsidRDefault="00DC72D7" w:rsidP="007D5670">
            <w:pPr>
              <w:rPr>
                <w:rFonts w:ascii="Times New Roman" w:hAnsi="Times New Roman"/>
                <w:b/>
                <w:spacing w:val="-2"/>
                <w:sz w:val="22"/>
                <w:szCs w:val="22"/>
              </w:rPr>
            </w:pPr>
          </w:p>
        </w:tc>
        <w:tc>
          <w:tcPr>
            <w:tcW w:w="6379" w:type="dxa"/>
          </w:tcPr>
          <w:p w:rsidR="00DC72D7" w:rsidRPr="00DC72D7" w:rsidRDefault="00DC72D7" w:rsidP="005A1FA7">
            <w:pPr>
              <w:shd w:val="clear" w:color="auto" w:fill="FFFFFF"/>
              <w:ind w:left="-69"/>
              <w:jc w:val="both"/>
              <w:rPr>
                <w:rFonts w:ascii="Times New Roman" w:hAnsi="Times New Roman"/>
                <w:spacing w:val="-4"/>
                <w:sz w:val="22"/>
                <w:szCs w:val="22"/>
              </w:rPr>
            </w:pPr>
            <w:r w:rsidRPr="00DC72D7">
              <w:rPr>
                <w:rFonts w:ascii="Times New Roman" w:hAnsi="Times New Roman"/>
                <w:spacing w:val="-4"/>
                <w:sz w:val="22"/>
                <w:szCs w:val="22"/>
              </w:rPr>
              <w:t xml:space="preserve">3. Įstatymo 2 straipsnio 19 dalyje (lyginant su Direktyvos reikalavimais) netinkamai bei neaiškiai išdėstyta „svarbių viešųjų pareigų“ samprata: - abejotina, ar 1 punkte nurodytas „ministerijos kancleris ir 4 punkte „savivaldybės meras, savivaldybės administracijos direktorius“ atitinka Direktyvos esmę, pagal kurią „svarbios viešosios pareigos“ kaip taisyklė siejamos su politine valdžia ir neapima vidutinio ir žemesnio rango pareigūno (priešingu atveju, kodėl į šį sąrašą nėra įtraukti savarankiškų valstybės institucijų pvz., Generalinės prokuratūros, Valstybės saugumo </w:t>
            </w:r>
            <w:r w:rsidRPr="00DC72D7">
              <w:rPr>
                <w:rFonts w:ascii="Times New Roman" w:hAnsi="Times New Roman"/>
                <w:spacing w:val="-4"/>
                <w:sz w:val="22"/>
                <w:szCs w:val="22"/>
              </w:rPr>
              <w:lastRenderedPageBreak/>
              <w:t>departamento, Specialiųjų tyrimų tarnybos ir t. t.) vadovai ir kancleriai; - abejotina ar tinkamai 3 punkte apibrėžta „aukščiausiųjų teismų, konstitucinių teismų ar kitų aukščiausiųjų teisminių institucijų, kurių sprendimai negali būti skundžiami, nario“ samprata nacionalinės teisės požiūriu, nes jos interpretavimas Lietuvoje gali sukelti nereikalingų taikymo problemų. Siūlytina šį punktą išdėstyti taip: „3) Lietuvos Respublikos Konstitucinio Teismo, Lietuvos Aukščiausiojo Teismo, Lietuvos Apeliacinio Teismo ir Lietuvos Vyriausiojo administracinio Teismo teisėjas, taip pat tarptautinių teisminių institucijų ir kitų valstybių aukščiausiųjų teismų, konstitucinių teismų ar kitų aukščiausiųjų teisminių institucijų, kurių sprendimai negali būti skundžiami, narys“.</w:t>
            </w:r>
          </w:p>
        </w:tc>
        <w:tc>
          <w:tcPr>
            <w:tcW w:w="6378" w:type="dxa"/>
          </w:tcPr>
          <w:p w:rsidR="00DC72D7" w:rsidRPr="00DC72D7" w:rsidRDefault="00DC72D7" w:rsidP="000F64B2">
            <w:pPr>
              <w:shd w:val="clear" w:color="auto" w:fill="FFFFFF"/>
              <w:jc w:val="both"/>
              <w:rPr>
                <w:rFonts w:ascii="Times New Roman" w:hAnsi="Times New Roman"/>
                <w:b/>
                <w:spacing w:val="-4"/>
                <w:sz w:val="22"/>
                <w:szCs w:val="22"/>
              </w:rPr>
            </w:pPr>
            <w:r w:rsidRPr="00DC72D7">
              <w:rPr>
                <w:rFonts w:ascii="Times New Roman" w:hAnsi="Times New Roman"/>
                <w:b/>
                <w:spacing w:val="-4"/>
                <w:sz w:val="22"/>
                <w:szCs w:val="22"/>
              </w:rPr>
              <w:lastRenderedPageBreak/>
              <w:t>Neatsižvelgta.</w:t>
            </w:r>
          </w:p>
          <w:p w:rsidR="00DC72D7" w:rsidRPr="00DC72D7" w:rsidRDefault="00DC72D7" w:rsidP="00FE5BC4">
            <w:pPr>
              <w:shd w:val="clear" w:color="auto" w:fill="FFFFFF"/>
              <w:jc w:val="both"/>
              <w:rPr>
                <w:rFonts w:ascii="Times New Roman" w:hAnsi="Times New Roman"/>
                <w:spacing w:val="-4"/>
                <w:sz w:val="22"/>
                <w:szCs w:val="22"/>
              </w:rPr>
            </w:pPr>
            <w:r w:rsidRPr="00DC72D7">
              <w:rPr>
                <w:rFonts w:ascii="Times New Roman" w:hAnsi="Times New Roman"/>
                <w:spacing w:val="-4"/>
                <w:sz w:val="22"/>
                <w:szCs w:val="22"/>
              </w:rPr>
              <w:t>Pažymėtina, kad pagal Direktyvos 2015/849 5 straipsnį leidžiama valstybėms narėms šios direktyvos taikymo srityje priimti arba palikti galioti griežtesnes nuostatas. Ministerijos kancleris, savivaldybės meras, savivaldybės administracijos direktorius Lietuvoje priskiriami prie politiškai paveikiamų (pažeidžiamų) asmenų, atsižvelgiant į šių pareigų svarbumą ir reikšmingumą priimant sprendimus.</w:t>
            </w:r>
          </w:p>
          <w:p w:rsidR="00DC72D7" w:rsidRPr="00DC72D7" w:rsidRDefault="00DC72D7" w:rsidP="003E5222">
            <w:pPr>
              <w:shd w:val="clear" w:color="auto" w:fill="FFFFFF"/>
              <w:jc w:val="both"/>
              <w:rPr>
                <w:rFonts w:ascii="Times New Roman" w:hAnsi="Times New Roman"/>
                <w:spacing w:val="-4"/>
                <w:sz w:val="22"/>
                <w:szCs w:val="22"/>
              </w:rPr>
            </w:pPr>
            <w:r w:rsidRPr="00DC72D7">
              <w:rPr>
                <w:rFonts w:ascii="Times New Roman" w:hAnsi="Times New Roman"/>
                <w:spacing w:val="-4"/>
                <w:sz w:val="22"/>
                <w:szCs w:val="22"/>
              </w:rPr>
              <w:t xml:space="preserve">Lietuvos Respublikos Konstitucinio Teismo, Lietuvos Aukščiausiojo </w:t>
            </w:r>
            <w:r w:rsidRPr="00DC72D7">
              <w:rPr>
                <w:rFonts w:ascii="Times New Roman" w:hAnsi="Times New Roman"/>
                <w:spacing w:val="-4"/>
                <w:sz w:val="22"/>
                <w:szCs w:val="22"/>
              </w:rPr>
              <w:lastRenderedPageBreak/>
              <w:t>Teismo, Lietuvos Apeliacinio Teismo ir Lietuvos Vyriausiojo administracinio Teismo teisėjus šiuo metu įstatyme nustatyta 2 straipsnio 19 dalies 3punkto formuluotė „aukščiausiųjų teismų, konstitucinių teismų ar kitų aukščiausiųjų teisminių institucijų, kurių sprendimai negali būti skundžiami, narys“, todėl nėra priežasčių keisti šį punktą.</w:t>
            </w:r>
          </w:p>
        </w:tc>
      </w:tr>
      <w:tr w:rsidR="00DC72D7" w:rsidRPr="00126CEB" w:rsidTr="00AA506B">
        <w:tc>
          <w:tcPr>
            <w:tcW w:w="534" w:type="dxa"/>
          </w:tcPr>
          <w:p w:rsidR="00DC72D7" w:rsidRPr="00DC72D7" w:rsidRDefault="00892BD0" w:rsidP="00892BD0">
            <w:pPr>
              <w:jc w:val="both"/>
              <w:rPr>
                <w:rFonts w:ascii="Times New Roman" w:hAnsi="Times New Roman"/>
                <w:spacing w:val="-2"/>
                <w:sz w:val="22"/>
                <w:szCs w:val="22"/>
              </w:rPr>
            </w:pPr>
            <w:r>
              <w:rPr>
                <w:rFonts w:ascii="Times New Roman" w:hAnsi="Times New Roman"/>
                <w:spacing w:val="-2"/>
                <w:sz w:val="22"/>
                <w:szCs w:val="22"/>
              </w:rPr>
              <w:lastRenderedPageBreak/>
              <w:t>38.</w:t>
            </w:r>
          </w:p>
        </w:tc>
        <w:tc>
          <w:tcPr>
            <w:tcW w:w="1559" w:type="dxa"/>
            <w:shd w:val="clear" w:color="auto" w:fill="auto"/>
          </w:tcPr>
          <w:p w:rsidR="00DC72D7" w:rsidRPr="00DC72D7" w:rsidRDefault="00DC72D7" w:rsidP="007D5670">
            <w:pPr>
              <w:rPr>
                <w:rFonts w:ascii="Times New Roman" w:hAnsi="Times New Roman"/>
                <w:b/>
                <w:spacing w:val="-2"/>
                <w:sz w:val="22"/>
                <w:szCs w:val="22"/>
              </w:rPr>
            </w:pPr>
          </w:p>
        </w:tc>
        <w:tc>
          <w:tcPr>
            <w:tcW w:w="6379" w:type="dxa"/>
          </w:tcPr>
          <w:p w:rsidR="00DC72D7" w:rsidRPr="00DC72D7" w:rsidRDefault="00DC72D7" w:rsidP="00380164">
            <w:pPr>
              <w:shd w:val="clear" w:color="auto" w:fill="FFFFFF"/>
              <w:ind w:left="-69"/>
              <w:jc w:val="both"/>
              <w:rPr>
                <w:rFonts w:ascii="Times New Roman" w:hAnsi="Times New Roman"/>
                <w:spacing w:val="-4"/>
                <w:sz w:val="22"/>
                <w:szCs w:val="22"/>
              </w:rPr>
            </w:pPr>
            <w:r w:rsidRPr="00DC72D7">
              <w:rPr>
                <w:rFonts w:ascii="Times New Roman" w:hAnsi="Times New Roman"/>
                <w:spacing w:val="-4"/>
                <w:sz w:val="22"/>
                <w:szCs w:val="22"/>
              </w:rPr>
              <w:t xml:space="preserve">4. Įstatymo 2 straipsnio 23 dalyje pateiktas „vyresniojo vadovo“ apibrėžimas, jog „vyresnysis vadovas – pakankamai aukštas pareigas einantis pareigūnas arba darbuotojas, turintis pakankamai žinių apie įstaigai ar įmonei kylančią pinigų plovimo ir (ar) teroristų finansavimo riziką ir atsakingas už sprendimų, galinčių paveikti kylančią riziką, priėmimą“, mano nuomone, yra klaidinantis, nes praktikoje gali būti taikomas nustatant vyresniojo vadovo pareigas einantį fizinį asmenį kaip naudos gavėją. Toks galimas interpretavimas prieštarautų Direktyvos 3 straipsnio 12 punkto nuostatoms, kuriose pateikta ne „vyresniojo vadovo“, o „vyresniosios vadovybės“, kuri turi teisę duoti, pavyzdžiui, pritarimą dalykiniams santykiams su politikoje dalyvaujančiais fiziniais asmenimis ir pan., samprata. Atsižvelgiant į tai, siūlytina pakeisti „vyresniojo vadovo terminą į „vyresniosios vadovybės“ terminą Įstatymo 2 straipsnio 23 dalyje, 14 straipsnio 3,5 dalyse, 29 straipsnio 5 dalyje ir t.t. Pastebėtina, kad Įstatymo 22 straipsnio 1 dalyje pavartota dar kitas tą patį dalyką nusakantis terminas – „vadovaujantis darbuotojas“. </w:t>
            </w:r>
          </w:p>
        </w:tc>
        <w:tc>
          <w:tcPr>
            <w:tcW w:w="6378" w:type="dxa"/>
          </w:tcPr>
          <w:p w:rsidR="00DC72D7" w:rsidRPr="00DC72D7" w:rsidRDefault="00DC72D7" w:rsidP="007E173F">
            <w:pPr>
              <w:shd w:val="clear" w:color="auto" w:fill="FFFFFF"/>
              <w:jc w:val="both"/>
              <w:rPr>
                <w:rFonts w:ascii="Times New Roman" w:hAnsi="Times New Roman"/>
                <w:b/>
                <w:spacing w:val="-4"/>
                <w:sz w:val="22"/>
                <w:szCs w:val="22"/>
              </w:rPr>
            </w:pPr>
            <w:r w:rsidRPr="00DC72D7">
              <w:rPr>
                <w:rFonts w:ascii="Times New Roman" w:hAnsi="Times New Roman"/>
                <w:b/>
                <w:spacing w:val="-4"/>
                <w:sz w:val="22"/>
                <w:szCs w:val="22"/>
              </w:rPr>
              <w:t>Neatsižvelgta.</w:t>
            </w:r>
          </w:p>
          <w:p w:rsidR="00DC72D7" w:rsidRPr="00DC72D7" w:rsidRDefault="00DC72D7" w:rsidP="00372CC9">
            <w:pPr>
              <w:shd w:val="clear" w:color="auto" w:fill="FFFFFF"/>
              <w:jc w:val="both"/>
              <w:rPr>
                <w:rFonts w:ascii="Times New Roman" w:hAnsi="Times New Roman"/>
                <w:spacing w:val="-4"/>
                <w:sz w:val="22"/>
                <w:szCs w:val="22"/>
              </w:rPr>
            </w:pPr>
            <w:r w:rsidRPr="00DC72D7">
              <w:rPr>
                <w:rFonts w:ascii="Times New Roman" w:hAnsi="Times New Roman"/>
                <w:spacing w:val="-4"/>
                <w:sz w:val="22"/>
                <w:szCs w:val="22"/>
              </w:rPr>
              <w:t xml:space="preserve">Pažymėtina, kad sąvokos „vyresnysis vadovas“ pakeitimas į sąvoką „vyresnioji vadovybė“ neturės įtakos reglamentuojamiems santykiams, kadangi neturės įtakos sąvokos turiniui, pagal kurį vyresnysis vadovas yra pakankamai aukštas pareigas einantis pareigūnas arba darbuotojas, turintis pakankamai žinių apie įstaigai ar įmonei kylančią pinigų plovimo ir (ar) teroristų finansavimo riziką ir atsakingas už sprendimų, galinčių paveikti kylančią riziką, priėmimą. Atsižvelgiant į tai, nėra tikslinga keisti sąvokos „vyresnysis vadovas“ pakeitimas į sąvoką „vyresnioji vadovybė“. </w:t>
            </w:r>
          </w:p>
          <w:p w:rsidR="00DC72D7" w:rsidRPr="00DC72D7" w:rsidRDefault="00DC72D7" w:rsidP="00372CC9">
            <w:pPr>
              <w:shd w:val="clear" w:color="auto" w:fill="FFFFFF"/>
              <w:jc w:val="both"/>
              <w:rPr>
                <w:rFonts w:ascii="Times New Roman" w:hAnsi="Times New Roman"/>
                <w:spacing w:val="-4"/>
                <w:sz w:val="22"/>
                <w:szCs w:val="22"/>
              </w:rPr>
            </w:pPr>
            <w:r w:rsidRPr="00DC72D7">
              <w:rPr>
                <w:rFonts w:ascii="Times New Roman" w:hAnsi="Times New Roman"/>
                <w:spacing w:val="-4"/>
                <w:sz w:val="22"/>
                <w:szCs w:val="22"/>
              </w:rPr>
              <w:t>Atkreiptinas dėmesys, kad „vadovaujančio darbuotojo“, nurodyto Įstatymo  22 straipsnio 1 dalyje funkcijos yra kitos, ir tai nėra tas pats asmuo kaip „vyresnysis vadovas“.</w:t>
            </w:r>
          </w:p>
          <w:p w:rsidR="00DC72D7" w:rsidRPr="00DC72D7" w:rsidRDefault="00DC72D7" w:rsidP="00372CC9">
            <w:pPr>
              <w:shd w:val="clear" w:color="auto" w:fill="FFFFFF"/>
              <w:jc w:val="both"/>
              <w:rPr>
                <w:rFonts w:ascii="Times New Roman" w:hAnsi="Times New Roman"/>
                <w:spacing w:val="-4"/>
                <w:sz w:val="22"/>
                <w:szCs w:val="22"/>
              </w:rPr>
            </w:pPr>
          </w:p>
        </w:tc>
      </w:tr>
      <w:tr w:rsidR="00DC72D7" w:rsidRPr="00126CEB" w:rsidTr="00AA506B">
        <w:tc>
          <w:tcPr>
            <w:tcW w:w="534" w:type="dxa"/>
          </w:tcPr>
          <w:p w:rsidR="00DC72D7" w:rsidRPr="00DC72D7" w:rsidRDefault="00892BD0" w:rsidP="00892BD0">
            <w:pPr>
              <w:jc w:val="both"/>
              <w:rPr>
                <w:rFonts w:ascii="Times New Roman" w:hAnsi="Times New Roman"/>
                <w:spacing w:val="-2"/>
                <w:sz w:val="22"/>
                <w:szCs w:val="22"/>
              </w:rPr>
            </w:pPr>
            <w:r>
              <w:rPr>
                <w:rFonts w:ascii="Times New Roman" w:hAnsi="Times New Roman"/>
                <w:spacing w:val="-2"/>
                <w:sz w:val="22"/>
                <w:szCs w:val="22"/>
              </w:rPr>
              <w:t>39.</w:t>
            </w:r>
          </w:p>
        </w:tc>
        <w:tc>
          <w:tcPr>
            <w:tcW w:w="1559" w:type="dxa"/>
            <w:shd w:val="clear" w:color="auto" w:fill="auto"/>
          </w:tcPr>
          <w:p w:rsidR="00DC72D7" w:rsidRPr="00DC72D7" w:rsidRDefault="00DC72D7" w:rsidP="007D5670">
            <w:pPr>
              <w:rPr>
                <w:rFonts w:ascii="Times New Roman" w:hAnsi="Times New Roman"/>
                <w:b/>
                <w:spacing w:val="-2"/>
                <w:sz w:val="22"/>
                <w:szCs w:val="22"/>
              </w:rPr>
            </w:pPr>
          </w:p>
        </w:tc>
        <w:tc>
          <w:tcPr>
            <w:tcW w:w="6379" w:type="dxa"/>
          </w:tcPr>
          <w:p w:rsidR="00DC72D7" w:rsidRPr="00DC72D7" w:rsidRDefault="00DC72D7" w:rsidP="00DC72D7">
            <w:pPr>
              <w:shd w:val="clear" w:color="auto" w:fill="FFFFFF"/>
              <w:ind w:left="-69"/>
              <w:jc w:val="both"/>
              <w:rPr>
                <w:rFonts w:ascii="Times New Roman" w:hAnsi="Times New Roman"/>
                <w:spacing w:val="-4"/>
                <w:sz w:val="22"/>
                <w:szCs w:val="22"/>
              </w:rPr>
            </w:pPr>
            <w:r w:rsidRPr="00DC72D7">
              <w:rPr>
                <w:rFonts w:ascii="Times New Roman" w:hAnsi="Times New Roman"/>
                <w:spacing w:val="-4"/>
                <w:sz w:val="22"/>
                <w:szCs w:val="22"/>
              </w:rPr>
              <w:t xml:space="preserve">5. Nei Direktyva, nei ją įgyvendinantis Įstatymas nenumato notaro pareigos reikalauti kliento pateikti išrašų su naudos gavėjo duomenimis iš kitų valstybių registrų. Kita vertus, atsižvelgiant į tai, kad pagal Direktyvos prasmę tikrasis savininkas (naudos gavėjas) turi būti nustatinėjamas pagal valstybės registruose saugomą „adekvačią tikslią ir atnaujintą informaciją“, visiškai pagrįsta yra Lietuvos notarų rūmų parengta konsultacija notarams, pagal kurią notaras turi teisę reikalauti, kad klientas pateiktų išrašus iš kitų valstybių registrų, jei naudos gavėjas yra užsienio pilietis. </w:t>
            </w:r>
            <w:r>
              <w:rPr>
                <w:rFonts w:ascii="Times New Roman" w:hAnsi="Times New Roman"/>
                <w:spacing w:val="-4"/>
                <w:sz w:val="22"/>
                <w:szCs w:val="22"/>
              </w:rPr>
              <w:t xml:space="preserve">&lt;...&gt; </w:t>
            </w:r>
            <w:r w:rsidRPr="00DC72D7">
              <w:rPr>
                <w:rFonts w:ascii="Times New Roman" w:hAnsi="Times New Roman"/>
                <w:spacing w:val="-4"/>
                <w:sz w:val="22"/>
                <w:szCs w:val="22"/>
              </w:rPr>
              <w:t xml:space="preserve">Atsižvelgiant į tai ir siekiant pašalinti bet kokias abejones dėl šio reikalavimo traktuotės, būtinas šio aspekto reglamentavimo Įstatyme patikslinimas. Be to, svarstytina, ar šiuo aspektu nėra tikslingas Direktyvos 30 straipsnio 7 dalies nuostatos </w:t>
            </w:r>
            <w:r w:rsidRPr="00DC72D7">
              <w:rPr>
                <w:rFonts w:ascii="Times New Roman" w:hAnsi="Times New Roman"/>
                <w:spacing w:val="-4"/>
                <w:sz w:val="22"/>
                <w:szCs w:val="22"/>
              </w:rPr>
              <w:lastRenderedPageBreak/>
              <w:t>perkėlimas Pinigų plovimo ir teroristų finansavimo prevencijos įstatymo 5 straipsnio 1 dalį numatant naują punktą, kad FNTT „padeda įpareigotiesiems subjektams patikrinti ir (arba) gauti iš užsienio valstybės registrų informaciją apie tikruosius savininkus, jei kyla abejonių dėl pateiktų dokumentų“.</w:t>
            </w:r>
          </w:p>
        </w:tc>
        <w:tc>
          <w:tcPr>
            <w:tcW w:w="6378" w:type="dxa"/>
          </w:tcPr>
          <w:p w:rsidR="00DC72D7" w:rsidRPr="00DC72D7" w:rsidRDefault="00DC72D7" w:rsidP="00C938C6">
            <w:pPr>
              <w:shd w:val="clear" w:color="auto" w:fill="FFFFFF"/>
              <w:jc w:val="both"/>
              <w:rPr>
                <w:rFonts w:ascii="Times New Roman" w:hAnsi="Times New Roman"/>
                <w:b/>
                <w:spacing w:val="-4"/>
                <w:sz w:val="22"/>
                <w:szCs w:val="22"/>
              </w:rPr>
            </w:pPr>
            <w:r w:rsidRPr="00DC72D7">
              <w:rPr>
                <w:rFonts w:ascii="Times New Roman" w:hAnsi="Times New Roman"/>
                <w:b/>
                <w:spacing w:val="-4"/>
                <w:sz w:val="22"/>
                <w:szCs w:val="22"/>
              </w:rPr>
              <w:lastRenderedPageBreak/>
              <w:t>Neatsižvelgta.</w:t>
            </w:r>
          </w:p>
          <w:p w:rsidR="00DC72D7" w:rsidRPr="00DC72D7" w:rsidRDefault="00DC72D7" w:rsidP="00D30F30">
            <w:pPr>
              <w:shd w:val="clear" w:color="auto" w:fill="FFFFFF"/>
              <w:jc w:val="both"/>
              <w:rPr>
                <w:rFonts w:ascii="Times New Roman" w:hAnsi="Times New Roman"/>
                <w:spacing w:val="-4"/>
                <w:sz w:val="22"/>
                <w:szCs w:val="22"/>
              </w:rPr>
            </w:pPr>
            <w:r w:rsidRPr="00DC72D7">
              <w:rPr>
                <w:rFonts w:ascii="Times New Roman" w:hAnsi="Times New Roman"/>
                <w:spacing w:val="-4"/>
                <w:sz w:val="22"/>
                <w:szCs w:val="22"/>
              </w:rPr>
              <w:t xml:space="preserve">Finansų įstaigos ir kiti įpareigotieji subjektai, nustatydami naudos gavėjo tapatybę, privalo pareikalauti iš kliento ir naudos gavėjo tapatybės duomenų: 1) vardas (vardai); 2) pavardė (pavardės); 3) asmens kodas (užsieniečiui – gimimo data (jeigu yra, – asmens kodas ar kita šiam asmeniui suteikta unikali simbolių seka, skirta asmeniui identifikuoti, leidimo gyventi Lietuvos Respublikoje numeris ir galiojimo laikas, jo išdavimo vieta ir data); 4) pilietybė (jeigu asmuo be pilietybės, – valstybė, kuri išdavė asmens tapatybę patvirtinantį dokumentą). Reikalauti išrašo iš registrų apie naudos gavėją nėra privaloma. </w:t>
            </w:r>
          </w:p>
          <w:p w:rsidR="00DC72D7" w:rsidRPr="00DC72D7" w:rsidRDefault="00DC72D7" w:rsidP="00D30F30">
            <w:pPr>
              <w:shd w:val="clear" w:color="auto" w:fill="FFFFFF"/>
              <w:jc w:val="both"/>
              <w:rPr>
                <w:rFonts w:ascii="Times New Roman" w:hAnsi="Times New Roman"/>
                <w:spacing w:val="-4"/>
                <w:sz w:val="22"/>
                <w:szCs w:val="22"/>
              </w:rPr>
            </w:pPr>
            <w:r w:rsidRPr="00DC72D7">
              <w:rPr>
                <w:rFonts w:ascii="Times New Roman" w:hAnsi="Times New Roman"/>
                <w:spacing w:val="-4"/>
                <w:sz w:val="22"/>
                <w:szCs w:val="22"/>
              </w:rPr>
              <w:t xml:space="preserve">Direktyvos 2015/849 30 straipsnio 7 dalis nustato nacionalinio FŽP bendradarbiavimo su užsienio valstybių FŽP  taisykles, kurios </w:t>
            </w:r>
            <w:r w:rsidRPr="00DC72D7">
              <w:rPr>
                <w:rFonts w:ascii="Times New Roman" w:hAnsi="Times New Roman"/>
                <w:spacing w:val="-4"/>
                <w:sz w:val="22"/>
                <w:szCs w:val="22"/>
              </w:rPr>
              <w:lastRenderedPageBreak/>
              <w:t>netaikytinos nacionalinio FŽP ir finansų įstaigų ar kitų įpareigotųjų subjektų santykiams. Atsižvelgiant į tai, nėra pagrindo pildyti Įstatymo 5 straipsnio nuostatų.</w:t>
            </w:r>
          </w:p>
        </w:tc>
      </w:tr>
      <w:tr w:rsidR="00DC72D7" w:rsidRPr="00126CEB" w:rsidTr="00AA506B">
        <w:tc>
          <w:tcPr>
            <w:tcW w:w="534" w:type="dxa"/>
          </w:tcPr>
          <w:p w:rsidR="00DC72D7" w:rsidRPr="00DC72D7" w:rsidRDefault="00892BD0" w:rsidP="00F157B7">
            <w:pPr>
              <w:jc w:val="both"/>
              <w:rPr>
                <w:rFonts w:ascii="Times New Roman" w:hAnsi="Times New Roman"/>
                <w:spacing w:val="-2"/>
                <w:sz w:val="22"/>
                <w:szCs w:val="22"/>
              </w:rPr>
            </w:pPr>
            <w:r>
              <w:rPr>
                <w:rFonts w:ascii="Times New Roman" w:hAnsi="Times New Roman"/>
                <w:spacing w:val="-2"/>
                <w:sz w:val="22"/>
                <w:szCs w:val="22"/>
              </w:rPr>
              <w:lastRenderedPageBreak/>
              <w:t>40.</w:t>
            </w:r>
          </w:p>
        </w:tc>
        <w:tc>
          <w:tcPr>
            <w:tcW w:w="1559" w:type="dxa"/>
            <w:shd w:val="clear" w:color="auto" w:fill="auto"/>
          </w:tcPr>
          <w:p w:rsidR="00DC72D7" w:rsidRPr="00DC72D7" w:rsidRDefault="00DC72D7" w:rsidP="007D5670">
            <w:pPr>
              <w:rPr>
                <w:rFonts w:ascii="Times New Roman" w:hAnsi="Times New Roman"/>
                <w:b/>
                <w:spacing w:val="-2"/>
                <w:sz w:val="22"/>
                <w:szCs w:val="22"/>
              </w:rPr>
            </w:pPr>
          </w:p>
        </w:tc>
        <w:tc>
          <w:tcPr>
            <w:tcW w:w="6379" w:type="dxa"/>
          </w:tcPr>
          <w:p w:rsidR="00DC72D7" w:rsidRPr="00DC72D7" w:rsidRDefault="00DC72D7" w:rsidP="00DC72D7">
            <w:pPr>
              <w:shd w:val="clear" w:color="auto" w:fill="FFFFFF"/>
              <w:ind w:left="-69"/>
              <w:jc w:val="both"/>
              <w:rPr>
                <w:rFonts w:ascii="Times New Roman" w:hAnsi="Times New Roman"/>
                <w:spacing w:val="-4"/>
                <w:sz w:val="22"/>
                <w:szCs w:val="22"/>
              </w:rPr>
            </w:pPr>
            <w:r w:rsidRPr="00DC72D7">
              <w:rPr>
                <w:rFonts w:ascii="Times New Roman" w:hAnsi="Times New Roman"/>
                <w:spacing w:val="-4"/>
                <w:sz w:val="22"/>
                <w:szCs w:val="22"/>
              </w:rPr>
              <w:t xml:space="preserve">6. Pažymėtina, kad Įstatymas nepilnai tiksliai įgyvendino Direktyvos 8 straipsnio nuostatas, pagal kurias tiek politika, kontrolės priemonės ir procedūros, tiek ir veiksmai, skirti rizikai nustatyti ir įvertinti, turi būti proporcingi atsižvelgiant į įpareigotųjų subjektų (šiuo atveju – Lietuvos Respublikos notariato) pobūdį ir dydį. </w:t>
            </w:r>
            <w:r>
              <w:rPr>
                <w:rFonts w:ascii="Times New Roman" w:hAnsi="Times New Roman"/>
                <w:spacing w:val="-4"/>
                <w:sz w:val="22"/>
                <w:szCs w:val="22"/>
              </w:rPr>
              <w:t>&lt;...&gt;</w:t>
            </w:r>
            <w:r w:rsidRPr="00DC72D7">
              <w:rPr>
                <w:rFonts w:ascii="Times New Roman" w:hAnsi="Times New Roman"/>
                <w:spacing w:val="-4"/>
                <w:sz w:val="22"/>
                <w:szCs w:val="22"/>
              </w:rPr>
              <w:t xml:space="preserve"> Be to, mokslinio tyrimo autoriaus nuomone, šias procedūras (kaip, beje, ir kitas Įstatymo 29 straipsnio 1 dalies 1-9 punktuose numatytas vidaus kontrolės procedūras), kurios būtų vienodos visiems notarams, turi nustatyti Lietuvos notarų rūmai, o ne kiekvienas notaras atskirai. Atsižvelgiant į tai, svarstytina, ar nėra būtinas šio aspekto reglamentavimo Įstatyme patikslinimas.</w:t>
            </w:r>
          </w:p>
        </w:tc>
        <w:tc>
          <w:tcPr>
            <w:tcW w:w="6378" w:type="dxa"/>
          </w:tcPr>
          <w:p w:rsidR="00DC72D7" w:rsidRPr="00DC72D7" w:rsidRDefault="00DC72D7" w:rsidP="00AD4817">
            <w:pPr>
              <w:shd w:val="clear" w:color="auto" w:fill="FFFFFF"/>
              <w:jc w:val="both"/>
              <w:rPr>
                <w:rFonts w:ascii="Times New Roman" w:hAnsi="Times New Roman"/>
                <w:b/>
                <w:spacing w:val="-4"/>
                <w:sz w:val="22"/>
                <w:szCs w:val="22"/>
              </w:rPr>
            </w:pPr>
            <w:r w:rsidRPr="00DC72D7">
              <w:rPr>
                <w:rFonts w:ascii="Times New Roman" w:hAnsi="Times New Roman"/>
                <w:b/>
                <w:spacing w:val="-4"/>
                <w:sz w:val="22"/>
                <w:szCs w:val="22"/>
              </w:rPr>
              <w:t>Neatsižvelgta.</w:t>
            </w:r>
          </w:p>
          <w:p w:rsidR="00DC72D7" w:rsidRPr="00DC72D7" w:rsidRDefault="00DC72D7" w:rsidP="00665E03">
            <w:pPr>
              <w:shd w:val="clear" w:color="auto" w:fill="FFFFFF"/>
              <w:jc w:val="both"/>
              <w:rPr>
                <w:rFonts w:ascii="Times New Roman" w:hAnsi="Times New Roman"/>
                <w:spacing w:val="-4"/>
                <w:sz w:val="22"/>
                <w:szCs w:val="22"/>
              </w:rPr>
            </w:pPr>
            <w:r w:rsidRPr="00DC72D7">
              <w:rPr>
                <w:rFonts w:ascii="Times New Roman" w:hAnsi="Times New Roman"/>
                <w:spacing w:val="-4"/>
                <w:sz w:val="22"/>
                <w:szCs w:val="22"/>
              </w:rPr>
              <w:t>Finansų įstaigos ir kiti įpareigotieji subjektai privalo nustatyti atitinkamą vidaus politiką ir vidaus kontrolės procedūras, kurios yra atitinkamai priderintos subjekto veiklos pobūdžiui, dydžiui, rizikai ir kitiems faktoriams. Tačiau pažymėtina, kad net ir ne finansų įstaigos turi įvertinti faktorius nustatytus Įstatymo 29 straipsnio 1-2 dalyse. Nėra reikalavimo, kad kiti įpareigotieji subjektai turėtų analogišką vidaus politiką ir vidaus kontrolės procedūras, kaip finansų įstaigos.</w:t>
            </w:r>
          </w:p>
          <w:p w:rsidR="00DC72D7" w:rsidRPr="00DC72D7" w:rsidRDefault="00DC72D7" w:rsidP="00665E03">
            <w:pPr>
              <w:shd w:val="clear" w:color="auto" w:fill="FFFFFF"/>
              <w:jc w:val="both"/>
              <w:rPr>
                <w:rFonts w:ascii="Times New Roman" w:hAnsi="Times New Roman"/>
                <w:spacing w:val="-4"/>
                <w:sz w:val="22"/>
                <w:szCs w:val="22"/>
              </w:rPr>
            </w:pPr>
            <w:r w:rsidRPr="00DC72D7">
              <w:rPr>
                <w:rFonts w:ascii="Times New Roman" w:hAnsi="Times New Roman"/>
                <w:spacing w:val="-4"/>
                <w:sz w:val="22"/>
                <w:szCs w:val="22"/>
              </w:rPr>
              <w:t>Pareiga nustatyti atitinkamą vidaus politiką ir vidaus kontrolės procedūras taikytina būtent finansų įstaigoms ir kitikes įpareigotiesiems subjektams, kurie atsižvelgia į savo vidaus organizacinius ypatumus ir kita, o ne jų priežiūros institucijoms. Todėl visiems notarams vienodų procedūrų tvirtinimas nėra tikslingas.</w:t>
            </w:r>
          </w:p>
        </w:tc>
      </w:tr>
      <w:tr w:rsidR="00DC72D7" w:rsidRPr="00126CEB" w:rsidTr="00AA506B">
        <w:tc>
          <w:tcPr>
            <w:tcW w:w="534" w:type="dxa"/>
          </w:tcPr>
          <w:p w:rsidR="00DC72D7" w:rsidRPr="00DC72D7" w:rsidRDefault="00892BD0" w:rsidP="00F157B7">
            <w:pPr>
              <w:jc w:val="both"/>
              <w:rPr>
                <w:rFonts w:ascii="Times New Roman" w:hAnsi="Times New Roman"/>
                <w:spacing w:val="-2"/>
                <w:sz w:val="22"/>
                <w:szCs w:val="22"/>
              </w:rPr>
            </w:pPr>
            <w:r>
              <w:rPr>
                <w:rFonts w:ascii="Times New Roman" w:hAnsi="Times New Roman"/>
                <w:spacing w:val="-2"/>
                <w:sz w:val="22"/>
                <w:szCs w:val="22"/>
              </w:rPr>
              <w:t>41.</w:t>
            </w:r>
          </w:p>
        </w:tc>
        <w:tc>
          <w:tcPr>
            <w:tcW w:w="1559" w:type="dxa"/>
            <w:shd w:val="clear" w:color="auto" w:fill="auto"/>
          </w:tcPr>
          <w:p w:rsidR="00DC72D7" w:rsidRPr="00DC72D7" w:rsidRDefault="00DC72D7" w:rsidP="007D5670">
            <w:pPr>
              <w:rPr>
                <w:rFonts w:ascii="Times New Roman" w:hAnsi="Times New Roman"/>
                <w:b/>
                <w:spacing w:val="-2"/>
                <w:sz w:val="22"/>
                <w:szCs w:val="22"/>
              </w:rPr>
            </w:pPr>
          </w:p>
        </w:tc>
        <w:tc>
          <w:tcPr>
            <w:tcW w:w="6379" w:type="dxa"/>
          </w:tcPr>
          <w:p w:rsidR="00DC72D7" w:rsidRPr="00DC72D7" w:rsidRDefault="00DC72D7" w:rsidP="00DC72D7">
            <w:pPr>
              <w:shd w:val="clear" w:color="auto" w:fill="FFFFFF"/>
              <w:ind w:left="-69"/>
              <w:jc w:val="both"/>
              <w:rPr>
                <w:rFonts w:ascii="Times New Roman" w:hAnsi="Times New Roman"/>
                <w:spacing w:val="-4"/>
                <w:sz w:val="22"/>
                <w:szCs w:val="22"/>
              </w:rPr>
            </w:pPr>
            <w:r w:rsidRPr="00DC72D7">
              <w:rPr>
                <w:rFonts w:ascii="Times New Roman" w:hAnsi="Times New Roman"/>
                <w:spacing w:val="-4"/>
                <w:sz w:val="22"/>
                <w:szCs w:val="22"/>
              </w:rPr>
              <w:t xml:space="preserve">7. Tuo tarpu Įstatymo 36 straipsnio 6, 7 dalis pakeisti ir išdėstyti taip: „6. </w:t>
            </w:r>
            <w:r w:rsidRPr="00DC72D7">
              <w:rPr>
                <w:rFonts w:ascii="Times New Roman" w:hAnsi="Times New Roman"/>
                <w:b/>
                <w:spacing w:val="-4"/>
                <w:sz w:val="22"/>
                <w:szCs w:val="22"/>
              </w:rPr>
              <w:t>Lietuvos notarų rūmai ir</w:t>
            </w:r>
            <w:r w:rsidRPr="00DC72D7">
              <w:rPr>
                <w:rFonts w:ascii="Times New Roman" w:hAnsi="Times New Roman"/>
                <w:spacing w:val="-4"/>
                <w:sz w:val="22"/>
                <w:szCs w:val="22"/>
              </w:rPr>
              <w:t xml:space="preserve"> Lietuvos advokatūra taiko šio straipsnio 1 dalies 1 ir 6 punktuose nurodytas poveikio priemones. 7. </w:t>
            </w:r>
            <w:r w:rsidRPr="00DC72D7">
              <w:rPr>
                <w:rFonts w:ascii="Times New Roman" w:hAnsi="Times New Roman"/>
                <w:strike/>
                <w:spacing w:val="-4"/>
                <w:sz w:val="22"/>
                <w:szCs w:val="22"/>
              </w:rPr>
              <w:t>Lietuvos notarų rūmai ir</w:t>
            </w:r>
            <w:r w:rsidRPr="00DC72D7">
              <w:rPr>
                <w:rFonts w:ascii="Times New Roman" w:hAnsi="Times New Roman"/>
                <w:spacing w:val="-4"/>
                <w:sz w:val="22"/>
                <w:szCs w:val="22"/>
              </w:rPr>
              <w:t xml:space="preserve"> Lietuvos antstolių rūmai patikrinimų dokumentus su atlikto patikrinimo išvadomis ne vėliau kaip per 3 darbo dienas nuo patikrinimo išvadų surašymo, kai nustatomas (nustatomi) pinigų plovimo ir (ar) teroristų finansavimo prevencijos nuostatų pažeidimas (pažeidimai), perduoda nagrinėti Finansinių nusikaltimų tyrimo tarnybai, kuri svarsto poveikio priemonės (priemonių) taikymo klausimą. 9. </w:t>
            </w:r>
            <w:r w:rsidRPr="00DC72D7">
              <w:rPr>
                <w:rFonts w:ascii="Times New Roman" w:hAnsi="Times New Roman"/>
                <w:b/>
                <w:spacing w:val="-4"/>
                <w:sz w:val="22"/>
                <w:szCs w:val="22"/>
              </w:rPr>
              <w:t xml:space="preserve">Lietuvos notarų rūmai ir </w:t>
            </w:r>
            <w:r w:rsidRPr="00DC72D7">
              <w:rPr>
                <w:rFonts w:ascii="Times New Roman" w:hAnsi="Times New Roman"/>
                <w:spacing w:val="-4"/>
                <w:sz w:val="22"/>
                <w:szCs w:val="22"/>
              </w:rPr>
              <w:t>Lietuvos advokatūra, įvertinusi, kad poveikio priemonių, nurodytų šio straipsnio 1 dalies 1 ir 6 punktuose, taikymas nepasieks poveikio priemonės tikslų, patikrinimų dokumentus su atlikto patikrinimo išvadomis, kai nustatomas pinigų plovimo ir (ar) teroristų finansavimo prevencijos nuostatų pažeidimas (pažeidimai), ne vėliau kaip per 3 darbo dienas nuo patikrinimo išvadų surašymo perduoda nagrinėti Finansinių nusikaltimų tyrimo tarnybai, kuri svarsto poveikio priemonės (priemonių) taikymo klausimą.“</w:t>
            </w:r>
          </w:p>
        </w:tc>
        <w:tc>
          <w:tcPr>
            <w:tcW w:w="6378" w:type="dxa"/>
          </w:tcPr>
          <w:p w:rsidR="00DC72D7" w:rsidRPr="00DC72D7" w:rsidRDefault="00DC72D7" w:rsidP="001D24CA">
            <w:pPr>
              <w:shd w:val="clear" w:color="auto" w:fill="FFFFFF"/>
              <w:jc w:val="both"/>
              <w:rPr>
                <w:rFonts w:ascii="Times New Roman" w:hAnsi="Times New Roman"/>
                <w:b/>
                <w:spacing w:val="-4"/>
                <w:sz w:val="22"/>
                <w:szCs w:val="22"/>
              </w:rPr>
            </w:pPr>
            <w:r w:rsidRPr="00DC72D7">
              <w:rPr>
                <w:rFonts w:ascii="Times New Roman" w:hAnsi="Times New Roman"/>
                <w:b/>
                <w:spacing w:val="-4"/>
                <w:sz w:val="22"/>
                <w:szCs w:val="22"/>
              </w:rPr>
              <w:t>Neatsižvelgta.</w:t>
            </w:r>
          </w:p>
          <w:p w:rsidR="00DC72D7" w:rsidRPr="00DC72D7" w:rsidRDefault="00DC72D7" w:rsidP="00E8498E">
            <w:pPr>
              <w:shd w:val="clear" w:color="auto" w:fill="FFFFFF"/>
              <w:jc w:val="both"/>
              <w:rPr>
                <w:rFonts w:ascii="Times New Roman" w:hAnsi="Times New Roman"/>
                <w:spacing w:val="-4"/>
                <w:sz w:val="22"/>
                <w:szCs w:val="22"/>
              </w:rPr>
            </w:pPr>
            <w:r w:rsidRPr="00DC72D7">
              <w:rPr>
                <w:rFonts w:ascii="Times New Roman" w:hAnsi="Times New Roman"/>
                <w:spacing w:val="-4"/>
                <w:sz w:val="22"/>
                <w:szCs w:val="22"/>
              </w:rPr>
              <w:t>Vadovaujantis Įstatymo 30 straipsnio 1 dalimi, Lietuvos notarų rūmai yra priežiūros institucija. Pagal šio straipsnio 30 straipsnio 4 dalį, Lietuvos notarų rūmai prižiūri, ar notarai, notaro atstovai: 1) tvarko šio įstatymo 20 straipsnio 2 dalyje nurodytų piniginių operacijų registracijos žurnalą ir klientų, su kuriais sandoriai ar dalykiniai santykiai buvo nutraukti šio įstatymo 18 straipsnyje nurodytomis aplinkybėmis ar kitomis su pinigų plovimo ir (ar) teroristų finansavimo prevencijos tvarkos pažeidimais susijusiomis aplinkybėmis, registracijos žurnalą; 2) paskyrė šio įstatymo 22 straipsnio 1 dalyje nurodytus darbuotojus; 3) laikosi šio įstatymo 22 straipsnio 2 dalyje nurodytų reikalavimų; 4) nustatė šio įstatymo 29 straipsnio 1 dalyje nurodytas vidaus politiką ir vidaus kontrolės procedūras. Vadovaujantis Įstatymo 35 straipsniu, visos priežiūros institucijos turi teisę duoti privalomus nurodymus, taigi Lietuvos notarų rūmų teisė duoti notarui privalomus nurodymus aiškiai nustatyta įstatymu.</w:t>
            </w:r>
          </w:p>
        </w:tc>
      </w:tr>
    </w:tbl>
    <w:p w:rsidR="0055520F" w:rsidRDefault="0055520F" w:rsidP="009C4F87">
      <w:pPr>
        <w:ind w:firstLine="851"/>
        <w:jc w:val="both"/>
        <w:rPr>
          <w:rFonts w:ascii="Times New Roman" w:hAnsi="Times New Roman"/>
          <w:snapToGrid w:val="0"/>
          <w:sz w:val="24"/>
          <w:szCs w:val="24"/>
        </w:rPr>
      </w:pPr>
    </w:p>
    <w:p w:rsidR="00CB4060" w:rsidRDefault="00CB4060" w:rsidP="00CB4060">
      <w:pPr>
        <w:pStyle w:val="Paprastasistekstas"/>
        <w:spacing w:before="0" w:after="0"/>
        <w:jc w:val="center"/>
      </w:pPr>
      <w:r>
        <w:t>________________________________________</w:t>
      </w:r>
    </w:p>
    <w:p w:rsidR="00DC72D7" w:rsidRPr="0055520F" w:rsidRDefault="00DC72D7" w:rsidP="009C4F87">
      <w:pPr>
        <w:ind w:firstLine="851"/>
        <w:jc w:val="both"/>
        <w:rPr>
          <w:rFonts w:ascii="Times New Roman" w:hAnsi="Times New Roman"/>
          <w:snapToGrid w:val="0"/>
          <w:sz w:val="24"/>
          <w:szCs w:val="24"/>
        </w:rPr>
      </w:pPr>
      <w:bookmarkStart w:id="1" w:name="_GoBack"/>
      <w:bookmarkEnd w:id="1"/>
    </w:p>
    <w:sectPr w:rsidR="00DC72D7" w:rsidRPr="0055520F" w:rsidSect="00B134A4">
      <w:headerReference w:type="default" r:id="rId11"/>
      <w:pgSz w:w="16838" w:h="11906" w:orient="landscape"/>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4C7E" w:rsidRDefault="00954C7E" w:rsidP="001C51DE">
      <w:r>
        <w:separator/>
      </w:r>
    </w:p>
  </w:endnote>
  <w:endnote w:type="continuationSeparator" w:id="0">
    <w:p w:rsidR="00954C7E" w:rsidRDefault="00954C7E" w:rsidP="001C5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4C7E" w:rsidRDefault="00954C7E" w:rsidP="001C51DE">
      <w:r>
        <w:separator/>
      </w:r>
    </w:p>
  </w:footnote>
  <w:footnote w:type="continuationSeparator" w:id="0">
    <w:p w:rsidR="00954C7E" w:rsidRDefault="00954C7E" w:rsidP="001C51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5954323"/>
      <w:docPartObj>
        <w:docPartGallery w:val="Page Numbers (Top of Page)"/>
        <w:docPartUnique/>
      </w:docPartObj>
    </w:sdtPr>
    <w:sdtEndPr/>
    <w:sdtContent>
      <w:p w:rsidR="00213FDF" w:rsidRDefault="00954C7E">
        <w:pPr>
          <w:pStyle w:val="Antrats"/>
          <w:jc w:val="center"/>
        </w:pPr>
        <w:r>
          <w:rPr>
            <w:noProof/>
          </w:rPr>
          <w:fldChar w:fldCharType="begin"/>
        </w:r>
        <w:r>
          <w:rPr>
            <w:noProof/>
          </w:rPr>
          <w:instrText>PAGE   \* MERGEFORMAT</w:instrText>
        </w:r>
        <w:r>
          <w:rPr>
            <w:noProof/>
          </w:rPr>
          <w:fldChar w:fldCharType="separate"/>
        </w:r>
        <w:r w:rsidR="00CB4060">
          <w:rPr>
            <w:noProof/>
          </w:rPr>
          <w:t>17</w:t>
        </w:r>
        <w:r>
          <w:rPr>
            <w:noProof/>
          </w:rPr>
          <w:fldChar w:fldCharType="end"/>
        </w:r>
      </w:p>
    </w:sdtContent>
  </w:sdt>
  <w:p w:rsidR="00213FDF" w:rsidRDefault="00213FD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423AF"/>
    <w:multiLevelType w:val="hybridMultilevel"/>
    <w:tmpl w:val="7EF870BE"/>
    <w:lvl w:ilvl="0" w:tplc="4978F368">
      <w:start w:val="1"/>
      <w:numFmt w:val="decimal"/>
      <w:lvlText w:val="%1)"/>
      <w:lvlJc w:val="left"/>
      <w:pPr>
        <w:ind w:left="927" w:hanging="360"/>
      </w:pPr>
      <w:rPr>
        <w:rFonts w:eastAsia="Times New Roman" w:cs="Times New Roman"/>
        <w:color w:val="0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A806F73"/>
    <w:multiLevelType w:val="hybridMultilevel"/>
    <w:tmpl w:val="5FCC7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71A98"/>
    <w:multiLevelType w:val="hybridMultilevel"/>
    <w:tmpl w:val="B94C4F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226509"/>
    <w:multiLevelType w:val="hybridMultilevel"/>
    <w:tmpl w:val="468AAD1C"/>
    <w:lvl w:ilvl="0" w:tplc="FD48747C">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B43250"/>
    <w:multiLevelType w:val="hybridMultilevel"/>
    <w:tmpl w:val="726E7122"/>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EF6673"/>
    <w:multiLevelType w:val="hybridMultilevel"/>
    <w:tmpl w:val="86747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F26469"/>
    <w:multiLevelType w:val="hybridMultilevel"/>
    <w:tmpl w:val="6FE04AA4"/>
    <w:lvl w:ilvl="0" w:tplc="5A34F160">
      <w:start w:val="1"/>
      <w:numFmt w:val="decimal"/>
      <w:lvlText w:val="%1."/>
      <w:lvlJc w:val="left"/>
      <w:pPr>
        <w:ind w:left="291" w:hanging="360"/>
      </w:pPr>
      <w:rPr>
        <w:rFonts w:hint="default"/>
      </w:rPr>
    </w:lvl>
    <w:lvl w:ilvl="1" w:tplc="04090019" w:tentative="1">
      <w:start w:val="1"/>
      <w:numFmt w:val="lowerLetter"/>
      <w:lvlText w:val="%2."/>
      <w:lvlJc w:val="left"/>
      <w:pPr>
        <w:ind w:left="1011" w:hanging="360"/>
      </w:pPr>
    </w:lvl>
    <w:lvl w:ilvl="2" w:tplc="0409001B" w:tentative="1">
      <w:start w:val="1"/>
      <w:numFmt w:val="lowerRoman"/>
      <w:lvlText w:val="%3."/>
      <w:lvlJc w:val="right"/>
      <w:pPr>
        <w:ind w:left="1731" w:hanging="180"/>
      </w:pPr>
    </w:lvl>
    <w:lvl w:ilvl="3" w:tplc="0409000F" w:tentative="1">
      <w:start w:val="1"/>
      <w:numFmt w:val="decimal"/>
      <w:lvlText w:val="%4."/>
      <w:lvlJc w:val="left"/>
      <w:pPr>
        <w:ind w:left="2451" w:hanging="360"/>
      </w:pPr>
    </w:lvl>
    <w:lvl w:ilvl="4" w:tplc="04090019" w:tentative="1">
      <w:start w:val="1"/>
      <w:numFmt w:val="lowerLetter"/>
      <w:lvlText w:val="%5."/>
      <w:lvlJc w:val="left"/>
      <w:pPr>
        <w:ind w:left="3171" w:hanging="360"/>
      </w:pPr>
    </w:lvl>
    <w:lvl w:ilvl="5" w:tplc="0409001B" w:tentative="1">
      <w:start w:val="1"/>
      <w:numFmt w:val="lowerRoman"/>
      <w:lvlText w:val="%6."/>
      <w:lvlJc w:val="right"/>
      <w:pPr>
        <w:ind w:left="3891" w:hanging="180"/>
      </w:pPr>
    </w:lvl>
    <w:lvl w:ilvl="6" w:tplc="0409000F" w:tentative="1">
      <w:start w:val="1"/>
      <w:numFmt w:val="decimal"/>
      <w:lvlText w:val="%7."/>
      <w:lvlJc w:val="left"/>
      <w:pPr>
        <w:ind w:left="4611" w:hanging="360"/>
      </w:pPr>
    </w:lvl>
    <w:lvl w:ilvl="7" w:tplc="04090019" w:tentative="1">
      <w:start w:val="1"/>
      <w:numFmt w:val="lowerLetter"/>
      <w:lvlText w:val="%8."/>
      <w:lvlJc w:val="left"/>
      <w:pPr>
        <w:ind w:left="5331" w:hanging="360"/>
      </w:pPr>
    </w:lvl>
    <w:lvl w:ilvl="8" w:tplc="0409001B" w:tentative="1">
      <w:start w:val="1"/>
      <w:numFmt w:val="lowerRoman"/>
      <w:lvlText w:val="%9."/>
      <w:lvlJc w:val="right"/>
      <w:pPr>
        <w:ind w:left="6051" w:hanging="180"/>
      </w:pPr>
    </w:lvl>
  </w:abstractNum>
  <w:abstractNum w:abstractNumId="7" w15:restartNumberingAfterBreak="0">
    <w:nsid w:val="23DB308D"/>
    <w:multiLevelType w:val="hybridMultilevel"/>
    <w:tmpl w:val="A912A9EE"/>
    <w:lvl w:ilvl="0" w:tplc="EA265CEE">
      <w:start w:val="1"/>
      <w:numFmt w:val="decimal"/>
      <w:lvlText w:val="%1."/>
      <w:lvlJc w:val="left"/>
      <w:pPr>
        <w:ind w:left="291" w:hanging="360"/>
      </w:pPr>
      <w:rPr>
        <w:rFonts w:hint="default"/>
      </w:rPr>
    </w:lvl>
    <w:lvl w:ilvl="1" w:tplc="04090019" w:tentative="1">
      <w:start w:val="1"/>
      <w:numFmt w:val="lowerLetter"/>
      <w:lvlText w:val="%2."/>
      <w:lvlJc w:val="left"/>
      <w:pPr>
        <w:ind w:left="1011" w:hanging="360"/>
      </w:pPr>
    </w:lvl>
    <w:lvl w:ilvl="2" w:tplc="0409001B" w:tentative="1">
      <w:start w:val="1"/>
      <w:numFmt w:val="lowerRoman"/>
      <w:lvlText w:val="%3."/>
      <w:lvlJc w:val="right"/>
      <w:pPr>
        <w:ind w:left="1731" w:hanging="180"/>
      </w:pPr>
    </w:lvl>
    <w:lvl w:ilvl="3" w:tplc="0409000F" w:tentative="1">
      <w:start w:val="1"/>
      <w:numFmt w:val="decimal"/>
      <w:lvlText w:val="%4."/>
      <w:lvlJc w:val="left"/>
      <w:pPr>
        <w:ind w:left="2451" w:hanging="360"/>
      </w:pPr>
    </w:lvl>
    <w:lvl w:ilvl="4" w:tplc="04090019" w:tentative="1">
      <w:start w:val="1"/>
      <w:numFmt w:val="lowerLetter"/>
      <w:lvlText w:val="%5."/>
      <w:lvlJc w:val="left"/>
      <w:pPr>
        <w:ind w:left="3171" w:hanging="360"/>
      </w:pPr>
    </w:lvl>
    <w:lvl w:ilvl="5" w:tplc="0409001B" w:tentative="1">
      <w:start w:val="1"/>
      <w:numFmt w:val="lowerRoman"/>
      <w:lvlText w:val="%6."/>
      <w:lvlJc w:val="right"/>
      <w:pPr>
        <w:ind w:left="3891" w:hanging="180"/>
      </w:pPr>
    </w:lvl>
    <w:lvl w:ilvl="6" w:tplc="0409000F" w:tentative="1">
      <w:start w:val="1"/>
      <w:numFmt w:val="decimal"/>
      <w:lvlText w:val="%7."/>
      <w:lvlJc w:val="left"/>
      <w:pPr>
        <w:ind w:left="4611" w:hanging="360"/>
      </w:pPr>
    </w:lvl>
    <w:lvl w:ilvl="7" w:tplc="04090019" w:tentative="1">
      <w:start w:val="1"/>
      <w:numFmt w:val="lowerLetter"/>
      <w:lvlText w:val="%8."/>
      <w:lvlJc w:val="left"/>
      <w:pPr>
        <w:ind w:left="5331" w:hanging="360"/>
      </w:pPr>
    </w:lvl>
    <w:lvl w:ilvl="8" w:tplc="0409001B" w:tentative="1">
      <w:start w:val="1"/>
      <w:numFmt w:val="lowerRoman"/>
      <w:lvlText w:val="%9."/>
      <w:lvlJc w:val="right"/>
      <w:pPr>
        <w:ind w:left="6051" w:hanging="180"/>
      </w:pPr>
    </w:lvl>
  </w:abstractNum>
  <w:abstractNum w:abstractNumId="8" w15:restartNumberingAfterBreak="0">
    <w:nsid w:val="28F32BFE"/>
    <w:multiLevelType w:val="hybridMultilevel"/>
    <w:tmpl w:val="CFBE52EA"/>
    <w:lvl w:ilvl="0" w:tplc="04090011">
      <w:start w:val="1"/>
      <w:numFmt w:val="decimal"/>
      <w:lvlText w:val="%1)"/>
      <w:lvlJc w:val="left"/>
      <w:pPr>
        <w:ind w:left="651" w:hanging="360"/>
      </w:pPr>
      <w:rPr>
        <w:rFonts w:hint="default"/>
      </w:rPr>
    </w:lvl>
    <w:lvl w:ilvl="1" w:tplc="04090003" w:tentative="1">
      <w:start w:val="1"/>
      <w:numFmt w:val="bullet"/>
      <w:lvlText w:val="o"/>
      <w:lvlJc w:val="left"/>
      <w:pPr>
        <w:ind w:left="1371" w:hanging="360"/>
      </w:pPr>
      <w:rPr>
        <w:rFonts w:ascii="Courier New" w:hAnsi="Courier New" w:cs="Courier New" w:hint="default"/>
      </w:rPr>
    </w:lvl>
    <w:lvl w:ilvl="2" w:tplc="04090005" w:tentative="1">
      <w:start w:val="1"/>
      <w:numFmt w:val="bullet"/>
      <w:lvlText w:val=""/>
      <w:lvlJc w:val="left"/>
      <w:pPr>
        <w:ind w:left="2091" w:hanging="360"/>
      </w:pPr>
      <w:rPr>
        <w:rFonts w:ascii="Wingdings" w:hAnsi="Wingdings" w:hint="default"/>
      </w:rPr>
    </w:lvl>
    <w:lvl w:ilvl="3" w:tplc="04090001" w:tentative="1">
      <w:start w:val="1"/>
      <w:numFmt w:val="bullet"/>
      <w:lvlText w:val=""/>
      <w:lvlJc w:val="left"/>
      <w:pPr>
        <w:ind w:left="2811" w:hanging="360"/>
      </w:pPr>
      <w:rPr>
        <w:rFonts w:ascii="Symbol" w:hAnsi="Symbol" w:hint="default"/>
      </w:rPr>
    </w:lvl>
    <w:lvl w:ilvl="4" w:tplc="04090003" w:tentative="1">
      <w:start w:val="1"/>
      <w:numFmt w:val="bullet"/>
      <w:lvlText w:val="o"/>
      <w:lvlJc w:val="left"/>
      <w:pPr>
        <w:ind w:left="3531" w:hanging="360"/>
      </w:pPr>
      <w:rPr>
        <w:rFonts w:ascii="Courier New" w:hAnsi="Courier New" w:cs="Courier New" w:hint="default"/>
      </w:rPr>
    </w:lvl>
    <w:lvl w:ilvl="5" w:tplc="04090005" w:tentative="1">
      <w:start w:val="1"/>
      <w:numFmt w:val="bullet"/>
      <w:lvlText w:val=""/>
      <w:lvlJc w:val="left"/>
      <w:pPr>
        <w:ind w:left="4251" w:hanging="360"/>
      </w:pPr>
      <w:rPr>
        <w:rFonts w:ascii="Wingdings" w:hAnsi="Wingdings" w:hint="default"/>
      </w:rPr>
    </w:lvl>
    <w:lvl w:ilvl="6" w:tplc="04090001" w:tentative="1">
      <w:start w:val="1"/>
      <w:numFmt w:val="bullet"/>
      <w:lvlText w:val=""/>
      <w:lvlJc w:val="left"/>
      <w:pPr>
        <w:ind w:left="4971" w:hanging="360"/>
      </w:pPr>
      <w:rPr>
        <w:rFonts w:ascii="Symbol" w:hAnsi="Symbol" w:hint="default"/>
      </w:rPr>
    </w:lvl>
    <w:lvl w:ilvl="7" w:tplc="04090003" w:tentative="1">
      <w:start w:val="1"/>
      <w:numFmt w:val="bullet"/>
      <w:lvlText w:val="o"/>
      <w:lvlJc w:val="left"/>
      <w:pPr>
        <w:ind w:left="5691" w:hanging="360"/>
      </w:pPr>
      <w:rPr>
        <w:rFonts w:ascii="Courier New" w:hAnsi="Courier New" w:cs="Courier New" w:hint="default"/>
      </w:rPr>
    </w:lvl>
    <w:lvl w:ilvl="8" w:tplc="04090005" w:tentative="1">
      <w:start w:val="1"/>
      <w:numFmt w:val="bullet"/>
      <w:lvlText w:val=""/>
      <w:lvlJc w:val="left"/>
      <w:pPr>
        <w:ind w:left="6411" w:hanging="360"/>
      </w:pPr>
      <w:rPr>
        <w:rFonts w:ascii="Wingdings" w:hAnsi="Wingdings" w:hint="default"/>
      </w:rPr>
    </w:lvl>
  </w:abstractNum>
  <w:abstractNum w:abstractNumId="9" w15:restartNumberingAfterBreak="0">
    <w:nsid w:val="2AE962D3"/>
    <w:multiLevelType w:val="multilevel"/>
    <w:tmpl w:val="1FBCAF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821F81"/>
    <w:multiLevelType w:val="hybridMultilevel"/>
    <w:tmpl w:val="7E48ED5E"/>
    <w:lvl w:ilvl="0" w:tplc="CA4C3898">
      <w:numFmt w:val="bullet"/>
      <w:lvlText w:val="-"/>
      <w:lvlJc w:val="left"/>
      <w:pPr>
        <w:ind w:left="1080" w:hanging="360"/>
      </w:pPr>
      <w:rPr>
        <w:rFonts w:ascii="Times New Roman" w:eastAsiaTheme="minorHAns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1" w15:restartNumberingAfterBreak="0">
    <w:nsid w:val="2E460279"/>
    <w:multiLevelType w:val="hybridMultilevel"/>
    <w:tmpl w:val="3828D8E6"/>
    <w:lvl w:ilvl="0" w:tplc="0EB698A4">
      <w:start w:val="3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98364F"/>
    <w:multiLevelType w:val="multilevel"/>
    <w:tmpl w:val="A6384F8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4"/>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4">
      <w:start w:val="7"/>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5.%6."/>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44E5C5F"/>
    <w:multiLevelType w:val="hybridMultilevel"/>
    <w:tmpl w:val="D4240616"/>
    <w:lvl w:ilvl="0" w:tplc="FE80170E">
      <w:start w:val="1"/>
      <w:numFmt w:val="decimal"/>
      <w:lvlText w:val="%1."/>
      <w:lvlJc w:val="left"/>
      <w:pPr>
        <w:ind w:left="735" w:hanging="375"/>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617547"/>
    <w:multiLevelType w:val="hybridMultilevel"/>
    <w:tmpl w:val="7688CD78"/>
    <w:lvl w:ilvl="0" w:tplc="04CC7106">
      <w:start w:val="1"/>
      <w:numFmt w:val="decimal"/>
      <w:lvlText w:val="%1."/>
      <w:lvlJc w:val="left"/>
      <w:pPr>
        <w:ind w:left="1770" w:hanging="10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9913EAC"/>
    <w:multiLevelType w:val="multilevel"/>
    <w:tmpl w:val="393ABDDA"/>
    <w:lvl w:ilvl="0">
      <w:start w:val="4"/>
      <w:numFmt w:val="decimal"/>
      <w:lvlText w:val="%1)"/>
      <w:lvlJc w:val="left"/>
      <w:rPr>
        <w:rFonts w:ascii="Times New Roman" w:eastAsia="Times New Roman" w:hAnsi="Times New Roman" w:cs="Times New Roman"/>
        <w:b w:val="0"/>
        <w:bCs w:val="0"/>
        <w:i w:val="0"/>
        <w:iCs w:val="0"/>
        <w:smallCaps w:val="0"/>
        <w:strike/>
        <w:color w:val="000000"/>
        <w:spacing w:val="0"/>
        <w:w w:val="100"/>
        <w:position w:val="0"/>
        <w:sz w:val="23"/>
        <w:szCs w:val="23"/>
        <w:u w:val="none"/>
      </w:rPr>
    </w:lvl>
    <w:lvl w:ilvl="1">
      <w:start w:val="20"/>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4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start w:val="49"/>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F1B211D"/>
    <w:multiLevelType w:val="hybridMultilevel"/>
    <w:tmpl w:val="1546A1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6F5F34"/>
    <w:multiLevelType w:val="multilevel"/>
    <w:tmpl w:val="56322EF2"/>
    <w:lvl w:ilvl="0">
      <w:start w:val="1"/>
      <w:numFmt w:val="decimal"/>
      <w:lvlText w:val="%1."/>
      <w:lvlJc w:val="left"/>
      <w:pPr>
        <w:ind w:left="360" w:hanging="360"/>
      </w:pPr>
      <w:rPr>
        <w:rFonts w:hint="default"/>
      </w:rPr>
    </w:lvl>
    <w:lvl w:ilvl="1">
      <w:start w:val="1"/>
      <w:numFmt w:val="decimal"/>
      <w:lvlText w:val="%1.%2."/>
      <w:lvlJc w:val="left"/>
      <w:pPr>
        <w:ind w:left="291" w:hanging="360"/>
      </w:pPr>
      <w:rPr>
        <w:rFonts w:hint="default"/>
      </w:rPr>
    </w:lvl>
    <w:lvl w:ilvl="2">
      <w:start w:val="1"/>
      <w:numFmt w:val="decimal"/>
      <w:lvlText w:val="%1.%2.%3."/>
      <w:lvlJc w:val="left"/>
      <w:pPr>
        <w:ind w:left="582" w:hanging="720"/>
      </w:pPr>
      <w:rPr>
        <w:rFonts w:hint="default"/>
      </w:rPr>
    </w:lvl>
    <w:lvl w:ilvl="3">
      <w:start w:val="1"/>
      <w:numFmt w:val="decimal"/>
      <w:lvlText w:val="%1.%2.%3.%4."/>
      <w:lvlJc w:val="left"/>
      <w:pPr>
        <w:ind w:left="513" w:hanging="720"/>
      </w:pPr>
      <w:rPr>
        <w:rFonts w:hint="default"/>
      </w:rPr>
    </w:lvl>
    <w:lvl w:ilvl="4">
      <w:start w:val="1"/>
      <w:numFmt w:val="decimal"/>
      <w:lvlText w:val="%1.%2.%3.%4.%5."/>
      <w:lvlJc w:val="left"/>
      <w:pPr>
        <w:ind w:left="804" w:hanging="1080"/>
      </w:pPr>
      <w:rPr>
        <w:rFonts w:hint="default"/>
      </w:rPr>
    </w:lvl>
    <w:lvl w:ilvl="5">
      <w:start w:val="1"/>
      <w:numFmt w:val="decimal"/>
      <w:lvlText w:val="%1.%2.%3.%4.%5.%6."/>
      <w:lvlJc w:val="left"/>
      <w:pPr>
        <w:ind w:left="735" w:hanging="1080"/>
      </w:pPr>
      <w:rPr>
        <w:rFonts w:hint="default"/>
      </w:rPr>
    </w:lvl>
    <w:lvl w:ilvl="6">
      <w:start w:val="1"/>
      <w:numFmt w:val="decimal"/>
      <w:lvlText w:val="%1.%2.%3.%4.%5.%6.%7."/>
      <w:lvlJc w:val="left"/>
      <w:pPr>
        <w:ind w:left="1026" w:hanging="1440"/>
      </w:pPr>
      <w:rPr>
        <w:rFonts w:hint="default"/>
      </w:rPr>
    </w:lvl>
    <w:lvl w:ilvl="7">
      <w:start w:val="1"/>
      <w:numFmt w:val="decimal"/>
      <w:lvlText w:val="%1.%2.%3.%4.%5.%6.%7.%8."/>
      <w:lvlJc w:val="left"/>
      <w:pPr>
        <w:ind w:left="957" w:hanging="1440"/>
      </w:pPr>
      <w:rPr>
        <w:rFonts w:hint="default"/>
      </w:rPr>
    </w:lvl>
    <w:lvl w:ilvl="8">
      <w:start w:val="1"/>
      <w:numFmt w:val="decimal"/>
      <w:lvlText w:val="%1.%2.%3.%4.%5.%6.%7.%8.%9."/>
      <w:lvlJc w:val="left"/>
      <w:pPr>
        <w:ind w:left="1248" w:hanging="1800"/>
      </w:pPr>
      <w:rPr>
        <w:rFonts w:hint="default"/>
      </w:rPr>
    </w:lvl>
  </w:abstractNum>
  <w:abstractNum w:abstractNumId="18" w15:restartNumberingAfterBreak="0">
    <w:nsid w:val="4AEE4CE9"/>
    <w:multiLevelType w:val="hybridMultilevel"/>
    <w:tmpl w:val="801E6098"/>
    <w:lvl w:ilvl="0" w:tplc="F4A40044">
      <w:numFmt w:val="bullet"/>
      <w:lvlText w:val="-"/>
      <w:lvlJc w:val="left"/>
      <w:pPr>
        <w:ind w:left="291" w:hanging="360"/>
      </w:pPr>
      <w:rPr>
        <w:rFonts w:ascii="Times New Roman" w:eastAsia="Times New Roman" w:hAnsi="Times New Roman" w:cs="Times New Roman" w:hint="default"/>
      </w:rPr>
    </w:lvl>
    <w:lvl w:ilvl="1" w:tplc="04090003" w:tentative="1">
      <w:start w:val="1"/>
      <w:numFmt w:val="bullet"/>
      <w:lvlText w:val="o"/>
      <w:lvlJc w:val="left"/>
      <w:pPr>
        <w:ind w:left="1011" w:hanging="360"/>
      </w:pPr>
      <w:rPr>
        <w:rFonts w:ascii="Courier New" w:hAnsi="Courier New" w:cs="Courier New" w:hint="default"/>
      </w:rPr>
    </w:lvl>
    <w:lvl w:ilvl="2" w:tplc="04090005" w:tentative="1">
      <w:start w:val="1"/>
      <w:numFmt w:val="bullet"/>
      <w:lvlText w:val=""/>
      <w:lvlJc w:val="left"/>
      <w:pPr>
        <w:ind w:left="1731" w:hanging="360"/>
      </w:pPr>
      <w:rPr>
        <w:rFonts w:ascii="Wingdings" w:hAnsi="Wingdings" w:hint="default"/>
      </w:rPr>
    </w:lvl>
    <w:lvl w:ilvl="3" w:tplc="04090001" w:tentative="1">
      <w:start w:val="1"/>
      <w:numFmt w:val="bullet"/>
      <w:lvlText w:val=""/>
      <w:lvlJc w:val="left"/>
      <w:pPr>
        <w:ind w:left="2451" w:hanging="360"/>
      </w:pPr>
      <w:rPr>
        <w:rFonts w:ascii="Symbol" w:hAnsi="Symbol" w:hint="default"/>
      </w:rPr>
    </w:lvl>
    <w:lvl w:ilvl="4" w:tplc="04090003" w:tentative="1">
      <w:start w:val="1"/>
      <w:numFmt w:val="bullet"/>
      <w:lvlText w:val="o"/>
      <w:lvlJc w:val="left"/>
      <w:pPr>
        <w:ind w:left="3171" w:hanging="360"/>
      </w:pPr>
      <w:rPr>
        <w:rFonts w:ascii="Courier New" w:hAnsi="Courier New" w:cs="Courier New" w:hint="default"/>
      </w:rPr>
    </w:lvl>
    <w:lvl w:ilvl="5" w:tplc="04090005" w:tentative="1">
      <w:start w:val="1"/>
      <w:numFmt w:val="bullet"/>
      <w:lvlText w:val=""/>
      <w:lvlJc w:val="left"/>
      <w:pPr>
        <w:ind w:left="3891" w:hanging="360"/>
      </w:pPr>
      <w:rPr>
        <w:rFonts w:ascii="Wingdings" w:hAnsi="Wingdings" w:hint="default"/>
      </w:rPr>
    </w:lvl>
    <w:lvl w:ilvl="6" w:tplc="04090001" w:tentative="1">
      <w:start w:val="1"/>
      <w:numFmt w:val="bullet"/>
      <w:lvlText w:val=""/>
      <w:lvlJc w:val="left"/>
      <w:pPr>
        <w:ind w:left="4611" w:hanging="360"/>
      </w:pPr>
      <w:rPr>
        <w:rFonts w:ascii="Symbol" w:hAnsi="Symbol" w:hint="default"/>
      </w:rPr>
    </w:lvl>
    <w:lvl w:ilvl="7" w:tplc="04090003" w:tentative="1">
      <w:start w:val="1"/>
      <w:numFmt w:val="bullet"/>
      <w:lvlText w:val="o"/>
      <w:lvlJc w:val="left"/>
      <w:pPr>
        <w:ind w:left="5331" w:hanging="360"/>
      </w:pPr>
      <w:rPr>
        <w:rFonts w:ascii="Courier New" w:hAnsi="Courier New" w:cs="Courier New" w:hint="default"/>
      </w:rPr>
    </w:lvl>
    <w:lvl w:ilvl="8" w:tplc="04090005" w:tentative="1">
      <w:start w:val="1"/>
      <w:numFmt w:val="bullet"/>
      <w:lvlText w:val=""/>
      <w:lvlJc w:val="left"/>
      <w:pPr>
        <w:ind w:left="6051" w:hanging="360"/>
      </w:pPr>
      <w:rPr>
        <w:rFonts w:ascii="Wingdings" w:hAnsi="Wingdings" w:hint="default"/>
      </w:rPr>
    </w:lvl>
  </w:abstractNum>
  <w:abstractNum w:abstractNumId="19" w15:restartNumberingAfterBreak="0">
    <w:nsid w:val="4B553553"/>
    <w:multiLevelType w:val="hybridMultilevel"/>
    <w:tmpl w:val="4B66007A"/>
    <w:lvl w:ilvl="0" w:tplc="9D508D26">
      <w:start w:val="3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3509BC"/>
    <w:multiLevelType w:val="hybridMultilevel"/>
    <w:tmpl w:val="853CBF84"/>
    <w:lvl w:ilvl="0" w:tplc="5058BBAE">
      <w:start w:val="1"/>
      <w:numFmt w:val="decimal"/>
      <w:lvlText w:val="%1)"/>
      <w:lvlJc w:val="left"/>
      <w:pPr>
        <w:ind w:left="291" w:hanging="360"/>
      </w:pPr>
      <w:rPr>
        <w:rFonts w:hint="default"/>
      </w:rPr>
    </w:lvl>
    <w:lvl w:ilvl="1" w:tplc="04090019" w:tentative="1">
      <w:start w:val="1"/>
      <w:numFmt w:val="lowerLetter"/>
      <w:lvlText w:val="%2."/>
      <w:lvlJc w:val="left"/>
      <w:pPr>
        <w:ind w:left="1011" w:hanging="360"/>
      </w:pPr>
    </w:lvl>
    <w:lvl w:ilvl="2" w:tplc="0409001B" w:tentative="1">
      <w:start w:val="1"/>
      <w:numFmt w:val="lowerRoman"/>
      <w:lvlText w:val="%3."/>
      <w:lvlJc w:val="right"/>
      <w:pPr>
        <w:ind w:left="1731" w:hanging="180"/>
      </w:pPr>
    </w:lvl>
    <w:lvl w:ilvl="3" w:tplc="0409000F" w:tentative="1">
      <w:start w:val="1"/>
      <w:numFmt w:val="decimal"/>
      <w:lvlText w:val="%4."/>
      <w:lvlJc w:val="left"/>
      <w:pPr>
        <w:ind w:left="2451" w:hanging="360"/>
      </w:pPr>
    </w:lvl>
    <w:lvl w:ilvl="4" w:tplc="04090019" w:tentative="1">
      <w:start w:val="1"/>
      <w:numFmt w:val="lowerLetter"/>
      <w:lvlText w:val="%5."/>
      <w:lvlJc w:val="left"/>
      <w:pPr>
        <w:ind w:left="3171" w:hanging="360"/>
      </w:pPr>
    </w:lvl>
    <w:lvl w:ilvl="5" w:tplc="0409001B" w:tentative="1">
      <w:start w:val="1"/>
      <w:numFmt w:val="lowerRoman"/>
      <w:lvlText w:val="%6."/>
      <w:lvlJc w:val="right"/>
      <w:pPr>
        <w:ind w:left="3891" w:hanging="180"/>
      </w:pPr>
    </w:lvl>
    <w:lvl w:ilvl="6" w:tplc="0409000F" w:tentative="1">
      <w:start w:val="1"/>
      <w:numFmt w:val="decimal"/>
      <w:lvlText w:val="%7."/>
      <w:lvlJc w:val="left"/>
      <w:pPr>
        <w:ind w:left="4611" w:hanging="360"/>
      </w:pPr>
    </w:lvl>
    <w:lvl w:ilvl="7" w:tplc="04090019" w:tentative="1">
      <w:start w:val="1"/>
      <w:numFmt w:val="lowerLetter"/>
      <w:lvlText w:val="%8."/>
      <w:lvlJc w:val="left"/>
      <w:pPr>
        <w:ind w:left="5331" w:hanging="360"/>
      </w:pPr>
    </w:lvl>
    <w:lvl w:ilvl="8" w:tplc="0409001B" w:tentative="1">
      <w:start w:val="1"/>
      <w:numFmt w:val="lowerRoman"/>
      <w:lvlText w:val="%9."/>
      <w:lvlJc w:val="right"/>
      <w:pPr>
        <w:ind w:left="6051" w:hanging="180"/>
      </w:pPr>
    </w:lvl>
  </w:abstractNum>
  <w:abstractNum w:abstractNumId="21" w15:restartNumberingAfterBreak="0">
    <w:nsid w:val="523B6177"/>
    <w:multiLevelType w:val="hybridMultilevel"/>
    <w:tmpl w:val="D91ED0EC"/>
    <w:lvl w:ilvl="0" w:tplc="C42A034C">
      <w:start w:val="1"/>
      <w:numFmt w:val="lowerRoman"/>
      <w:lvlText w:val="%1."/>
      <w:lvlJc w:val="left"/>
      <w:pPr>
        <w:ind w:left="651" w:hanging="720"/>
      </w:pPr>
      <w:rPr>
        <w:rFonts w:hint="default"/>
      </w:rPr>
    </w:lvl>
    <w:lvl w:ilvl="1" w:tplc="04090019" w:tentative="1">
      <w:start w:val="1"/>
      <w:numFmt w:val="lowerLetter"/>
      <w:lvlText w:val="%2."/>
      <w:lvlJc w:val="left"/>
      <w:pPr>
        <w:ind w:left="1011" w:hanging="360"/>
      </w:pPr>
    </w:lvl>
    <w:lvl w:ilvl="2" w:tplc="0409001B" w:tentative="1">
      <w:start w:val="1"/>
      <w:numFmt w:val="lowerRoman"/>
      <w:lvlText w:val="%3."/>
      <w:lvlJc w:val="right"/>
      <w:pPr>
        <w:ind w:left="1731" w:hanging="180"/>
      </w:pPr>
    </w:lvl>
    <w:lvl w:ilvl="3" w:tplc="0409000F" w:tentative="1">
      <w:start w:val="1"/>
      <w:numFmt w:val="decimal"/>
      <w:lvlText w:val="%4."/>
      <w:lvlJc w:val="left"/>
      <w:pPr>
        <w:ind w:left="2451" w:hanging="360"/>
      </w:pPr>
    </w:lvl>
    <w:lvl w:ilvl="4" w:tplc="04090019" w:tentative="1">
      <w:start w:val="1"/>
      <w:numFmt w:val="lowerLetter"/>
      <w:lvlText w:val="%5."/>
      <w:lvlJc w:val="left"/>
      <w:pPr>
        <w:ind w:left="3171" w:hanging="360"/>
      </w:pPr>
    </w:lvl>
    <w:lvl w:ilvl="5" w:tplc="0409001B" w:tentative="1">
      <w:start w:val="1"/>
      <w:numFmt w:val="lowerRoman"/>
      <w:lvlText w:val="%6."/>
      <w:lvlJc w:val="right"/>
      <w:pPr>
        <w:ind w:left="3891" w:hanging="180"/>
      </w:pPr>
    </w:lvl>
    <w:lvl w:ilvl="6" w:tplc="0409000F" w:tentative="1">
      <w:start w:val="1"/>
      <w:numFmt w:val="decimal"/>
      <w:lvlText w:val="%7."/>
      <w:lvlJc w:val="left"/>
      <w:pPr>
        <w:ind w:left="4611" w:hanging="360"/>
      </w:pPr>
    </w:lvl>
    <w:lvl w:ilvl="7" w:tplc="04090019" w:tentative="1">
      <w:start w:val="1"/>
      <w:numFmt w:val="lowerLetter"/>
      <w:lvlText w:val="%8."/>
      <w:lvlJc w:val="left"/>
      <w:pPr>
        <w:ind w:left="5331" w:hanging="360"/>
      </w:pPr>
    </w:lvl>
    <w:lvl w:ilvl="8" w:tplc="0409001B" w:tentative="1">
      <w:start w:val="1"/>
      <w:numFmt w:val="lowerRoman"/>
      <w:lvlText w:val="%9."/>
      <w:lvlJc w:val="right"/>
      <w:pPr>
        <w:ind w:left="6051" w:hanging="180"/>
      </w:pPr>
    </w:lvl>
  </w:abstractNum>
  <w:abstractNum w:abstractNumId="22" w15:restartNumberingAfterBreak="0">
    <w:nsid w:val="559A4E86"/>
    <w:multiLevelType w:val="hybridMultilevel"/>
    <w:tmpl w:val="21982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3B5B91"/>
    <w:multiLevelType w:val="hybridMultilevel"/>
    <w:tmpl w:val="9D82F6A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C5410F"/>
    <w:multiLevelType w:val="hybridMultilevel"/>
    <w:tmpl w:val="01EC2DC0"/>
    <w:lvl w:ilvl="0" w:tplc="B998905E">
      <w:start w:val="1"/>
      <w:numFmt w:val="decimal"/>
      <w:lvlText w:val="%1."/>
      <w:lvlJc w:val="left"/>
      <w:pPr>
        <w:ind w:left="291" w:hanging="360"/>
      </w:pPr>
      <w:rPr>
        <w:rFonts w:hint="default"/>
      </w:rPr>
    </w:lvl>
    <w:lvl w:ilvl="1" w:tplc="04090019" w:tentative="1">
      <w:start w:val="1"/>
      <w:numFmt w:val="lowerLetter"/>
      <w:lvlText w:val="%2."/>
      <w:lvlJc w:val="left"/>
      <w:pPr>
        <w:ind w:left="1011" w:hanging="360"/>
      </w:pPr>
    </w:lvl>
    <w:lvl w:ilvl="2" w:tplc="0409001B" w:tentative="1">
      <w:start w:val="1"/>
      <w:numFmt w:val="lowerRoman"/>
      <w:lvlText w:val="%3."/>
      <w:lvlJc w:val="right"/>
      <w:pPr>
        <w:ind w:left="1731" w:hanging="180"/>
      </w:pPr>
    </w:lvl>
    <w:lvl w:ilvl="3" w:tplc="0409000F" w:tentative="1">
      <w:start w:val="1"/>
      <w:numFmt w:val="decimal"/>
      <w:lvlText w:val="%4."/>
      <w:lvlJc w:val="left"/>
      <w:pPr>
        <w:ind w:left="2451" w:hanging="360"/>
      </w:pPr>
    </w:lvl>
    <w:lvl w:ilvl="4" w:tplc="04090019" w:tentative="1">
      <w:start w:val="1"/>
      <w:numFmt w:val="lowerLetter"/>
      <w:lvlText w:val="%5."/>
      <w:lvlJc w:val="left"/>
      <w:pPr>
        <w:ind w:left="3171" w:hanging="360"/>
      </w:pPr>
    </w:lvl>
    <w:lvl w:ilvl="5" w:tplc="0409001B" w:tentative="1">
      <w:start w:val="1"/>
      <w:numFmt w:val="lowerRoman"/>
      <w:lvlText w:val="%6."/>
      <w:lvlJc w:val="right"/>
      <w:pPr>
        <w:ind w:left="3891" w:hanging="180"/>
      </w:pPr>
    </w:lvl>
    <w:lvl w:ilvl="6" w:tplc="0409000F" w:tentative="1">
      <w:start w:val="1"/>
      <w:numFmt w:val="decimal"/>
      <w:lvlText w:val="%7."/>
      <w:lvlJc w:val="left"/>
      <w:pPr>
        <w:ind w:left="4611" w:hanging="360"/>
      </w:pPr>
    </w:lvl>
    <w:lvl w:ilvl="7" w:tplc="04090019" w:tentative="1">
      <w:start w:val="1"/>
      <w:numFmt w:val="lowerLetter"/>
      <w:lvlText w:val="%8."/>
      <w:lvlJc w:val="left"/>
      <w:pPr>
        <w:ind w:left="5331" w:hanging="360"/>
      </w:pPr>
    </w:lvl>
    <w:lvl w:ilvl="8" w:tplc="0409001B" w:tentative="1">
      <w:start w:val="1"/>
      <w:numFmt w:val="lowerRoman"/>
      <w:lvlText w:val="%9."/>
      <w:lvlJc w:val="right"/>
      <w:pPr>
        <w:ind w:left="6051" w:hanging="180"/>
      </w:pPr>
    </w:lvl>
  </w:abstractNum>
  <w:abstractNum w:abstractNumId="25" w15:restartNumberingAfterBreak="0">
    <w:nsid w:val="650C40BE"/>
    <w:multiLevelType w:val="hybridMultilevel"/>
    <w:tmpl w:val="945AB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682BA1"/>
    <w:multiLevelType w:val="hybridMultilevel"/>
    <w:tmpl w:val="428EAC48"/>
    <w:lvl w:ilvl="0" w:tplc="79EE440E">
      <w:start w:val="3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7D4A84"/>
    <w:multiLevelType w:val="hybridMultilevel"/>
    <w:tmpl w:val="EE945C4C"/>
    <w:lvl w:ilvl="0" w:tplc="04090001">
      <w:start w:val="1"/>
      <w:numFmt w:val="bullet"/>
      <w:lvlText w:val=""/>
      <w:lvlJc w:val="left"/>
      <w:pPr>
        <w:ind w:left="651" w:hanging="360"/>
      </w:pPr>
      <w:rPr>
        <w:rFonts w:ascii="Symbol" w:hAnsi="Symbol" w:hint="default"/>
      </w:rPr>
    </w:lvl>
    <w:lvl w:ilvl="1" w:tplc="04090003" w:tentative="1">
      <w:start w:val="1"/>
      <w:numFmt w:val="bullet"/>
      <w:lvlText w:val="o"/>
      <w:lvlJc w:val="left"/>
      <w:pPr>
        <w:ind w:left="1371" w:hanging="360"/>
      </w:pPr>
      <w:rPr>
        <w:rFonts w:ascii="Courier New" w:hAnsi="Courier New" w:cs="Courier New" w:hint="default"/>
      </w:rPr>
    </w:lvl>
    <w:lvl w:ilvl="2" w:tplc="04090005" w:tentative="1">
      <w:start w:val="1"/>
      <w:numFmt w:val="bullet"/>
      <w:lvlText w:val=""/>
      <w:lvlJc w:val="left"/>
      <w:pPr>
        <w:ind w:left="2091" w:hanging="360"/>
      </w:pPr>
      <w:rPr>
        <w:rFonts w:ascii="Wingdings" w:hAnsi="Wingdings" w:hint="default"/>
      </w:rPr>
    </w:lvl>
    <w:lvl w:ilvl="3" w:tplc="04090001" w:tentative="1">
      <w:start w:val="1"/>
      <w:numFmt w:val="bullet"/>
      <w:lvlText w:val=""/>
      <w:lvlJc w:val="left"/>
      <w:pPr>
        <w:ind w:left="2811" w:hanging="360"/>
      </w:pPr>
      <w:rPr>
        <w:rFonts w:ascii="Symbol" w:hAnsi="Symbol" w:hint="default"/>
      </w:rPr>
    </w:lvl>
    <w:lvl w:ilvl="4" w:tplc="04090003" w:tentative="1">
      <w:start w:val="1"/>
      <w:numFmt w:val="bullet"/>
      <w:lvlText w:val="o"/>
      <w:lvlJc w:val="left"/>
      <w:pPr>
        <w:ind w:left="3531" w:hanging="360"/>
      </w:pPr>
      <w:rPr>
        <w:rFonts w:ascii="Courier New" w:hAnsi="Courier New" w:cs="Courier New" w:hint="default"/>
      </w:rPr>
    </w:lvl>
    <w:lvl w:ilvl="5" w:tplc="04090005" w:tentative="1">
      <w:start w:val="1"/>
      <w:numFmt w:val="bullet"/>
      <w:lvlText w:val=""/>
      <w:lvlJc w:val="left"/>
      <w:pPr>
        <w:ind w:left="4251" w:hanging="360"/>
      </w:pPr>
      <w:rPr>
        <w:rFonts w:ascii="Wingdings" w:hAnsi="Wingdings" w:hint="default"/>
      </w:rPr>
    </w:lvl>
    <w:lvl w:ilvl="6" w:tplc="04090001" w:tentative="1">
      <w:start w:val="1"/>
      <w:numFmt w:val="bullet"/>
      <w:lvlText w:val=""/>
      <w:lvlJc w:val="left"/>
      <w:pPr>
        <w:ind w:left="4971" w:hanging="360"/>
      </w:pPr>
      <w:rPr>
        <w:rFonts w:ascii="Symbol" w:hAnsi="Symbol" w:hint="default"/>
      </w:rPr>
    </w:lvl>
    <w:lvl w:ilvl="7" w:tplc="04090003" w:tentative="1">
      <w:start w:val="1"/>
      <w:numFmt w:val="bullet"/>
      <w:lvlText w:val="o"/>
      <w:lvlJc w:val="left"/>
      <w:pPr>
        <w:ind w:left="5691" w:hanging="360"/>
      </w:pPr>
      <w:rPr>
        <w:rFonts w:ascii="Courier New" w:hAnsi="Courier New" w:cs="Courier New" w:hint="default"/>
      </w:rPr>
    </w:lvl>
    <w:lvl w:ilvl="8" w:tplc="04090005" w:tentative="1">
      <w:start w:val="1"/>
      <w:numFmt w:val="bullet"/>
      <w:lvlText w:val=""/>
      <w:lvlJc w:val="left"/>
      <w:pPr>
        <w:ind w:left="6411" w:hanging="360"/>
      </w:pPr>
      <w:rPr>
        <w:rFonts w:ascii="Wingdings" w:hAnsi="Wingdings" w:hint="default"/>
      </w:rPr>
    </w:lvl>
  </w:abstractNum>
  <w:abstractNum w:abstractNumId="28" w15:restartNumberingAfterBreak="0">
    <w:nsid w:val="6ECC4E38"/>
    <w:multiLevelType w:val="multilevel"/>
    <w:tmpl w:val="EECED2CA"/>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rPr>
    </w:lvl>
    <w:lvl w:ilvl="1">
      <w:start w:val="1"/>
      <w:numFmt w:val="decimal"/>
      <w:lvlText w:val="%2)"/>
      <w:lvlJc w:val="left"/>
      <w:rPr>
        <w:rFonts w:ascii="Arial" w:eastAsia="Arial" w:hAnsi="Arial" w:cs="Arial"/>
        <w:b/>
        <w:bCs/>
        <w:i w:val="0"/>
        <w:iCs w:val="0"/>
        <w:smallCaps w:val="0"/>
        <w:strike w:val="0"/>
        <w:color w:val="000000"/>
        <w:spacing w:val="0"/>
        <w:w w:val="100"/>
        <w:position w:val="0"/>
        <w:sz w:val="20"/>
        <w:szCs w:val="20"/>
        <w:u w:val="none"/>
      </w:rPr>
    </w:lvl>
    <w:lvl w:ilvl="2">
      <w:start w:val="1"/>
      <w:numFmt w:val="lowerRoman"/>
      <w:lvlText w:val="(%3)"/>
      <w:lvlJc w:val="left"/>
      <w:rPr>
        <w:rFonts w:ascii="Arial" w:eastAsia="Arial" w:hAnsi="Arial" w:cs="Arial"/>
        <w:b w:val="0"/>
        <w:bCs w:val="0"/>
        <w:i w:val="0"/>
        <w:iCs w:val="0"/>
        <w:smallCaps w:val="0"/>
        <w:strike w:val="0"/>
        <w:color w:val="000000"/>
        <w:spacing w:val="0"/>
        <w:w w:val="100"/>
        <w:position w:val="0"/>
        <w:sz w:val="20"/>
        <w:szCs w:val="20"/>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1DF52C3"/>
    <w:multiLevelType w:val="hybridMultilevel"/>
    <w:tmpl w:val="ABD0CD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C07B76"/>
    <w:multiLevelType w:val="multilevel"/>
    <w:tmpl w:val="72E4203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rPr>
    </w:lvl>
    <w:lvl w:ilvl="1">
      <w:start w:val="5"/>
      <w:numFmt w:val="decimal"/>
      <w:lvlText w:val="%2"/>
      <w:lvlJc w:val="left"/>
      <w:rPr>
        <w:rFonts w:ascii="Calibri" w:eastAsia="Calibri" w:hAnsi="Calibri" w:cs="Calibri"/>
        <w:b/>
        <w:bCs/>
        <w:i w:val="0"/>
        <w:iCs w:val="0"/>
        <w:smallCaps w:val="0"/>
        <w:strike w:val="0"/>
        <w:color w:val="000000"/>
        <w:spacing w:val="0"/>
        <w:w w:val="100"/>
        <w:position w:val="0"/>
        <w:sz w:val="22"/>
        <w:szCs w:val="22"/>
        <w:u w:val="none"/>
      </w:rPr>
    </w:lvl>
    <w:lvl w:ilvl="2">
      <w:start w:val="1"/>
      <w:numFmt w:val="decimal"/>
      <w:lvlText w:val="%3."/>
      <w:lvlJc w:val="left"/>
      <w:rPr>
        <w:rFonts w:ascii="Calibri" w:eastAsia="Calibri" w:hAnsi="Calibri" w:cs="Calibri"/>
        <w:b/>
        <w:bCs/>
        <w:i w:val="0"/>
        <w:iCs w:val="0"/>
        <w:smallCaps w:val="0"/>
        <w:strike w:val="0"/>
        <w:color w:val="000000"/>
        <w:spacing w:val="0"/>
        <w:w w:val="100"/>
        <w:position w:val="0"/>
        <w:sz w:val="22"/>
        <w:szCs w:val="22"/>
        <w:u w:val="none"/>
      </w:rPr>
    </w:lvl>
    <w:lvl w:ilvl="3">
      <w:start w:val="5"/>
      <w:numFmt w:val="decimal"/>
      <w:lvlText w:val="%4."/>
      <w:lvlJc w:val="left"/>
      <w:rPr>
        <w:rFonts w:ascii="Calibri" w:eastAsia="Calibri" w:hAnsi="Calibri" w:cs="Calibri"/>
        <w:b w:val="0"/>
        <w:bCs w:val="0"/>
        <w:i w:val="0"/>
        <w:iCs w:val="0"/>
        <w:smallCaps w:val="0"/>
        <w:strike w:val="0"/>
        <w:color w:val="000000"/>
        <w:spacing w:val="0"/>
        <w:w w:val="100"/>
        <w:position w:val="0"/>
        <w:sz w:val="22"/>
        <w:szCs w:val="22"/>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5FE7355"/>
    <w:multiLevelType w:val="hybridMultilevel"/>
    <w:tmpl w:val="EC729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A768DB"/>
    <w:multiLevelType w:val="hybridMultilevel"/>
    <w:tmpl w:val="DDA0E84E"/>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6A7A23"/>
    <w:multiLevelType w:val="hybridMultilevel"/>
    <w:tmpl w:val="86781C0C"/>
    <w:lvl w:ilvl="0" w:tplc="5CBC2EE8">
      <w:start w:val="1"/>
      <w:numFmt w:val="decimal"/>
      <w:lvlText w:val="%1."/>
      <w:lvlJc w:val="left"/>
      <w:pPr>
        <w:ind w:left="735" w:hanging="375"/>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24"/>
  </w:num>
  <w:num w:numId="4">
    <w:abstractNumId w:val="6"/>
  </w:num>
  <w:num w:numId="5">
    <w:abstractNumId w:val="9"/>
  </w:num>
  <w:num w:numId="6">
    <w:abstractNumId w:val="23"/>
  </w:num>
  <w:num w:numId="7">
    <w:abstractNumId w:val="4"/>
  </w:num>
  <w:num w:numId="8">
    <w:abstractNumId w:val="32"/>
  </w:num>
  <w:num w:numId="9">
    <w:abstractNumId w:val="15"/>
  </w:num>
  <w:num w:numId="10">
    <w:abstractNumId w:val="10"/>
  </w:num>
  <w:num w:numId="11">
    <w:abstractNumId w:val="17"/>
  </w:num>
  <w:num w:numId="12">
    <w:abstractNumId w:val="12"/>
  </w:num>
  <w:num w:numId="13">
    <w:abstractNumId w:val="14"/>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num>
  <w:num w:numId="16">
    <w:abstractNumId w:val="11"/>
  </w:num>
  <w:num w:numId="17">
    <w:abstractNumId w:val="25"/>
  </w:num>
  <w:num w:numId="18">
    <w:abstractNumId w:val="19"/>
  </w:num>
  <w:num w:numId="19">
    <w:abstractNumId w:val="26"/>
  </w:num>
  <w:num w:numId="20">
    <w:abstractNumId w:val="13"/>
  </w:num>
  <w:num w:numId="21">
    <w:abstractNumId w:val="33"/>
  </w:num>
  <w:num w:numId="22">
    <w:abstractNumId w:val="16"/>
  </w:num>
  <w:num w:numId="23">
    <w:abstractNumId w:val="1"/>
  </w:num>
  <w:num w:numId="24">
    <w:abstractNumId w:val="22"/>
  </w:num>
  <w:num w:numId="25">
    <w:abstractNumId w:val="3"/>
  </w:num>
  <w:num w:numId="26">
    <w:abstractNumId w:val="21"/>
  </w:num>
  <w:num w:numId="27">
    <w:abstractNumId w:val="7"/>
  </w:num>
  <w:num w:numId="28">
    <w:abstractNumId w:val="20"/>
  </w:num>
  <w:num w:numId="29">
    <w:abstractNumId w:val="29"/>
  </w:num>
  <w:num w:numId="30">
    <w:abstractNumId w:val="18"/>
  </w:num>
  <w:num w:numId="31">
    <w:abstractNumId w:val="30"/>
  </w:num>
  <w:num w:numId="32">
    <w:abstractNumId w:val="28"/>
  </w:num>
  <w:num w:numId="33">
    <w:abstractNumId w:val="0"/>
  </w:num>
  <w:num w:numId="34">
    <w:abstractNumId w:val="27"/>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1296"/>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04A63"/>
    <w:rsid w:val="0000047A"/>
    <w:rsid w:val="000012BB"/>
    <w:rsid w:val="00002857"/>
    <w:rsid w:val="0000295B"/>
    <w:rsid w:val="00007728"/>
    <w:rsid w:val="00007947"/>
    <w:rsid w:val="00011277"/>
    <w:rsid w:val="00012826"/>
    <w:rsid w:val="000131F0"/>
    <w:rsid w:val="000134EA"/>
    <w:rsid w:val="0001382C"/>
    <w:rsid w:val="00013899"/>
    <w:rsid w:val="000143EA"/>
    <w:rsid w:val="0001640F"/>
    <w:rsid w:val="00017A84"/>
    <w:rsid w:val="0002098D"/>
    <w:rsid w:val="00022156"/>
    <w:rsid w:val="00023530"/>
    <w:rsid w:val="00027F9B"/>
    <w:rsid w:val="0003218B"/>
    <w:rsid w:val="00032A1C"/>
    <w:rsid w:val="00034AE1"/>
    <w:rsid w:val="000401C5"/>
    <w:rsid w:val="000431E9"/>
    <w:rsid w:val="0005067A"/>
    <w:rsid w:val="000534A3"/>
    <w:rsid w:val="0005485F"/>
    <w:rsid w:val="0005553A"/>
    <w:rsid w:val="0006032C"/>
    <w:rsid w:val="00060ACA"/>
    <w:rsid w:val="00064F13"/>
    <w:rsid w:val="000663D9"/>
    <w:rsid w:val="00067068"/>
    <w:rsid w:val="00067E19"/>
    <w:rsid w:val="00071D63"/>
    <w:rsid w:val="00071EFE"/>
    <w:rsid w:val="000723FC"/>
    <w:rsid w:val="00075E4F"/>
    <w:rsid w:val="0008157D"/>
    <w:rsid w:val="000870D2"/>
    <w:rsid w:val="00087742"/>
    <w:rsid w:val="00094E64"/>
    <w:rsid w:val="0009692B"/>
    <w:rsid w:val="00096C03"/>
    <w:rsid w:val="000A3194"/>
    <w:rsid w:val="000A7F60"/>
    <w:rsid w:val="000B3FE7"/>
    <w:rsid w:val="000B693B"/>
    <w:rsid w:val="000C032A"/>
    <w:rsid w:val="000C239E"/>
    <w:rsid w:val="000C4014"/>
    <w:rsid w:val="000D0D18"/>
    <w:rsid w:val="000D150D"/>
    <w:rsid w:val="000D1A84"/>
    <w:rsid w:val="000D234F"/>
    <w:rsid w:val="000D29B0"/>
    <w:rsid w:val="000D47B0"/>
    <w:rsid w:val="000D4F6C"/>
    <w:rsid w:val="000D50E2"/>
    <w:rsid w:val="000D61CA"/>
    <w:rsid w:val="000D7D85"/>
    <w:rsid w:val="000E078F"/>
    <w:rsid w:val="000E1B2D"/>
    <w:rsid w:val="000E42ED"/>
    <w:rsid w:val="000E684C"/>
    <w:rsid w:val="000F64B2"/>
    <w:rsid w:val="000F669D"/>
    <w:rsid w:val="000F66C6"/>
    <w:rsid w:val="000F6D9C"/>
    <w:rsid w:val="00100219"/>
    <w:rsid w:val="001007DF"/>
    <w:rsid w:val="00101464"/>
    <w:rsid w:val="00104DC1"/>
    <w:rsid w:val="00110C6A"/>
    <w:rsid w:val="00116DB6"/>
    <w:rsid w:val="00122C8E"/>
    <w:rsid w:val="00123B6A"/>
    <w:rsid w:val="00123C28"/>
    <w:rsid w:val="00124024"/>
    <w:rsid w:val="00126288"/>
    <w:rsid w:val="00126CEB"/>
    <w:rsid w:val="00126EA1"/>
    <w:rsid w:val="00132710"/>
    <w:rsid w:val="00134122"/>
    <w:rsid w:val="0013569B"/>
    <w:rsid w:val="00140FEC"/>
    <w:rsid w:val="00142EB5"/>
    <w:rsid w:val="00144099"/>
    <w:rsid w:val="00152CC3"/>
    <w:rsid w:val="00154241"/>
    <w:rsid w:val="001547C0"/>
    <w:rsid w:val="00156741"/>
    <w:rsid w:val="001574D6"/>
    <w:rsid w:val="00167444"/>
    <w:rsid w:val="001674EA"/>
    <w:rsid w:val="0016767B"/>
    <w:rsid w:val="00173927"/>
    <w:rsid w:val="0017588B"/>
    <w:rsid w:val="00177717"/>
    <w:rsid w:val="00181FFC"/>
    <w:rsid w:val="00182901"/>
    <w:rsid w:val="001837C7"/>
    <w:rsid w:val="001879BE"/>
    <w:rsid w:val="00191854"/>
    <w:rsid w:val="00192683"/>
    <w:rsid w:val="001935E4"/>
    <w:rsid w:val="00194BD7"/>
    <w:rsid w:val="00196E47"/>
    <w:rsid w:val="001A3D21"/>
    <w:rsid w:val="001A6063"/>
    <w:rsid w:val="001B174B"/>
    <w:rsid w:val="001B59E5"/>
    <w:rsid w:val="001B789A"/>
    <w:rsid w:val="001C0E14"/>
    <w:rsid w:val="001C2701"/>
    <w:rsid w:val="001C51DE"/>
    <w:rsid w:val="001C536A"/>
    <w:rsid w:val="001D1934"/>
    <w:rsid w:val="001D24CA"/>
    <w:rsid w:val="001D3E0E"/>
    <w:rsid w:val="001D3EF9"/>
    <w:rsid w:val="001D5028"/>
    <w:rsid w:val="001E1C80"/>
    <w:rsid w:val="001E3F34"/>
    <w:rsid w:val="001E653F"/>
    <w:rsid w:val="001F03BA"/>
    <w:rsid w:val="001F0AB9"/>
    <w:rsid w:val="001F0C43"/>
    <w:rsid w:val="001F1C55"/>
    <w:rsid w:val="00200C6D"/>
    <w:rsid w:val="00202FB2"/>
    <w:rsid w:val="00210E5F"/>
    <w:rsid w:val="00213FDF"/>
    <w:rsid w:val="00215954"/>
    <w:rsid w:val="0022219A"/>
    <w:rsid w:val="00223AC2"/>
    <w:rsid w:val="0022460C"/>
    <w:rsid w:val="00224997"/>
    <w:rsid w:val="00224ACA"/>
    <w:rsid w:val="00227E3D"/>
    <w:rsid w:val="00230026"/>
    <w:rsid w:val="002306CB"/>
    <w:rsid w:val="002365A2"/>
    <w:rsid w:val="002418D6"/>
    <w:rsid w:val="00241C89"/>
    <w:rsid w:val="002435BA"/>
    <w:rsid w:val="00246D73"/>
    <w:rsid w:val="00247629"/>
    <w:rsid w:val="00247E76"/>
    <w:rsid w:val="002511D8"/>
    <w:rsid w:val="002574C0"/>
    <w:rsid w:val="00257B4E"/>
    <w:rsid w:val="002619D2"/>
    <w:rsid w:val="00261A77"/>
    <w:rsid w:val="00266A04"/>
    <w:rsid w:val="00271D1D"/>
    <w:rsid w:val="002732F3"/>
    <w:rsid w:val="00273913"/>
    <w:rsid w:val="002833F0"/>
    <w:rsid w:val="00283771"/>
    <w:rsid w:val="00283A81"/>
    <w:rsid w:val="00283FFB"/>
    <w:rsid w:val="0028565F"/>
    <w:rsid w:val="00286497"/>
    <w:rsid w:val="00290D45"/>
    <w:rsid w:val="00292E56"/>
    <w:rsid w:val="002A0DE7"/>
    <w:rsid w:val="002A1B0A"/>
    <w:rsid w:val="002A1E65"/>
    <w:rsid w:val="002A3638"/>
    <w:rsid w:val="002A4A22"/>
    <w:rsid w:val="002A5701"/>
    <w:rsid w:val="002A57FE"/>
    <w:rsid w:val="002A5D73"/>
    <w:rsid w:val="002B358E"/>
    <w:rsid w:val="002B3898"/>
    <w:rsid w:val="002C0496"/>
    <w:rsid w:val="002C0BCF"/>
    <w:rsid w:val="002C2CD2"/>
    <w:rsid w:val="002C3F29"/>
    <w:rsid w:val="002C7FEC"/>
    <w:rsid w:val="002D0EFF"/>
    <w:rsid w:val="002D11C6"/>
    <w:rsid w:val="002D2441"/>
    <w:rsid w:val="002D25E6"/>
    <w:rsid w:val="002D275A"/>
    <w:rsid w:val="002D2B33"/>
    <w:rsid w:val="002D368A"/>
    <w:rsid w:val="002D5F50"/>
    <w:rsid w:val="002D7EBA"/>
    <w:rsid w:val="002E5615"/>
    <w:rsid w:val="002E63DD"/>
    <w:rsid w:val="002F0419"/>
    <w:rsid w:val="002F0CC6"/>
    <w:rsid w:val="002F13F1"/>
    <w:rsid w:val="002F2BDA"/>
    <w:rsid w:val="002F2E5A"/>
    <w:rsid w:val="002F5A49"/>
    <w:rsid w:val="00300118"/>
    <w:rsid w:val="00301215"/>
    <w:rsid w:val="0030148B"/>
    <w:rsid w:val="00301912"/>
    <w:rsid w:val="0030325F"/>
    <w:rsid w:val="00310178"/>
    <w:rsid w:val="00311EA8"/>
    <w:rsid w:val="00312F9E"/>
    <w:rsid w:val="00314142"/>
    <w:rsid w:val="003147FD"/>
    <w:rsid w:val="00314F15"/>
    <w:rsid w:val="00317FBC"/>
    <w:rsid w:val="00323880"/>
    <w:rsid w:val="0032467C"/>
    <w:rsid w:val="00325089"/>
    <w:rsid w:val="00326540"/>
    <w:rsid w:val="00326E29"/>
    <w:rsid w:val="00330EC5"/>
    <w:rsid w:val="00332178"/>
    <w:rsid w:val="00332769"/>
    <w:rsid w:val="00333A20"/>
    <w:rsid w:val="00333C3D"/>
    <w:rsid w:val="003426F7"/>
    <w:rsid w:val="00343D3C"/>
    <w:rsid w:val="00347E1A"/>
    <w:rsid w:val="00357DE3"/>
    <w:rsid w:val="00357E42"/>
    <w:rsid w:val="00362390"/>
    <w:rsid w:val="00363292"/>
    <w:rsid w:val="0036334D"/>
    <w:rsid w:val="00365D2F"/>
    <w:rsid w:val="00372CC9"/>
    <w:rsid w:val="0037352E"/>
    <w:rsid w:val="0037493C"/>
    <w:rsid w:val="00380164"/>
    <w:rsid w:val="00381B3F"/>
    <w:rsid w:val="003866D0"/>
    <w:rsid w:val="00393B48"/>
    <w:rsid w:val="003A26D0"/>
    <w:rsid w:val="003A282A"/>
    <w:rsid w:val="003B12D0"/>
    <w:rsid w:val="003B2A01"/>
    <w:rsid w:val="003B472A"/>
    <w:rsid w:val="003B580D"/>
    <w:rsid w:val="003C0111"/>
    <w:rsid w:val="003C3606"/>
    <w:rsid w:val="003C3E80"/>
    <w:rsid w:val="003C42E7"/>
    <w:rsid w:val="003C4881"/>
    <w:rsid w:val="003C5DCB"/>
    <w:rsid w:val="003C66AF"/>
    <w:rsid w:val="003C6759"/>
    <w:rsid w:val="003D4EC3"/>
    <w:rsid w:val="003D6948"/>
    <w:rsid w:val="003D7A91"/>
    <w:rsid w:val="003E24D8"/>
    <w:rsid w:val="003E2FE6"/>
    <w:rsid w:val="003E4313"/>
    <w:rsid w:val="003E4C93"/>
    <w:rsid w:val="003E5222"/>
    <w:rsid w:val="003E7256"/>
    <w:rsid w:val="003F03B3"/>
    <w:rsid w:val="003F0D30"/>
    <w:rsid w:val="003F1AB2"/>
    <w:rsid w:val="003F4B34"/>
    <w:rsid w:val="003F7C1E"/>
    <w:rsid w:val="00401D28"/>
    <w:rsid w:val="004021E8"/>
    <w:rsid w:val="00402ECE"/>
    <w:rsid w:val="00404FE4"/>
    <w:rsid w:val="004056C4"/>
    <w:rsid w:val="004075DC"/>
    <w:rsid w:val="00410FE2"/>
    <w:rsid w:val="00412133"/>
    <w:rsid w:val="0041658C"/>
    <w:rsid w:val="00417996"/>
    <w:rsid w:val="00420E53"/>
    <w:rsid w:val="00426E03"/>
    <w:rsid w:val="00427C5D"/>
    <w:rsid w:val="00430215"/>
    <w:rsid w:val="004307BA"/>
    <w:rsid w:val="00430958"/>
    <w:rsid w:val="00432E22"/>
    <w:rsid w:val="00436602"/>
    <w:rsid w:val="00441F57"/>
    <w:rsid w:val="004430C0"/>
    <w:rsid w:val="0044653E"/>
    <w:rsid w:val="00451088"/>
    <w:rsid w:val="0045340E"/>
    <w:rsid w:val="004548C6"/>
    <w:rsid w:val="004555D6"/>
    <w:rsid w:val="00455CFD"/>
    <w:rsid w:val="004605C1"/>
    <w:rsid w:val="0046207F"/>
    <w:rsid w:val="0046291D"/>
    <w:rsid w:val="0046535C"/>
    <w:rsid w:val="00466C80"/>
    <w:rsid w:val="004702F7"/>
    <w:rsid w:val="00474098"/>
    <w:rsid w:val="00474410"/>
    <w:rsid w:val="004745FF"/>
    <w:rsid w:val="00475A26"/>
    <w:rsid w:val="00475CE7"/>
    <w:rsid w:val="00477CA0"/>
    <w:rsid w:val="0048366E"/>
    <w:rsid w:val="00487BE6"/>
    <w:rsid w:val="00490058"/>
    <w:rsid w:val="00491C45"/>
    <w:rsid w:val="00492377"/>
    <w:rsid w:val="0049240D"/>
    <w:rsid w:val="00492CD9"/>
    <w:rsid w:val="00492F5B"/>
    <w:rsid w:val="004A5D01"/>
    <w:rsid w:val="004A6C19"/>
    <w:rsid w:val="004B191F"/>
    <w:rsid w:val="004B5904"/>
    <w:rsid w:val="004B6742"/>
    <w:rsid w:val="004B72AA"/>
    <w:rsid w:val="004C44DE"/>
    <w:rsid w:val="004C6B7D"/>
    <w:rsid w:val="004C7588"/>
    <w:rsid w:val="004C775B"/>
    <w:rsid w:val="004C7DCB"/>
    <w:rsid w:val="004C7F29"/>
    <w:rsid w:val="004C7FB9"/>
    <w:rsid w:val="004D116C"/>
    <w:rsid w:val="004D19F8"/>
    <w:rsid w:val="004D62FA"/>
    <w:rsid w:val="004D64B7"/>
    <w:rsid w:val="004D7DC8"/>
    <w:rsid w:val="004E103E"/>
    <w:rsid w:val="004E212A"/>
    <w:rsid w:val="004E2E1E"/>
    <w:rsid w:val="004E51C0"/>
    <w:rsid w:val="004E6313"/>
    <w:rsid w:val="004E6502"/>
    <w:rsid w:val="004F0D1B"/>
    <w:rsid w:val="004F0FED"/>
    <w:rsid w:val="004F1789"/>
    <w:rsid w:val="004F18A3"/>
    <w:rsid w:val="004F2416"/>
    <w:rsid w:val="004F4AC0"/>
    <w:rsid w:val="004F5600"/>
    <w:rsid w:val="004F56A9"/>
    <w:rsid w:val="004F69DB"/>
    <w:rsid w:val="004F6BA1"/>
    <w:rsid w:val="004F6DC9"/>
    <w:rsid w:val="00500737"/>
    <w:rsid w:val="0050195C"/>
    <w:rsid w:val="005031E4"/>
    <w:rsid w:val="00503707"/>
    <w:rsid w:val="005040F0"/>
    <w:rsid w:val="0050580A"/>
    <w:rsid w:val="005069B3"/>
    <w:rsid w:val="00515BB7"/>
    <w:rsid w:val="00524331"/>
    <w:rsid w:val="00524C95"/>
    <w:rsid w:val="00524F4B"/>
    <w:rsid w:val="00530FBA"/>
    <w:rsid w:val="00531141"/>
    <w:rsid w:val="00531221"/>
    <w:rsid w:val="0053394B"/>
    <w:rsid w:val="00534537"/>
    <w:rsid w:val="005359AB"/>
    <w:rsid w:val="005370F0"/>
    <w:rsid w:val="0054257F"/>
    <w:rsid w:val="005461C8"/>
    <w:rsid w:val="005478FF"/>
    <w:rsid w:val="00550888"/>
    <w:rsid w:val="0055182A"/>
    <w:rsid w:val="0055520F"/>
    <w:rsid w:val="005578EF"/>
    <w:rsid w:val="005614F9"/>
    <w:rsid w:val="005646E3"/>
    <w:rsid w:val="00564967"/>
    <w:rsid w:val="005651FB"/>
    <w:rsid w:val="0057187A"/>
    <w:rsid w:val="0057300C"/>
    <w:rsid w:val="00577A1D"/>
    <w:rsid w:val="00577BDC"/>
    <w:rsid w:val="00584E1B"/>
    <w:rsid w:val="005857BC"/>
    <w:rsid w:val="005869B0"/>
    <w:rsid w:val="00587103"/>
    <w:rsid w:val="005877B3"/>
    <w:rsid w:val="00594180"/>
    <w:rsid w:val="005950B6"/>
    <w:rsid w:val="00596678"/>
    <w:rsid w:val="005A1FA7"/>
    <w:rsid w:val="005A202A"/>
    <w:rsid w:val="005A5A43"/>
    <w:rsid w:val="005A5E9C"/>
    <w:rsid w:val="005A5ECB"/>
    <w:rsid w:val="005B406E"/>
    <w:rsid w:val="005B6ED4"/>
    <w:rsid w:val="005C01F8"/>
    <w:rsid w:val="005C4897"/>
    <w:rsid w:val="005C7495"/>
    <w:rsid w:val="005C7B3C"/>
    <w:rsid w:val="005D03DC"/>
    <w:rsid w:val="005D0F02"/>
    <w:rsid w:val="005D24F3"/>
    <w:rsid w:val="005D36AF"/>
    <w:rsid w:val="005D5857"/>
    <w:rsid w:val="005D6289"/>
    <w:rsid w:val="005E0495"/>
    <w:rsid w:val="005E3A86"/>
    <w:rsid w:val="005E4E2A"/>
    <w:rsid w:val="005E564A"/>
    <w:rsid w:val="005E5B42"/>
    <w:rsid w:val="005F4BAC"/>
    <w:rsid w:val="005F7AA4"/>
    <w:rsid w:val="005F7D8C"/>
    <w:rsid w:val="00601813"/>
    <w:rsid w:val="00603818"/>
    <w:rsid w:val="00603C36"/>
    <w:rsid w:val="0060474A"/>
    <w:rsid w:val="00605205"/>
    <w:rsid w:val="00605392"/>
    <w:rsid w:val="00607E41"/>
    <w:rsid w:val="00610EFE"/>
    <w:rsid w:val="006161FA"/>
    <w:rsid w:val="00616D22"/>
    <w:rsid w:val="006271FE"/>
    <w:rsid w:val="0063209B"/>
    <w:rsid w:val="006324A6"/>
    <w:rsid w:val="006342F8"/>
    <w:rsid w:val="00635FF0"/>
    <w:rsid w:val="00644198"/>
    <w:rsid w:val="00644C1C"/>
    <w:rsid w:val="00645C5A"/>
    <w:rsid w:val="00652176"/>
    <w:rsid w:val="00655D1A"/>
    <w:rsid w:val="00661230"/>
    <w:rsid w:val="00662497"/>
    <w:rsid w:val="00663581"/>
    <w:rsid w:val="00665E03"/>
    <w:rsid w:val="00666DC9"/>
    <w:rsid w:val="006677F8"/>
    <w:rsid w:val="006719A7"/>
    <w:rsid w:val="00672EF3"/>
    <w:rsid w:val="00676CCD"/>
    <w:rsid w:val="006826CD"/>
    <w:rsid w:val="006827A9"/>
    <w:rsid w:val="00684091"/>
    <w:rsid w:val="00684B5E"/>
    <w:rsid w:val="00685438"/>
    <w:rsid w:val="0068771D"/>
    <w:rsid w:val="00687A2C"/>
    <w:rsid w:val="0069497C"/>
    <w:rsid w:val="00696B6B"/>
    <w:rsid w:val="00696D23"/>
    <w:rsid w:val="006A17D4"/>
    <w:rsid w:val="006A315D"/>
    <w:rsid w:val="006A4C18"/>
    <w:rsid w:val="006A5AFD"/>
    <w:rsid w:val="006A75B3"/>
    <w:rsid w:val="006B1E75"/>
    <w:rsid w:val="006B5AB9"/>
    <w:rsid w:val="006C0BB2"/>
    <w:rsid w:val="006C0BB3"/>
    <w:rsid w:val="006C6EB7"/>
    <w:rsid w:val="006D09CF"/>
    <w:rsid w:val="006D17DD"/>
    <w:rsid w:val="006D2FD3"/>
    <w:rsid w:val="006E020A"/>
    <w:rsid w:val="006E2251"/>
    <w:rsid w:val="006E312F"/>
    <w:rsid w:val="006E4ADF"/>
    <w:rsid w:val="006E50C8"/>
    <w:rsid w:val="006E685A"/>
    <w:rsid w:val="006E7AE1"/>
    <w:rsid w:val="006F20FB"/>
    <w:rsid w:val="006F21CE"/>
    <w:rsid w:val="006F5D18"/>
    <w:rsid w:val="00700314"/>
    <w:rsid w:val="007005A1"/>
    <w:rsid w:val="00700A59"/>
    <w:rsid w:val="007035D3"/>
    <w:rsid w:val="007039F0"/>
    <w:rsid w:val="00703B2A"/>
    <w:rsid w:val="00705BE4"/>
    <w:rsid w:val="007066E6"/>
    <w:rsid w:val="0070694C"/>
    <w:rsid w:val="00707835"/>
    <w:rsid w:val="00712E74"/>
    <w:rsid w:val="00713C96"/>
    <w:rsid w:val="00714CDE"/>
    <w:rsid w:val="00715046"/>
    <w:rsid w:val="00717B83"/>
    <w:rsid w:val="00720B29"/>
    <w:rsid w:val="007223AA"/>
    <w:rsid w:val="007240D3"/>
    <w:rsid w:val="00725697"/>
    <w:rsid w:val="00726D5B"/>
    <w:rsid w:val="007311C7"/>
    <w:rsid w:val="00731A20"/>
    <w:rsid w:val="0073244D"/>
    <w:rsid w:val="00733FA0"/>
    <w:rsid w:val="00734B29"/>
    <w:rsid w:val="00744204"/>
    <w:rsid w:val="0075523A"/>
    <w:rsid w:val="0075798E"/>
    <w:rsid w:val="00760BF2"/>
    <w:rsid w:val="007624C1"/>
    <w:rsid w:val="00762C23"/>
    <w:rsid w:val="0076300D"/>
    <w:rsid w:val="00767EAD"/>
    <w:rsid w:val="00770471"/>
    <w:rsid w:val="00771A9E"/>
    <w:rsid w:val="00773337"/>
    <w:rsid w:val="00774C8A"/>
    <w:rsid w:val="007813F8"/>
    <w:rsid w:val="0078254E"/>
    <w:rsid w:val="007867EA"/>
    <w:rsid w:val="0079161D"/>
    <w:rsid w:val="00792BA7"/>
    <w:rsid w:val="007948B1"/>
    <w:rsid w:val="00794F10"/>
    <w:rsid w:val="00795029"/>
    <w:rsid w:val="00795653"/>
    <w:rsid w:val="00795F5A"/>
    <w:rsid w:val="007A2258"/>
    <w:rsid w:val="007A4317"/>
    <w:rsid w:val="007A5734"/>
    <w:rsid w:val="007A58ED"/>
    <w:rsid w:val="007A7416"/>
    <w:rsid w:val="007B0DCA"/>
    <w:rsid w:val="007B2740"/>
    <w:rsid w:val="007B7E28"/>
    <w:rsid w:val="007C2020"/>
    <w:rsid w:val="007C25C9"/>
    <w:rsid w:val="007C50A8"/>
    <w:rsid w:val="007C6751"/>
    <w:rsid w:val="007C7A2F"/>
    <w:rsid w:val="007C7E05"/>
    <w:rsid w:val="007D071D"/>
    <w:rsid w:val="007D46E4"/>
    <w:rsid w:val="007D4F6A"/>
    <w:rsid w:val="007D5670"/>
    <w:rsid w:val="007D7F0D"/>
    <w:rsid w:val="007E15B5"/>
    <w:rsid w:val="007E173F"/>
    <w:rsid w:val="007E1AD1"/>
    <w:rsid w:val="007E5666"/>
    <w:rsid w:val="007F2276"/>
    <w:rsid w:val="007F4CD6"/>
    <w:rsid w:val="007F6C41"/>
    <w:rsid w:val="008037BE"/>
    <w:rsid w:val="00803962"/>
    <w:rsid w:val="00804376"/>
    <w:rsid w:val="00804530"/>
    <w:rsid w:val="00804A63"/>
    <w:rsid w:val="00807ED6"/>
    <w:rsid w:val="0081237C"/>
    <w:rsid w:val="00813914"/>
    <w:rsid w:val="00813EC7"/>
    <w:rsid w:val="00814787"/>
    <w:rsid w:val="00821454"/>
    <w:rsid w:val="00824909"/>
    <w:rsid w:val="00824D45"/>
    <w:rsid w:val="00824DBF"/>
    <w:rsid w:val="00824EC1"/>
    <w:rsid w:val="00826E10"/>
    <w:rsid w:val="0082712A"/>
    <w:rsid w:val="0083080C"/>
    <w:rsid w:val="00831672"/>
    <w:rsid w:val="00831955"/>
    <w:rsid w:val="00834963"/>
    <w:rsid w:val="008353B8"/>
    <w:rsid w:val="00835B83"/>
    <w:rsid w:val="00835BAB"/>
    <w:rsid w:val="00841D99"/>
    <w:rsid w:val="00842ABB"/>
    <w:rsid w:val="008449CF"/>
    <w:rsid w:val="00852247"/>
    <w:rsid w:val="0085371D"/>
    <w:rsid w:val="00854BAC"/>
    <w:rsid w:val="00860368"/>
    <w:rsid w:val="0086268B"/>
    <w:rsid w:val="0086598A"/>
    <w:rsid w:val="00871367"/>
    <w:rsid w:val="00871831"/>
    <w:rsid w:val="008724A3"/>
    <w:rsid w:val="00872AAC"/>
    <w:rsid w:val="00874E25"/>
    <w:rsid w:val="00875CD6"/>
    <w:rsid w:val="008769D3"/>
    <w:rsid w:val="00881F7D"/>
    <w:rsid w:val="008856DE"/>
    <w:rsid w:val="00886DB7"/>
    <w:rsid w:val="00892BD0"/>
    <w:rsid w:val="00892C97"/>
    <w:rsid w:val="0089433F"/>
    <w:rsid w:val="008969F1"/>
    <w:rsid w:val="0089711A"/>
    <w:rsid w:val="008A0B68"/>
    <w:rsid w:val="008A33EF"/>
    <w:rsid w:val="008A37E9"/>
    <w:rsid w:val="008B0DBD"/>
    <w:rsid w:val="008B12EA"/>
    <w:rsid w:val="008B5007"/>
    <w:rsid w:val="008B77A6"/>
    <w:rsid w:val="008B7AA8"/>
    <w:rsid w:val="008C0332"/>
    <w:rsid w:val="008C1CDE"/>
    <w:rsid w:val="008C34BA"/>
    <w:rsid w:val="008C6563"/>
    <w:rsid w:val="008D3C77"/>
    <w:rsid w:val="008D3D0D"/>
    <w:rsid w:val="008D5FB4"/>
    <w:rsid w:val="008D71CF"/>
    <w:rsid w:val="008E452F"/>
    <w:rsid w:val="008E7A3B"/>
    <w:rsid w:val="008E7D81"/>
    <w:rsid w:val="008F0E1E"/>
    <w:rsid w:val="008F128E"/>
    <w:rsid w:val="008F202F"/>
    <w:rsid w:val="008F44FE"/>
    <w:rsid w:val="008F5EFF"/>
    <w:rsid w:val="00903B77"/>
    <w:rsid w:val="00907804"/>
    <w:rsid w:val="00910D14"/>
    <w:rsid w:val="009139D5"/>
    <w:rsid w:val="00914BBB"/>
    <w:rsid w:val="009226B0"/>
    <w:rsid w:val="00926035"/>
    <w:rsid w:val="00931E90"/>
    <w:rsid w:val="00932631"/>
    <w:rsid w:val="0093560F"/>
    <w:rsid w:val="009374A4"/>
    <w:rsid w:val="00941BF0"/>
    <w:rsid w:val="00941EE4"/>
    <w:rsid w:val="00944284"/>
    <w:rsid w:val="009521B8"/>
    <w:rsid w:val="00954C7E"/>
    <w:rsid w:val="00957A40"/>
    <w:rsid w:val="00960D5D"/>
    <w:rsid w:val="0096280B"/>
    <w:rsid w:val="00971433"/>
    <w:rsid w:val="00971C65"/>
    <w:rsid w:val="00972916"/>
    <w:rsid w:val="00976A5E"/>
    <w:rsid w:val="0097773D"/>
    <w:rsid w:val="00981608"/>
    <w:rsid w:val="00981FE0"/>
    <w:rsid w:val="00982EF1"/>
    <w:rsid w:val="00986298"/>
    <w:rsid w:val="00987B8F"/>
    <w:rsid w:val="00990F05"/>
    <w:rsid w:val="00996D70"/>
    <w:rsid w:val="00997EA9"/>
    <w:rsid w:val="009A1ABB"/>
    <w:rsid w:val="009A38A8"/>
    <w:rsid w:val="009A5D51"/>
    <w:rsid w:val="009B1637"/>
    <w:rsid w:val="009B303E"/>
    <w:rsid w:val="009B4EAE"/>
    <w:rsid w:val="009B7520"/>
    <w:rsid w:val="009B7642"/>
    <w:rsid w:val="009B785A"/>
    <w:rsid w:val="009C1F43"/>
    <w:rsid w:val="009C2266"/>
    <w:rsid w:val="009C4480"/>
    <w:rsid w:val="009C44D1"/>
    <w:rsid w:val="009C4F87"/>
    <w:rsid w:val="009C500C"/>
    <w:rsid w:val="009C55C1"/>
    <w:rsid w:val="009C730F"/>
    <w:rsid w:val="009C7B69"/>
    <w:rsid w:val="009D24DE"/>
    <w:rsid w:val="009D280A"/>
    <w:rsid w:val="009D537B"/>
    <w:rsid w:val="009D63F0"/>
    <w:rsid w:val="009D716F"/>
    <w:rsid w:val="009D791D"/>
    <w:rsid w:val="009E17D3"/>
    <w:rsid w:val="009E498C"/>
    <w:rsid w:val="009E7CF6"/>
    <w:rsid w:val="009F4753"/>
    <w:rsid w:val="009F5139"/>
    <w:rsid w:val="009F5359"/>
    <w:rsid w:val="009F5B38"/>
    <w:rsid w:val="00A0009A"/>
    <w:rsid w:val="00A014D8"/>
    <w:rsid w:val="00A016FE"/>
    <w:rsid w:val="00A036B2"/>
    <w:rsid w:val="00A07650"/>
    <w:rsid w:val="00A1194F"/>
    <w:rsid w:val="00A12202"/>
    <w:rsid w:val="00A14FAB"/>
    <w:rsid w:val="00A16C94"/>
    <w:rsid w:val="00A23BD2"/>
    <w:rsid w:val="00A25828"/>
    <w:rsid w:val="00A260B5"/>
    <w:rsid w:val="00A26762"/>
    <w:rsid w:val="00A34B0E"/>
    <w:rsid w:val="00A34E57"/>
    <w:rsid w:val="00A35865"/>
    <w:rsid w:val="00A36C17"/>
    <w:rsid w:val="00A37FEC"/>
    <w:rsid w:val="00A42553"/>
    <w:rsid w:val="00A45831"/>
    <w:rsid w:val="00A461E6"/>
    <w:rsid w:val="00A50377"/>
    <w:rsid w:val="00A53617"/>
    <w:rsid w:val="00A53B5E"/>
    <w:rsid w:val="00A54357"/>
    <w:rsid w:val="00A5600E"/>
    <w:rsid w:val="00A57841"/>
    <w:rsid w:val="00A57F73"/>
    <w:rsid w:val="00A62637"/>
    <w:rsid w:val="00A6369D"/>
    <w:rsid w:val="00A658DE"/>
    <w:rsid w:val="00A665E7"/>
    <w:rsid w:val="00A70110"/>
    <w:rsid w:val="00A70BCE"/>
    <w:rsid w:val="00A72F5A"/>
    <w:rsid w:val="00A73CFE"/>
    <w:rsid w:val="00A7461E"/>
    <w:rsid w:val="00A74F51"/>
    <w:rsid w:val="00A75335"/>
    <w:rsid w:val="00A75A7D"/>
    <w:rsid w:val="00A75B31"/>
    <w:rsid w:val="00A76C4A"/>
    <w:rsid w:val="00A85C59"/>
    <w:rsid w:val="00A85DE3"/>
    <w:rsid w:val="00A85F96"/>
    <w:rsid w:val="00A86386"/>
    <w:rsid w:val="00A870B9"/>
    <w:rsid w:val="00A87E17"/>
    <w:rsid w:val="00A909A6"/>
    <w:rsid w:val="00A92245"/>
    <w:rsid w:val="00A93B14"/>
    <w:rsid w:val="00A953BB"/>
    <w:rsid w:val="00A96D8E"/>
    <w:rsid w:val="00A97316"/>
    <w:rsid w:val="00AA1471"/>
    <w:rsid w:val="00AA302B"/>
    <w:rsid w:val="00AA3536"/>
    <w:rsid w:val="00AA3FAE"/>
    <w:rsid w:val="00AA45F8"/>
    <w:rsid w:val="00AA506B"/>
    <w:rsid w:val="00AA64D0"/>
    <w:rsid w:val="00AA6AC6"/>
    <w:rsid w:val="00AA73E7"/>
    <w:rsid w:val="00AB01DF"/>
    <w:rsid w:val="00AB1A17"/>
    <w:rsid w:val="00AB721A"/>
    <w:rsid w:val="00AB75E1"/>
    <w:rsid w:val="00AB7FDB"/>
    <w:rsid w:val="00AC1940"/>
    <w:rsid w:val="00AC4141"/>
    <w:rsid w:val="00AC4B61"/>
    <w:rsid w:val="00AC4F13"/>
    <w:rsid w:val="00AC6C7F"/>
    <w:rsid w:val="00AD0CD7"/>
    <w:rsid w:val="00AD4817"/>
    <w:rsid w:val="00AD5524"/>
    <w:rsid w:val="00AD57A7"/>
    <w:rsid w:val="00AD6D2A"/>
    <w:rsid w:val="00AE14A8"/>
    <w:rsid w:val="00AE18DC"/>
    <w:rsid w:val="00AE3D88"/>
    <w:rsid w:val="00AE4C97"/>
    <w:rsid w:val="00AE6CE5"/>
    <w:rsid w:val="00AE708A"/>
    <w:rsid w:val="00AF2FAF"/>
    <w:rsid w:val="00AF46AE"/>
    <w:rsid w:val="00AF4F6E"/>
    <w:rsid w:val="00AF52C5"/>
    <w:rsid w:val="00AF71D8"/>
    <w:rsid w:val="00B00E84"/>
    <w:rsid w:val="00B013DE"/>
    <w:rsid w:val="00B026B8"/>
    <w:rsid w:val="00B02717"/>
    <w:rsid w:val="00B06908"/>
    <w:rsid w:val="00B06BFC"/>
    <w:rsid w:val="00B07928"/>
    <w:rsid w:val="00B11B41"/>
    <w:rsid w:val="00B12980"/>
    <w:rsid w:val="00B134A4"/>
    <w:rsid w:val="00B20B3C"/>
    <w:rsid w:val="00B24E69"/>
    <w:rsid w:val="00B332A1"/>
    <w:rsid w:val="00B3593D"/>
    <w:rsid w:val="00B37874"/>
    <w:rsid w:val="00B42932"/>
    <w:rsid w:val="00B44F96"/>
    <w:rsid w:val="00B45242"/>
    <w:rsid w:val="00B45CAB"/>
    <w:rsid w:val="00B46EB1"/>
    <w:rsid w:val="00B5015C"/>
    <w:rsid w:val="00B511F2"/>
    <w:rsid w:val="00B515E0"/>
    <w:rsid w:val="00B52B9C"/>
    <w:rsid w:val="00B54C71"/>
    <w:rsid w:val="00B55314"/>
    <w:rsid w:val="00B55C36"/>
    <w:rsid w:val="00B5738E"/>
    <w:rsid w:val="00B62E43"/>
    <w:rsid w:val="00B62FB5"/>
    <w:rsid w:val="00B6396B"/>
    <w:rsid w:val="00B65DD0"/>
    <w:rsid w:val="00B66A6B"/>
    <w:rsid w:val="00B70E73"/>
    <w:rsid w:val="00B71EE5"/>
    <w:rsid w:val="00B771FE"/>
    <w:rsid w:val="00B773A1"/>
    <w:rsid w:val="00B77436"/>
    <w:rsid w:val="00B82922"/>
    <w:rsid w:val="00B93FF0"/>
    <w:rsid w:val="00BA24F9"/>
    <w:rsid w:val="00BA2F41"/>
    <w:rsid w:val="00BA3917"/>
    <w:rsid w:val="00BA6807"/>
    <w:rsid w:val="00BA7316"/>
    <w:rsid w:val="00BB13A6"/>
    <w:rsid w:val="00BB3E2D"/>
    <w:rsid w:val="00BB431C"/>
    <w:rsid w:val="00BB6805"/>
    <w:rsid w:val="00BB7967"/>
    <w:rsid w:val="00BC4300"/>
    <w:rsid w:val="00BC694E"/>
    <w:rsid w:val="00BD05B9"/>
    <w:rsid w:val="00BD2F4B"/>
    <w:rsid w:val="00BD43EF"/>
    <w:rsid w:val="00BD7BD8"/>
    <w:rsid w:val="00BE0882"/>
    <w:rsid w:val="00BE2DC5"/>
    <w:rsid w:val="00BE35C5"/>
    <w:rsid w:val="00BE4F6F"/>
    <w:rsid w:val="00BE5ADA"/>
    <w:rsid w:val="00BF02B7"/>
    <w:rsid w:val="00BF36C1"/>
    <w:rsid w:val="00BF555B"/>
    <w:rsid w:val="00C00211"/>
    <w:rsid w:val="00C00ABF"/>
    <w:rsid w:val="00C01644"/>
    <w:rsid w:val="00C01D1D"/>
    <w:rsid w:val="00C02983"/>
    <w:rsid w:val="00C03017"/>
    <w:rsid w:val="00C04B59"/>
    <w:rsid w:val="00C059B4"/>
    <w:rsid w:val="00C068F9"/>
    <w:rsid w:val="00C07653"/>
    <w:rsid w:val="00C10FEA"/>
    <w:rsid w:val="00C110A1"/>
    <w:rsid w:val="00C1396A"/>
    <w:rsid w:val="00C13C1C"/>
    <w:rsid w:val="00C14BE1"/>
    <w:rsid w:val="00C16922"/>
    <w:rsid w:val="00C17370"/>
    <w:rsid w:val="00C216BA"/>
    <w:rsid w:val="00C21800"/>
    <w:rsid w:val="00C225CE"/>
    <w:rsid w:val="00C24656"/>
    <w:rsid w:val="00C250EC"/>
    <w:rsid w:val="00C27971"/>
    <w:rsid w:val="00C27D2D"/>
    <w:rsid w:val="00C316C6"/>
    <w:rsid w:val="00C31A7B"/>
    <w:rsid w:val="00C31C4F"/>
    <w:rsid w:val="00C32A87"/>
    <w:rsid w:val="00C3583B"/>
    <w:rsid w:val="00C3666F"/>
    <w:rsid w:val="00C37339"/>
    <w:rsid w:val="00C40F19"/>
    <w:rsid w:val="00C420BC"/>
    <w:rsid w:val="00C427AB"/>
    <w:rsid w:val="00C46D87"/>
    <w:rsid w:val="00C53AAC"/>
    <w:rsid w:val="00C54A6C"/>
    <w:rsid w:val="00C6185C"/>
    <w:rsid w:val="00C627B7"/>
    <w:rsid w:val="00C65324"/>
    <w:rsid w:val="00C67A35"/>
    <w:rsid w:val="00C71701"/>
    <w:rsid w:val="00C73CA8"/>
    <w:rsid w:val="00C7500B"/>
    <w:rsid w:val="00C756CD"/>
    <w:rsid w:val="00C8254F"/>
    <w:rsid w:val="00C8302B"/>
    <w:rsid w:val="00C837CB"/>
    <w:rsid w:val="00C84488"/>
    <w:rsid w:val="00C87D7C"/>
    <w:rsid w:val="00C938C6"/>
    <w:rsid w:val="00C95F39"/>
    <w:rsid w:val="00C96898"/>
    <w:rsid w:val="00CA1149"/>
    <w:rsid w:val="00CA1FD4"/>
    <w:rsid w:val="00CA29BB"/>
    <w:rsid w:val="00CA2BFB"/>
    <w:rsid w:val="00CA4E19"/>
    <w:rsid w:val="00CB4060"/>
    <w:rsid w:val="00CB7835"/>
    <w:rsid w:val="00CC1D10"/>
    <w:rsid w:val="00CC59AD"/>
    <w:rsid w:val="00CC71B9"/>
    <w:rsid w:val="00CD1763"/>
    <w:rsid w:val="00CD19B3"/>
    <w:rsid w:val="00CD66EE"/>
    <w:rsid w:val="00CE10F7"/>
    <w:rsid w:val="00CE20BC"/>
    <w:rsid w:val="00CE419A"/>
    <w:rsid w:val="00CE43E2"/>
    <w:rsid w:val="00CE62B9"/>
    <w:rsid w:val="00CF70AD"/>
    <w:rsid w:val="00D00034"/>
    <w:rsid w:val="00D01A3E"/>
    <w:rsid w:val="00D0204F"/>
    <w:rsid w:val="00D067DE"/>
    <w:rsid w:val="00D1369F"/>
    <w:rsid w:val="00D1383A"/>
    <w:rsid w:val="00D13E80"/>
    <w:rsid w:val="00D15FC8"/>
    <w:rsid w:val="00D17442"/>
    <w:rsid w:val="00D17447"/>
    <w:rsid w:val="00D174C4"/>
    <w:rsid w:val="00D21226"/>
    <w:rsid w:val="00D21A8B"/>
    <w:rsid w:val="00D21CD2"/>
    <w:rsid w:val="00D25A89"/>
    <w:rsid w:val="00D270B5"/>
    <w:rsid w:val="00D30F30"/>
    <w:rsid w:val="00D320F9"/>
    <w:rsid w:val="00D36B76"/>
    <w:rsid w:val="00D43779"/>
    <w:rsid w:val="00D453C9"/>
    <w:rsid w:val="00D46964"/>
    <w:rsid w:val="00D5199F"/>
    <w:rsid w:val="00D53ECF"/>
    <w:rsid w:val="00D54A0E"/>
    <w:rsid w:val="00D55223"/>
    <w:rsid w:val="00D5704E"/>
    <w:rsid w:val="00D60625"/>
    <w:rsid w:val="00D61982"/>
    <w:rsid w:val="00D636FB"/>
    <w:rsid w:val="00D64FA8"/>
    <w:rsid w:val="00D653C2"/>
    <w:rsid w:val="00D65BCE"/>
    <w:rsid w:val="00D66E00"/>
    <w:rsid w:val="00D72F83"/>
    <w:rsid w:val="00D76639"/>
    <w:rsid w:val="00D77F9E"/>
    <w:rsid w:val="00D83527"/>
    <w:rsid w:val="00D85817"/>
    <w:rsid w:val="00D8606B"/>
    <w:rsid w:val="00D953FD"/>
    <w:rsid w:val="00DA275D"/>
    <w:rsid w:val="00DA55CF"/>
    <w:rsid w:val="00DB009D"/>
    <w:rsid w:val="00DB0316"/>
    <w:rsid w:val="00DB2013"/>
    <w:rsid w:val="00DB36A1"/>
    <w:rsid w:val="00DB786D"/>
    <w:rsid w:val="00DB7E6A"/>
    <w:rsid w:val="00DC21D1"/>
    <w:rsid w:val="00DC64DC"/>
    <w:rsid w:val="00DC72D7"/>
    <w:rsid w:val="00DD05BA"/>
    <w:rsid w:val="00DD0762"/>
    <w:rsid w:val="00DD0E57"/>
    <w:rsid w:val="00DD166E"/>
    <w:rsid w:val="00DD2BE8"/>
    <w:rsid w:val="00DD3114"/>
    <w:rsid w:val="00DE02D2"/>
    <w:rsid w:val="00DE2A76"/>
    <w:rsid w:val="00DE31A6"/>
    <w:rsid w:val="00DE3EB7"/>
    <w:rsid w:val="00DE56CE"/>
    <w:rsid w:val="00DE5CD6"/>
    <w:rsid w:val="00DE73CF"/>
    <w:rsid w:val="00DE7611"/>
    <w:rsid w:val="00DE7852"/>
    <w:rsid w:val="00DF0621"/>
    <w:rsid w:val="00DF3376"/>
    <w:rsid w:val="00E000E1"/>
    <w:rsid w:val="00E01AF5"/>
    <w:rsid w:val="00E01C8D"/>
    <w:rsid w:val="00E02E08"/>
    <w:rsid w:val="00E02FF8"/>
    <w:rsid w:val="00E03B95"/>
    <w:rsid w:val="00E05690"/>
    <w:rsid w:val="00E076BE"/>
    <w:rsid w:val="00E07E6F"/>
    <w:rsid w:val="00E11346"/>
    <w:rsid w:val="00E11D81"/>
    <w:rsid w:val="00E15E8C"/>
    <w:rsid w:val="00E16AB9"/>
    <w:rsid w:val="00E17CB1"/>
    <w:rsid w:val="00E23F60"/>
    <w:rsid w:val="00E27668"/>
    <w:rsid w:val="00E27782"/>
    <w:rsid w:val="00E31001"/>
    <w:rsid w:val="00E32CB7"/>
    <w:rsid w:val="00E41E35"/>
    <w:rsid w:val="00E4395D"/>
    <w:rsid w:val="00E469A4"/>
    <w:rsid w:val="00E4714E"/>
    <w:rsid w:val="00E47A3B"/>
    <w:rsid w:val="00E52C6A"/>
    <w:rsid w:val="00E61B4B"/>
    <w:rsid w:val="00E635E7"/>
    <w:rsid w:val="00E63FB8"/>
    <w:rsid w:val="00E64CDE"/>
    <w:rsid w:val="00E65DBF"/>
    <w:rsid w:val="00E661C4"/>
    <w:rsid w:val="00E720E5"/>
    <w:rsid w:val="00E73859"/>
    <w:rsid w:val="00E73CEF"/>
    <w:rsid w:val="00E748DA"/>
    <w:rsid w:val="00E75DD8"/>
    <w:rsid w:val="00E7688D"/>
    <w:rsid w:val="00E80C83"/>
    <w:rsid w:val="00E83F3E"/>
    <w:rsid w:val="00E8498E"/>
    <w:rsid w:val="00E90439"/>
    <w:rsid w:val="00E91333"/>
    <w:rsid w:val="00E93016"/>
    <w:rsid w:val="00E95609"/>
    <w:rsid w:val="00E95FE0"/>
    <w:rsid w:val="00EA09AF"/>
    <w:rsid w:val="00EA0E38"/>
    <w:rsid w:val="00EA25E6"/>
    <w:rsid w:val="00EA5996"/>
    <w:rsid w:val="00EA72D3"/>
    <w:rsid w:val="00EA74D0"/>
    <w:rsid w:val="00EB17D3"/>
    <w:rsid w:val="00EB3C78"/>
    <w:rsid w:val="00EC1267"/>
    <w:rsid w:val="00EC75D7"/>
    <w:rsid w:val="00ED38F2"/>
    <w:rsid w:val="00ED3F27"/>
    <w:rsid w:val="00ED43A7"/>
    <w:rsid w:val="00ED4F0E"/>
    <w:rsid w:val="00ED6060"/>
    <w:rsid w:val="00EE11D3"/>
    <w:rsid w:val="00EE5584"/>
    <w:rsid w:val="00EE6625"/>
    <w:rsid w:val="00EE75EC"/>
    <w:rsid w:val="00EE7D23"/>
    <w:rsid w:val="00EF1D83"/>
    <w:rsid w:val="00EF4418"/>
    <w:rsid w:val="00F0145A"/>
    <w:rsid w:val="00F01532"/>
    <w:rsid w:val="00F01DCF"/>
    <w:rsid w:val="00F02ABA"/>
    <w:rsid w:val="00F02D85"/>
    <w:rsid w:val="00F1034F"/>
    <w:rsid w:val="00F105BF"/>
    <w:rsid w:val="00F1238E"/>
    <w:rsid w:val="00F13390"/>
    <w:rsid w:val="00F157B7"/>
    <w:rsid w:val="00F2163F"/>
    <w:rsid w:val="00F27EF2"/>
    <w:rsid w:val="00F3034C"/>
    <w:rsid w:val="00F31C15"/>
    <w:rsid w:val="00F32D9F"/>
    <w:rsid w:val="00F3482D"/>
    <w:rsid w:val="00F35323"/>
    <w:rsid w:val="00F40669"/>
    <w:rsid w:val="00F41665"/>
    <w:rsid w:val="00F428FA"/>
    <w:rsid w:val="00F45C32"/>
    <w:rsid w:val="00F521E1"/>
    <w:rsid w:val="00F5347A"/>
    <w:rsid w:val="00F56CF4"/>
    <w:rsid w:val="00F611A4"/>
    <w:rsid w:val="00F629BE"/>
    <w:rsid w:val="00F6502A"/>
    <w:rsid w:val="00F72507"/>
    <w:rsid w:val="00F73815"/>
    <w:rsid w:val="00F7451E"/>
    <w:rsid w:val="00F7533E"/>
    <w:rsid w:val="00F82ADA"/>
    <w:rsid w:val="00F83343"/>
    <w:rsid w:val="00F837F6"/>
    <w:rsid w:val="00F84BCF"/>
    <w:rsid w:val="00F84F19"/>
    <w:rsid w:val="00F90945"/>
    <w:rsid w:val="00F90F60"/>
    <w:rsid w:val="00F927E4"/>
    <w:rsid w:val="00F92BFA"/>
    <w:rsid w:val="00FA52AF"/>
    <w:rsid w:val="00FB0C4F"/>
    <w:rsid w:val="00FB1BBB"/>
    <w:rsid w:val="00FB716A"/>
    <w:rsid w:val="00FB7E4A"/>
    <w:rsid w:val="00FC5D3D"/>
    <w:rsid w:val="00FC7E62"/>
    <w:rsid w:val="00FD0A94"/>
    <w:rsid w:val="00FD11C8"/>
    <w:rsid w:val="00FD239F"/>
    <w:rsid w:val="00FD2E49"/>
    <w:rsid w:val="00FE06C4"/>
    <w:rsid w:val="00FE247F"/>
    <w:rsid w:val="00FE24F4"/>
    <w:rsid w:val="00FE3065"/>
    <w:rsid w:val="00FE3078"/>
    <w:rsid w:val="00FE5193"/>
    <w:rsid w:val="00FE5BC4"/>
    <w:rsid w:val="00FE6ED5"/>
    <w:rsid w:val="00FF0353"/>
    <w:rsid w:val="00FF07F1"/>
    <w:rsid w:val="00FF09A8"/>
    <w:rsid w:val="00FF0BA1"/>
    <w:rsid w:val="00FF6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D68AEC-D22A-4E1B-BE39-2E1F71DA7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aliases w:val="Hyperlink"/>
    <w:qFormat/>
    <w:rsid w:val="00926035"/>
    <w:pPr>
      <w:spacing w:after="0" w:line="240" w:lineRule="auto"/>
    </w:pPr>
    <w:rPr>
      <w:rFonts w:ascii="TimesLT" w:eastAsia="Times New Roman" w:hAnsi="TimesLT"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907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B11B41"/>
    <w:pPr>
      <w:spacing w:after="120"/>
      <w:ind w:left="283"/>
    </w:pPr>
    <w:rPr>
      <w:rFonts w:ascii="Times New Roman" w:hAnsi="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B11B41"/>
    <w:rPr>
      <w:rFonts w:ascii="Times New Roman" w:eastAsia="Times New Roman" w:hAnsi="Times New Roman" w:cs="Times New Roman"/>
      <w:sz w:val="24"/>
      <w:szCs w:val="24"/>
    </w:rPr>
  </w:style>
  <w:style w:type="paragraph" w:customStyle="1" w:styleId="BodyText1">
    <w:name w:val="Body Text1"/>
    <w:rsid w:val="001D3EF9"/>
    <w:pPr>
      <w:spacing w:after="0" w:line="240" w:lineRule="auto"/>
      <w:ind w:firstLine="312"/>
      <w:jc w:val="both"/>
    </w:pPr>
    <w:rPr>
      <w:rFonts w:ascii="TimesLT" w:eastAsia="Times New Roman" w:hAnsi="TimesLT" w:cs="Times New Roman"/>
      <w:snapToGrid w:val="0"/>
      <w:sz w:val="20"/>
      <w:szCs w:val="20"/>
      <w:lang w:val="en-US"/>
    </w:rPr>
  </w:style>
  <w:style w:type="paragraph" w:styleId="Antrats">
    <w:name w:val="header"/>
    <w:basedOn w:val="prastasis"/>
    <w:link w:val="AntratsDiagrama"/>
    <w:unhideWhenUsed/>
    <w:rsid w:val="001C51DE"/>
    <w:pPr>
      <w:tabs>
        <w:tab w:val="center" w:pos="4819"/>
        <w:tab w:val="right" w:pos="9638"/>
      </w:tabs>
    </w:pPr>
  </w:style>
  <w:style w:type="character" w:customStyle="1" w:styleId="AntratsDiagrama">
    <w:name w:val="Antraštės Diagrama"/>
    <w:basedOn w:val="Numatytasispastraiposriftas"/>
    <w:link w:val="Antrats"/>
    <w:rsid w:val="001C51DE"/>
    <w:rPr>
      <w:rFonts w:ascii="TimesLT" w:eastAsia="Times New Roman" w:hAnsi="TimesLT" w:cs="Times New Roman"/>
      <w:sz w:val="20"/>
      <w:szCs w:val="20"/>
    </w:rPr>
  </w:style>
  <w:style w:type="paragraph" w:styleId="Porat">
    <w:name w:val="footer"/>
    <w:basedOn w:val="prastasis"/>
    <w:link w:val="PoratDiagrama"/>
    <w:uiPriority w:val="99"/>
    <w:unhideWhenUsed/>
    <w:rsid w:val="001C51DE"/>
    <w:pPr>
      <w:tabs>
        <w:tab w:val="center" w:pos="4819"/>
        <w:tab w:val="right" w:pos="9638"/>
      </w:tabs>
    </w:pPr>
  </w:style>
  <w:style w:type="character" w:customStyle="1" w:styleId="PoratDiagrama">
    <w:name w:val="Poraštė Diagrama"/>
    <w:basedOn w:val="Numatytasispastraiposriftas"/>
    <w:link w:val="Porat"/>
    <w:uiPriority w:val="99"/>
    <w:rsid w:val="001C51DE"/>
    <w:rPr>
      <w:rFonts w:ascii="TimesLT" w:eastAsia="Times New Roman" w:hAnsi="TimesLT" w:cs="Times New Roman"/>
      <w:sz w:val="20"/>
      <w:szCs w:val="20"/>
    </w:rPr>
  </w:style>
  <w:style w:type="paragraph" w:styleId="Sraopastraipa">
    <w:name w:val="List Paragraph"/>
    <w:basedOn w:val="prastasis"/>
    <w:uiPriority w:val="34"/>
    <w:qFormat/>
    <w:rsid w:val="00142EB5"/>
    <w:pPr>
      <w:ind w:left="720"/>
      <w:contextualSpacing/>
    </w:pPr>
  </w:style>
  <w:style w:type="character" w:customStyle="1" w:styleId="Pagrindinistekstas1">
    <w:name w:val="Pagrindinis tekstas1"/>
    <w:basedOn w:val="Numatytasispastraiposriftas"/>
    <w:rsid w:val="00D0204F"/>
    <w:rPr>
      <w:rFonts w:ascii="Times New Roman" w:eastAsia="Times New Roman" w:hAnsi="Times New Roman" w:cs="Times New Roman"/>
      <w:b w:val="0"/>
      <w:bCs w:val="0"/>
      <w:i w:val="0"/>
      <w:iCs w:val="0"/>
      <w:smallCaps w:val="0"/>
      <w:strike/>
      <w:sz w:val="23"/>
      <w:szCs w:val="23"/>
    </w:rPr>
  </w:style>
  <w:style w:type="character" w:customStyle="1" w:styleId="PagrindinistekstasPusjuodis">
    <w:name w:val="Pagrindinis tekstas + Pusjuodis"/>
    <w:basedOn w:val="Numatytasispastraiposriftas"/>
    <w:rsid w:val="00D0204F"/>
    <w:rPr>
      <w:rFonts w:ascii="Times New Roman" w:eastAsia="Times New Roman" w:hAnsi="Times New Roman" w:cs="Times New Roman"/>
      <w:b/>
      <w:bCs/>
      <w:i w:val="0"/>
      <w:iCs w:val="0"/>
      <w:smallCaps w:val="0"/>
      <w:strike w:val="0"/>
      <w:spacing w:val="0"/>
      <w:sz w:val="23"/>
      <w:szCs w:val="23"/>
    </w:rPr>
  </w:style>
  <w:style w:type="character" w:customStyle="1" w:styleId="Pagrindinistekstas">
    <w:name w:val="Pagrindinis tekstas_"/>
    <w:basedOn w:val="Numatytasispastraiposriftas"/>
    <w:rsid w:val="00D0204F"/>
    <w:rPr>
      <w:rFonts w:ascii="Times New Roman" w:eastAsia="Times New Roman" w:hAnsi="Times New Roman" w:cs="Times New Roman"/>
      <w:b w:val="0"/>
      <w:bCs w:val="0"/>
      <w:i w:val="0"/>
      <w:iCs w:val="0"/>
      <w:smallCaps w:val="0"/>
      <w:strike w:val="0"/>
      <w:sz w:val="23"/>
      <w:szCs w:val="23"/>
    </w:rPr>
  </w:style>
  <w:style w:type="character" w:customStyle="1" w:styleId="Paveikslliouraas">
    <w:name w:val="Paveikslėlio užrašas_"/>
    <w:basedOn w:val="Numatytasispastraiposriftas"/>
    <w:rsid w:val="00C216BA"/>
    <w:rPr>
      <w:rFonts w:ascii="Times New Roman" w:eastAsia="Times New Roman" w:hAnsi="Times New Roman" w:cs="Times New Roman"/>
      <w:b w:val="0"/>
      <w:bCs w:val="0"/>
      <w:i w:val="0"/>
      <w:iCs w:val="0"/>
      <w:smallCaps w:val="0"/>
      <w:strike w:val="0"/>
      <w:sz w:val="23"/>
      <w:szCs w:val="23"/>
    </w:rPr>
  </w:style>
  <w:style w:type="character" w:customStyle="1" w:styleId="Pagrindinistekstas3">
    <w:name w:val="Pagrindinis tekstas (3)_"/>
    <w:basedOn w:val="Numatytasispastraiposriftas"/>
    <w:link w:val="Pagrindinistekstas30"/>
    <w:rsid w:val="00C216BA"/>
    <w:rPr>
      <w:rFonts w:ascii="Times New Roman" w:eastAsia="Times New Roman" w:hAnsi="Times New Roman" w:cs="Times New Roman"/>
      <w:sz w:val="23"/>
      <w:szCs w:val="23"/>
      <w:shd w:val="clear" w:color="auto" w:fill="FFFFFF"/>
    </w:rPr>
  </w:style>
  <w:style w:type="character" w:customStyle="1" w:styleId="Pagrindinistekstas3Nepusjuodis">
    <w:name w:val="Pagrindinis tekstas (3) + Ne pusjuodis"/>
    <w:basedOn w:val="Pagrindinistekstas3"/>
    <w:rsid w:val="00C216BA"/>
    <w:rPr>
      <w:rFonts w:ascii="Times New Roman" w:eastAsia="Times New Roman" w:hAnsi="Times New Roman" w:cs="Times New Roman"/>
      <w:b/>
      <w:bCs/>
      <w:strike/>
      <w:sz w:val="23"/>
      <w:szCs w:val="23"/>
      <w:shd w:val="clear" w:color="auto" w:fill="FFFFFF"/>
    </w:rPr>
  </w:style>
  <w:style w:type="character" w:customStyle="1" w:styleId="Paveikslliouraas0">
    <w:name w:val="Paveikslėlio užrašas"/>
    <w:basedOn w:val="Paveikslliouraas"/>
    <w:rsid w:val="00C216BA"/>
    <w:rPr>
      <w:rFonts w:ascii="Times New Roman" w:eastAsia="Times New Roman" w:hAnsi="Times New Roman" w:cs="Times New Roman"/>
      <w:b w:val="0"/>
      <w:bCs w:val="0"/>
      <w:i w:val="0"/>
      <w:iCs w:val="0"/>
      <w:smallCaps w:val="0"/>
      <w:strike/>
      <w:sz w:val="23"/>
      <w:szCs w:val="23"/>
    </w:rPr>
  </w:style>
  <w:style w:type="paragraph" w:customStyle="1" w:styleId="Pagrindinistekstas30">
    <w:name w:val="Pagrindinis tekstas (3)"/>
    <w:basedOn w:val="prastasis"/>
    <w:link w:val="Pagrindinistekstas3"/>
    <w:rsid w:val="00C216BA"/>
    <w:pPr>
      <w:shd w:val="clear" w:color="auto" w:fill="FFFFFF"/>
      <w:spacing w:before="300" w:after="180" w:line="278" w:lineRule="exact"/>
      <w:jc w:val="both"/>
    </w:pPr>
    <w:rPr>
      <w:rFonts w:ascii="Times New Roman" w:hAnsi="Times New Roman"/>
      <w:sz w:val="23"/>
      <w:szCs w:val="23"/>
    </w:rPr>
  </w:style>
  <w:style w:type="paragraph" w:styleId="Debesliotekstas">
    <w:name w:val="Balloon Text"/>
    <w:basedOn w:val="prastasis"/>
    <w:link w:val="DebesliotekstasDiagrama"/>
    <w:uiPriority w:val="99"/>
    <w:semiHidden/>
    <w:unhideWhenUsed/>
    <w:rsid w:val="00C216B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216BA"/>
    <w:rPr>
      <w:rFonts w:ascii="Tahoma" w:eastAsia="Times New Roman" w:hAnsi="Tahoma" w:cs="Tahoma"/>
      <w:sz w:val="16"/>
      <w:szCs w:val="16"/>
    </w:rPr>
  </w:style>
  <w:style w:type="character" w:styleId="Komentaronuoroda">
    <w:name w:val="annotation reference"/>
    <w:uiPriority w:val="99"/>
    <w:unhideWhenUsed/>
    <w:rsid w:val="002619D2"/>
    <w:rPr>
      <w:sz w:val="16"/>
      <w:szCs w:val="16"/>
    </w:rPr>
  </w:style>
  <w:style w:type="paragraph" w:styleId="Komentarotekstas">
    <w:name w:val="annotation text"/>
    <w:basedOn w:val="prastasis"/>
    <w:link w:val="KomentarotekstasDiagrama"/>
    <w:uiPriority w:val="99"/>
    <w:unhideWhenUsed/>
    <w:rsid w:val="002619D2"/>
    <w:pPr>
      <w:spacing w:after="200"/>
    </w:pPr>
    <w:rPr>
      <w:rFonts w:ascii="Calibri" w:eastAsia="Calibri" w:hAnsi="Calibri"/>
    </w:rPr>
  </w:style>
  <w:style w:type="character" w:customStyle="1" w:styleId="KomentarotekstasDiagrama">
    <w:name w:val="Komentaro tekstas Diagrama"/>
    <w:basedOn w:val="Numatytasispastraiposriftas"/>
    <w:link w:val="Komentarotekstas"/>
    <w:uiPriority w:val="99"/>
    <w:rsid w:val="002619D2"/>
    <w:rPr>
      <w:rFonts w:ascii="Calibri" w:eastAsia="Calibri" w:hAnsi="Calibri" w:cs="Times New Roman"/>
      <w:sz w:val="20"/>
      <w:szCs w:val="20"/>
    </w:rPr>
  </w:style>
  <w:style w:type="paragraph" w:customStyle="1" w:styleId="Point1">
    <w:name w:val="Point 1"/>
    <w:basedOn w:val="prastasis"/>
    <w:rsid w:val="00B20B3C"/>
    <w:pPr>
      <w:spacing w:before="120" w:after="120" w:line="360" w:lineRule="auto"/>
      <w:ind w:left="1417" w:hanging="567"/>
      <w:outlineLvl w:val="0"/>
    </w:pPr>
    <w:rPr>
      <w:rFonts w:ascii="Times New Roman" w:hAnsi="Times New Roman"/>
      <w:sz w:val="24"/>
      <w:szCs w:val="24"/>
      <w:lang w:val="en-GB"/>
    </w:rPr>
  </w:style>
  <w:style w:type="character" w:customStyle="1" w:styleId="dnr">
    <w:name w:val="dnr"/>
    <w:basedOn w:val="Numatytasispastraiposriftas"/>
    <w:rsid w:val="00C65324"/>
  </w:style>
  <w:style w:type="character" w:customStyle="1" w:styleId="Pagrindinistekstas4Pusjuodis">
    <w:name w:val="Pagrindinis tekstas (4) + Pusjuodis"/>
    <w:basedOn w:val="Numatytasispastraiposriftas"/>
    <w:rsid w:val="00D953FD"/>
    <w:rPr>
      <w:rFonts w:ascii="Times New Roman" w:eastAsia="Times New Roman" w:hAnsi="Times New Roman" w:cs="Times New Roman"/>
      <w:b/>
      <w:bCs/>
      <w:i w:val="0"/>
      <w:iCs w:val="0"/>
      <w:smallCaps w:val="0"/>
      <w:strike w:val="0"/>
      <w:spacing w:val="0"/>
      <w:sz w:val="21"/>
      <w:szCs w:val="21"/>
    </w:rPr>
  </w:style>
  <w:style w:type="character" w:customStyle="1" w:styleId="bold">
    <w:name w:val="bold"/>
    <w:basedOn w:val="Numatytasispastraiposriftas"/>
    <w:rsid w:val="002D2B33"/>
  </w:style>
  <w:style w:type="paragraph" w:customStyle="1" w:styleId="prastasis1">
    <w:name w:val="Įprastasis1"/>
    <w:basedOn w:val="prastasis"/>
    <w:rsid w:val="003C4881"/>
    <w:pPr>
      <w:spacing w:before="100" w:beforeAutospacing="1" w:after="100" w:afterAutospacing="1"/>
    </w:pPr>
    <w:rPr>
      <w:rFonts w:ascii="Times New Roman" w:hAnsi="Times New Roman"/>
      <w:sz w:val="24"/>
      <w:szCs w:val="24"/>
      <w:lang w:val="en-US"/>
    </w:rPr>
  </w:style>
  <w:style w:type="character" w:customStyle="1" w:styleId="Temosantrat33">
    <w:name w:val="Temos antraštė #3 (3)_"/>
    <w:basedOn w:val="Numatytasispastraiposriftas"/>
    <w:rsid w:val="00271D1D"/>
    <w:rPr>
      <w:rFonts w:ascii="Calibri" w:eastAsia="Calibri" w:hAnsi="Calibri" w:cs="Calibri"/>
      <w:b w:val="0"/>
      <w:bCs w:val="0"/>
      <w:i w:val="0"/>
      <w:iCs w:val="0"/>
      <w:smallCaps w:val="0"/>
      <w:strike w:val="0"/>
      <w:spacing w:val="0"/>
      <w:sz w:val="22"/>
      <w:szCs w:val="22"/>
    </w:rPr>
  </w:style>
  <w:style w:type="character" w:customStyle="1" w:styleId="Temosantrat330">
    <w:name w:val="Temos antraštė #3 (3)"/>
    <w:basedOn w:val="Temosantrat33"/>
    <w:rsid w:val="00271D1D"/>
    <w:rPr>
      <w:rFonts w:ascii="Calibri" w:eastAsia="Calibri" w:hAnsi="Calibri" w:cs="Calibri"/>
      <w:b w:val="0"/>
      <w:bCs w:val="0"/>
      <w:i w:val="0"/>
      <w:iCs w:val="0"/>
      <w:smallCaps w:val="0"/>
      <w:strike/>
      <w:spacing w:val="0"/>
      <w:sz w:val="22"/>
      <w:szCs w:val="22"/>
    </w:rPr>
  </w:style>
  <w:style w:type="character" w:customStyle="1" w:styleId="Temosantrat3">
    <w:name w:val="Temos antraštė #3_"/>
    <w:basedOn w:val="Numatytasispastraiposriftas"/>
    <w:link w:val="Temosantrat30"/>
    <w:rsid w:val="002F5A49"/>
    <w:rPr>
      <w:rFonts w:ascii="Arial" w:eastAsia="Arial" w:hAnsi="Arial" w:cs="Arial"/>
      <w:sz w:val="20"/>
      <w:szCs w:val="20"/>
      <w:shd w:val="clear" w:color="auto" w:fill="FFFFFF"/>
    </w:rPr>
  </w:style>
  <w:style w:type="character" w:customStyle="1" w:styleId="PagrindinistekstasKursyvas">
    <w:name w:val="Pagrindinis tekstas + Kursyvas"/>
    <w:basedOn w:val="Pagrindinistekstas"/>
    <w:rsid w:val="002F5A49"/>
    <w:rPr>
      <w:rFonts w:ascii="Arial" w:eastAsia="Arial" w:hAnsi="Arial" w:cs="Arial"/>
      <w:b w:val="0"/>
      <w:bCs w:val="0"/>
      <w:i/>
      <w:iCs/>
      <w:smallCaps w:val="0"/>
      <w:strike w:val="0"/>
      <w:spacing w:val="0"/>
      <w:sz w:val="20"/>
      <w:szCs w:val="20"/>
    </w:rPr>
  </w:style>
  <w:style w:type="character" w:customStyle="1" w:styleId="Pagrindinistekstas4">
    <w:name w:val="Pagrindinis tekstas (4)_"/>
    <w:basedOn w:val="Numatytasispastraiposriftas"/>
    <w:rsid w:val="002F5A49"/>
    <w:rPr>
      <w:rFonts w:ascii="Arial" w:eastAsia="Arial" w:hAnsi="Arial" w:cs="Arial"/>
      <w:b w:val="0"/>
      <w:bCs w:val="0"/>
      <w:i w:val="0"/>
      <w:iCs w:val="0"/>
      <w:smallCaps w:val="0"/>
      <w:strike w:val="0"/>
      <w:spacing w:val="0"/>
      <w:sz w:val="20"/>
      <w:szCs w:val="20"/>
    </w:rPr>
  </w:style>
  <w:style w:type="character" w:customStyle="1" w:styleId="Pagrindinistekstas40">
    <w:name w:val="Pagrindinis tekstas (4)"/>
    <w:basedOn w:val="Pagrindinistekstas4"/>
    <w:rsid w:val="002F5A49"/>
    <w:rPr>
      <w:rFonts w:ascii="Arial" w:eastAsia="Arial" w:hAnsi="Arial" w:cs="Arial"/>
      <w:b w:val="0"/>
      <w:bCs w:val="0"/>
      <w:i w:val="0"/>
      <w:iCs w:val="0"/>
      <w:smallCaps w:val="0"/>
      <w:strike/>
      <w:spacing w:val="0"/>
      <w:sz w:val="20"/>
      <w:szCs w:val="20"/>
    </w:rPr>
  </w:style>
  <w:style w:type="paragraph" w:customStyle="1" w:styleId="Temosantrat30">
    <w:name w:val="Temos antraštė #3"/>
    <w:basedOn w:val="prastasis"/>
    <w:link w:val="Temosantrat3"/>
    <w:rsid w:val="002F5A49"/>
    <w:pPr>
      <w:shd w:val="clear" w:color="auto" w:fill="FFFFFF"/>
      <w:spacing w:before="180" w:after="180" w:line="254" w:lineRule="exact"/>
      <w:ind w:hanging="360"/>
      <w:outlineLvl w:val="2"/>
    </w:pPr>
    <w:rPr>
      <w:rFonts w:ascii="Arial" w:eastAsia="Arial" w:hAnsi="Arial" w:cs="Arial"/>
    </w:rPr>
  </w:style>
  <w:style w:type="paragraph" w:customStyle="1" w:styleId="Default">
    <w:name w:val="Default"/>
    <w:rsid w:val="005A1FA7"/>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Rykinuoroda">
    <w:name w:val="Intense Reference"/>
    <w:basedOn w:val="Numatytasispastraiposriftas"/>
    <w:uiPriority w:val="32"/>
    <w:qFormat/>
    <w:rsid w:val="004A5D01"/>
    <w:rPr>
      <w:b/>
      <w:bCs/>
      <w:smallCaps/>
      <w:color w:val="ED7D31" w:themeColor="accent2"/>
      <w:spacing w:val="5"/>
      <w:u w:val="single"/>
    </w:rPr>
  </w:style>
  <w:style w:type="paragraph" w:styleId="Paprastasistekstas">
    <w:name w:val="Plain Text"/>
    <w:basedOn w:val="prastasis"/>
    <w:link w:val="PaprastasistekstasDiagrama"/>
    <w:semiHidden/>
    <w:unhideWhenUsed/>
    <w:qFormat/>
    <w:rsid w:val="00CB4060"/>
    <w:pPr>
      <w:suppressAutoHyphens/>
      <w:spacing w:before="100" w:after="100"/>
    </w:pPr>
    <w:rPr>
      <w:rFonts w:ascii="Times New Roman" w:hAnsi="Times New Roman"/>
      <w:color w:val="00000A"/>
      <w:sz w:val="24"/>
      <w:szCs w:val="24"/>
    </w:rPr>
  </w:style>
  <w:style w:type="character" w:customStyle="1" w:styleId="PaprastasistekstasDiagrama">
    <w:name w:val="Paprastasis tekstas Diagrama"/>
    <w:basedOn w:val="Numatytasispastraiposriftas"/>
    <w:link w:val="Paprastasistekstas"/>
    <w:semiHidden/>
    <w:rsid w:val="00CB4060"/>
    <w:rPr>
      <w:rFonts w:ascii="Times New Roman" w:eastAsia="Times New Roman" w:hAnsi="Times New Roman" w:cs="Times New Roman"/>
      <w:color w:val="00000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3394">
      <w:bodyDiv w:val="1"/>
      <w:marLeft w:val="0"/>
      <w:marRight w:val="0"/>
      <w:marTop w:val="0"/>
      <w:marBottom w:val="0"/>
      <w:divBdr>
        <w:top w:val="none" w:sz="0" w:space="0" w:color="auto"/>
        <w:left w:val="none" w:sz="0" w:space="0" w:color="auto"/>
        <w:bottom w:val="none" w:sz="0" w:space="0" w:color="auto"/>
        <w:right w:val="none" w:sz="0" w:space="0" w:color="auto"/>
      </w:divBdr>
    </w:div>
    <w:div w:id="25713157">
      <w:bodyDiv w:val="1"/>
      <w:marLeft w:val="0"/>
      <w:marRight w:val="0"/>
      <w:marTop w:val="0"/>
      <w:marBottom w:val="0"/>
      <w:divBdr>
        <w:top w:val="none" w:sz="0" w:space="0" w:color="auto"/>
        <w:left w:val="none" w:sz="0" w:space="0" w:color="auto"/>
        <w:bottom w:val="none" w:sz="0" w:space="0" w:color="auto"/>
        <w:right w:val="none" w:sz="0" w:space="0" w:color="auto"/>
      </w:divBdr>
    </w:div>
    <w:div w:id="30808602">
      <w:bodyDiv w:val="1"/>
      <w:marLeft w:val="0"/>
      <w:marRight w:val="0"/>
      <w:marTop w:val="0"/>
      <w:marBottom w:val="0"/>
      <w:divBdr>
        <w:top w:val="none" w:sz="0" w:space="0" w:color="auto"/>
        <w:left w:val="none" w:sz="0" w:space="0" w:color="auto"/>
        <w:bottom w:val="none" w:sz="0" w:space="0" w:color="auto"/>
        <w:right w:val="none" w:sz="0" w:space="0" w:color="auto"/>
      </w:divBdr>
    </w:div>
    <w:div w:id="41056513">
      <w:bodyDiv w:val="1"/>
      <w:marLeft w:val="0"/>
      <w:marRight w:val="0"/>
      <w:marTop w:val="0"/>
      <w:marBottom w:val="0"/>
      <w:divBdr>
        <w:top w:val="none" w:sz="0" w:space="0" w:color="auto"/>
        <w:left w:val="none" w:sz="0" w:space="0" w:color="auto"/>
        <w:bottom w:val="none" w:sz="0" w:space="0" w:color="auto"/>
        <w:right w:val="none" w:sz="0" w:space="0" w:color="auto"/>
      </w:divBdr>
    </w:div>
    <w:div w:id="41367623">
      <w:bodyDiv w:val="1"/>
      <w:marLeft w:val="0"/>
      <w:marRight w:val="0"/>
      <w:marTop w:val="0"/>
      <w:marBottom w:val="0"/>
      <w:divBdr>
        <w:top w:val="none" w:sz="0" w:space="0" w:color="auto"/>
        <w:left w:val="none" w:sz="0" w:space="0" w:color="auto"/>
        <w:bottom w:val="none" w:sz="0" w:space="0" w:color="auto"/>
        <w:right w:val="none" w:sz="0" w:space="0" w:color="auto"/>
      </w:divBdr>
    </w:div>
    <w:div w:id="75173372">
      <w:bodyDiv w:val="1"/>
      <w:marLeft w:val="0"/>
      <w:marRight w:val="0"/>
      <w:marTop w:val="0"/>
      <w:marBottom w:val="0"/>
      <w:divBdr>
        <w:top w:val="none" w:sz="0" w:space="0" w:color="auto"/>
        <w:left w:val="none" w:sz="0" w:space="0" w:color="auto"/>
        <w:bottom w:val="none" w:sz="0" w:space="0" w:color="auto"/>
        <w:right w:val="none" w:sz="0" w:space="0" w:color="auto"/>
      </w:divBdr>
    </w:div>
    <w:div w:id="85154223">
      <w:bodyDiv w:val="1"/>
      <w:marLeft w:val="0"/>
      <w:marRight w:val="0"/>
      <w:marTop w:val="0"/>
      <w:marBottom w:val="0"/>
      <w:divBdr>
        <w:top w:val="none" w:sz="0" w:space="0" w:color="auto"/>
        <w:left w:val="none" w:sz="0" w:space="0" w:color="auto"/>
        <w:bottom w:val="none" w:sz="0" w:space="0" w:color="auto"/>
        <w:right w:val="none" w:sz="0" w:space="0" w:color="auto"/>
      </w:divBdr>
    </w:div>
    <w:div w:id="109513453">
      <w:bodyDiv w:val="1"/>
      <w:marLeft w:val="0"/>
      <w:marRight w:val="0"/>
      <w:marTop w:val="0"/>
      <w:marBottom w:val="0"/>
      <w:divBdr>
        <w:top w:val="none" w:sz="0" w:space="0" w:color="auto"/>
        <w:left w:val="none" w:sz="0" w:space="0" w:color="auto"/>
        <w:bottom w:val="none" w:sz="0" w:space="0" w:color="auto"/>
        <w:right w:val="none" w:sz="0" w:space="0" w:color="auto"/>
      </w:divBdr>
    </w:div>
    <w:div w:id="158541787">
      <w:bodyDiv w:val="1"/>
      <w:marLeft w:val="0"/>
      <w:marRight w:val="0"/>
      <w:marTop w:val="0"/>
      <w:marBottom w:val="0"/>
      <w:divBdr>
        <w:top w:val="none" w:sz="0" w:space="0" w:color="auto"/>
        <w:left w:val="none" w:sz="0" w:space="0" w:color="auto"/>
        <w:bottom w:val="none" w:sz="0" w:space="0" w:color="auto"/>
        <w:right w:val="none" w:sz="0" w:space="0" w:color="auto"/>
      </w:divBdr>
      <w:divsChild>
        <w:div w:id="61146274">
          <w:marLeft w:val="0"/>
          <w:marRight w:val="0"/>
          <w:marTop w:val="0"/>
          <w:marBottom w:val="0"/>
          <w:divBdr>
            <w:top w:val="none" w:sz="0" w:space="0" w:color="auto"/>
            <w:left w:val="none" w:sz="0" w:space="0" w:color="auto"/>
            <w:bottom w:val="none" w:sz="0" w:space="0" w:color="auto"/>
            <w:right w:val="none" w:sz="0" w:space="0" w:color="auto"/>
          </w:divBdr>
        </w:div>
        <w:div w:id="1113288279">
          <w:marLeft w:val="0"/>
          <w:marRight w:val="0"/>
          <w:marTop w:val="0"/>
          <w:marBottom w:val="0"/>
          <w:divBdr>
            <w:top w:val="none" w:sz="0" w:space="0" w:color="auto"/>
            <w:left w:val="none" w:sz="0" w:space="0" w:color="auto"/>
            <w:bottom w:val="none" w:sz="0" w:space="0" w:color="auto"/>
            <w:right w:val="none" w:sz="0" w:space="0" w:color="auto"/>
          </w:divBdr>
        </w:div>
        <w:div w:id="562102903">
          <w:marLeft w:val="0"/>
          <w:marRight w:val="0"/>
          <w:marTop w:val="0"/>
          <w:marBottom w:val="0"/>
          <w:divBdr>
            <w:top w:val="none" w:sz="0" w:space="0" w:color="auto"/>
            <w:left w:val="none" w:sz="0" w:space="0" w:color="auto"/>
            <w:bottom w:val="none" w:sz="0" w:space="0" w:color="auto"/>
            <w:right w:val="none" w:sz="0" w:space="0" w:color="auto"/>
          </w:divBdr>
        </w:div>
        <w:div w:id="611860495">
          <w:marLeft w:val="0"/>
          <w:marRight w:val="0"/>
          <w:marTop w:val="0"/>
          <w:marBottom w:val="0"/>
          <w:divBdr>
            <w:top w:val="none" w:sz="0" w:space="0" w:color="auto"/>
            <w:left w:val="none" w:sz="0" w:space="0" w:color="auto"/>
            <w:bottom w:val="none" w:sz="0" w:space="0" w:color="auto"/>
            <w:right w:val="none" w:sz="0" w:space="0" w:color="auto"/>
          </w:divBdr>
        </w:div>
      </w:divsChild>
    </w:div>
    <w:div w:id="219901292">
      <w:bodyDiv w:val="1"/>
      <w:marLeft w:val="0"/>
      <w:marRight w:val="0"/>
      <w:marTop w:val="0"/>
      <w:marBottom w:val="0"/>
      <w:divBdr>
        <w:top w:val="none" w:sz="0" w:space="0" w:color="auto"/>
        <w:left w:val="none" w:sz="0" w:space="0" w:color="auto"/>
        <w:bottom w:val="none" w:sz="0" w:space="0" w:color="auto"/>
        <w:right w:val="none" w:sz="0" w:space="0" w:color="auto"/>
      </w:divBdr>
    </w:div>
    <w:div w:id="313949896">
      <w:bodyDiv w:val="1"/>
      <w:marLeft w:val="0"/>
      <w:marRight w:val="0"/>
      <w:marTop w:val="0"/>
      <w:marBottom w:val="0"/>
      <w:divBdr>
        <w:top w:val="none" w:sz="0" w:space="0" w:color="auto"/>
        <w:left w:val="none" w:sz="0" w:space="0" w:color="auto"/>
        <w:bottom w:val="none" w:sz="0" w:space="0" w:color="auto"/>
        <w:right w:val="none" w:sz="0" w:space="0" w:color="auto"/>
      </w:divBdr>
    </w:div>
    <w:div w:id="351037430">
      <w:bodyDiv w:val="1"/>
      <w:marLeft w:val="0"/>
      <w:marRight w:val="0"/>
      <w:marTop w:val="0"/>
      <w:marBottom w:val="0"/>
      <w:divBdr>
        <w:top w:val="none" w:sz="0" w:space="0" w:color="auto"/>
        <w:left w:val="none" w:sz="0" w:space="0" w:color="auto"/>
        <w:bottom w:val="none" w:sz="0" w:space="0" w:color="auto"/>
        <w:right w:val="none" w:sz="0" w:space="0" w:color="auto"/>
      </w:divBdr>
    </w:div>
    <w:div w:id="477453715">
      <w:bodyDiv w:val="1"/>
      <w:marLeft w:val="0"/>
      <w:marRight w:val="0"/>
      <w:marTop w:val="0"/>
      <w:marBottom w:val="0"/>
      <w:divBdr>
        <w:top w:val="none" w:sz="0" w:space="0" w:color="auto"/>
        <w:left w:val="none" w:sz="0" w:space="0" w:color="auto"/>
        <w:bottom w:val="none" w:sz="0" w:space="0" w:color="auto"/>
        <w:right w:val="none" w:sz="0" w:space="0" w:color="auto"/>
      </w:divBdr>
    </w:div>
    <w:div w:id="554121754">
      <w:bodyDiv w:val="1"/>
      <w:marLeft w:val="0"/>
      <w:marRight w:val="0"/>
      <w:marTop w:val="0"/>
      <w:marBottom w:val="0"/>
      <w:divBdr>
        <w:top w:val="none" w:sz="0" w:space="0" w:color="auto"/>
        <w:left w:val="none" w:sz="0" w:space="0" w:color="auto"/>
        <w:bottom w:val="none" w:sz="0" w:space="0" w:color="auto"/>
        <w:right w:val="none" w:sz="0" w:space="0" w:color="auto"/>
      </w:divBdr>
    </w:div>
    <w:div w:id="561334539">
      <w:bodyDiv w:val="1"/>
      <w:marLeft w:val="0"/>
      <w:marRight w:val="0"/>
      <w:marTop w:val="0"/>
      <w:marBottom w:val="0"/>
      <w:divBdr>
        <w:top w:val="none" w:sz="0" w:space="0" w:color="auto"/>
        <w:left w:val="none" w:sz="0" w:space="0" w:color="auto"/>
        <w:bottom w:val="none" w:sz="0" w:space="0" w:color="auto"/>
        <w:right w:val="none" w:sz="0" w:space="0" w:color="auto"/>
      </w:divBdr>
    </w:div>
    <w:div w:id="569653201">
      <w:bodyDiv w:val="1"/>
      <w:marLeft w:val="0"/>
      <w:marRight w:val="0"/>
      <w:marTop w:val="0"/>
      <w:marBottom w:val="0"/>
      <w:divBdr>
        <w:top w:val="none" w:sz="0" w:space="0" w:color="auto"/>
        <w:left w:val="none" w:sz="0" w:space="0" w:color="auto"/>
        <w:bottom w:val="none" w:sz="0" w:space="0" w:color="auto"/>
        <w:right w:val="none" w:sz="0" w:space="0" w:color="auto"/>
      </w:divBdr>
    </w:div>
    <w:div w:id="620914256">
      <w:bodyDiv w:val="1"/>
      <w:marLeft w:val="0"/>
      <w:marRight w:val="0"/>
      <w:marTop w:val="0"/>
      <w:marBottom w:val="0"/>
      <w:divBdr>
        <w:top w:val="none" w:sz="0" w:space="0" w:color="auto"/>
        <w:left w:val="none" w:sz="0" w:space="0" w:color="auto"/>
        <w:bottom w:val="none" w:sz="0" w:space="0" w:color="auto"/>
        <w:right w:val="none" w:sz="0" w:space="0" w:color="auto"/>
      </w:divBdr>
    </w:div>
    <w:div w:id="648249100">
      <w:bodyDiv w:val="1"/>
      <w:marLeft w:val="0"/>
      <w:marRight w:val="0"/>
      <w:marTop w:val="0"/>
      <w:marBottom w:val="0"/>
      <w:divBdr>
        <w:top w:val="none" w:sz="0" w:space="0" w:color="auto"/>
        <w:left w:val="none" w:sz="0" w:space="0" w:color="auto"/>
        <w:bottom w:val="none" w:sz="0" w:space="0" w:color="auto"/>
        <w:right w:val="none" w:sz="0" w:space="0" w:color="auto"/>
      </w:divBdr>
    </w:div>
    <w:div w:id="727611381">
      <w:bodyDiv w:val="1"/>
      <w:marLeft w:val="0"/>
      <w:marRight w:val="0"/>
      <w:marTop w:val="0"/>
      <w:marBottom w:val="0"/>
      <w:divBdr>
        <w:top w:val="none" w:sz="0" w:space="0" w:color="auto"/>
        <w:left w:val="none" w:sz="0" w:space="0" w:color="auto"/>
        <w:bottom w:val="none" w:sz="0" w:space="0" w:color="auto"/>
        <w:right w:val="none" w:sz="0" w:space="0" w:color="auto"/>
      </w:divBdr>
    </w:div>
    <w:div w:id="762454743">
      <w:bodyDiv w:val="1"/>
      <w:marLeft w:val="0"/>
      <w:marRight w:val="0"/>
      <w:marTop w:val="0"/>
      <w:marBottom w:val="0"/>
      <w:divBdr>
        <w:top w:val="none" w:sz="0" w:space="0" w:color="auto"/>
        <w:left w:val="none" w:sz="0" w:space="0" w:color="auto"/>
        <w:bottom w:val="none" w:sz="0" w:space="0" w:color="auto"/>
        <w:right w:val="none" w:sz="0" w:space="0" w:color="auto"/>
      </w:divBdr>
    </w:div>
    <w:div w:id="821776636">
      <w:bodyDiv w:val="1"/>
      <w:marLeft w:val="0"/>
      <w:marRight w:val="0"/>
      <w:marTop w:val="0"/>
      <w:marBottom w:val="0"/>
      <w:divBdr>
        <w:top w:val="none" w:sz="0" w:space="0" w:color="auto"/>
        <w:left w:val="none" w:sz="0" w:space="0" w:color="auto"/>
        <w:bottom w:val="none" w:sz="0" w:space="0" w:color="auto"/>
        <w:right w:val="none" w:sz="0" w:space="0" w:color="auto"/>
      </w:divBdr>
    </w:div>
    <w:div w:id="822356219">
      <w:bodyDiv w:val="1"/>
      <w:marLeft w:val="0"/>
      <w:marRight w:val="0"/>
      <w:marTop w:val="0"/>
      <w:marBottom w:val="0"/>
      <w:divBdr>
        <w:top w:val="none" w:sz="0" w:space="0" w:color="auto"/>
        <w:left w:val="none" w:sz="0" w:space="0" w:color="auto"/>
        <w:bottom w:val="none" w:sz="0" w:space="0" w:color="auto"/>
        <w:right w:val="none" w:sz="0" w:space="0" w:color="auto"/>
      </w:divBdr>
    </w:div>
    <w:div w:id="855457361">
      <w:bodyDiv w:val="1"/>
      <w:marLeft w:val="0"/>
      <w:marRight w:val="0"/>
      <w:marTop w:val="0"/>
      <w:marBottom w:val="0"/>
      <w:divBdr>
        <w:top w:val="none" w:sz="0" w:space="0" w:color="auto"/>
        <w:left w:val="none" w:sz="0" w:space="0" w:color="auto"/>
        <w:bottom w:val="none" w:sz="0" w:space="0" w:color="auto"/>
        <w:right w:val="none" w:sz="0" w:space="0" w:color="auto"/>
      </w:divBdr>
    </w:div>
    <w:div w:id="870803092">
      <w:bodyDiv w:val="1"/>
      <w:marLeft w:val="0"/>
      <w:marRight w:val="0"/>
      <w:marTop w:val="0"/>
      <w:marBottom w:val="0"/>
      <w:divBdr>
        <w:top w:val="none" w:sz="0" w:space="0" w:color="auto"/>
        <w:left w:val="none" w:sz="0" w:space="0" w:color="auto"/>
        <w:bottom w:val="none" w:sz="0" w:space="0" w:color="auto"/>
        <w:right w:val="none" w:sz="0" w:space="0" w:color="auto"/>
      </w:divBdr>
    </w:div>
    <w:div w:id="914625245">
      <w:bodyDiv w:val="1"/>
      <w:marLeft w:val="0"/>
      <w:marRight w:val="0"/>
      <w:marTop w:val="0"/>
      <w:marBottom w:val="0"/>
      <w:divBdr>
        <w:top w:val="none" w:sz="0" w:space="0" w:color="auto"/>
        <w:left w:val="none" w:sz="0" w:space="0" w:color="auto"/>
        <w:bottom w:val="none" w:sz="0" w:space="0" w:color="auto"/>
        <w:right w:val="none" w:sz="0" w:space="0" w:color="auto"/>
      </w:divBdr>
    </w:div>
    <w:div w:id="945235023">
      <w:bodyDiv w:val="1"/>
      <w:marLeft w:val="0"/>
      <w:marRight w:val="0"/>
      <w:marTop w:val="0"/>
      <w:marBottom w:val="0"/>
      <w:divBdr>
        <w:top w:val="none" w:sz="0" w:space="0" w:color="auto"/>
        <w:left w:val="none" w:sz="0" w:space="0" w:color="auto"/>
        <w:bottom w:val="none" w:sz="0" w:space="0" w:color="auto"/>
        <w:right w:val="none" w:sz="0" w:space="0" w:color="auto"/>
      </w:divBdr>
    </w:div>
    <w:div w:id="1006321410">
      <w:bodyDiv w:val="1"/>
      <w:marLeft w:val="0"/>
      <w:marRight w:val="0"/>
      <w:marTop w:val="0"/>
      <w:marBottom w:val="0"/>
      <w:divBdr>
        <w:top w:val="none" w:sz="0" w:space="0" w:color="auto"/>
        <w:left w:val="none" w:sz="0" w:space="0" w:color="auto"/>
        <w:bottom w:val="none" w:sz="0" w:space="0" w:color="auto"/>
        <w:right w:val="none" w:sz="0" w:space="0" w:color="auto"/>
      </w:divBdr>
    </w:div>
    <w:div w:id="1015809976">
      <w:bodyDiv w:val="1"/>
      <w:marLeft w:val="0"/>
      <w:marRight w:val="0"/>
      <w:marTop w:val="0"/>
      <w:marBottom w:val="0"/>
      <w:divBdr>
        <w:top w:val="none" w:sz="0" w:space="0" w:color="auto"/>
        <w:left w:val="none" w:sz="0" w:space="0" w:color="auto"/>
        <w:bottom w:val="none" w:sz="0" w:space="0" w:color="auto"/>
        <w:right w:val="none" w:sz="0" w:space="0" w:color="auto"/>
      </w:divBdr>
    </w:div>
    <w:div w:id="1053191994">
      <w:bodyDiv w:val="1"/>
      <w:marLeft w:val="0"/>
      <w:marRight w:val="0"/>
      <w:marTop w:val="0"/>
      <w:marBottom w:val="0"/>
      <w:divBdr>
        <w:top w:val="none" w:sz="0" w:space="0" w:color="auto"/>
        <w:left w:val="none" w:sz="0" w:space="0" w:color="auto"/>
        <w:bottom w:val="none" w:sz="0" w:space="0" w:color="auto"/>
        <w:right w:val="none" w:sz="0" w:space="0" w:color="auto"/>
      </w:divBdr>
    </w:div>
    <w:div w:id="1084184878">
      <w:bodyDiv w:val="1"/>
      <w:marLeft w:val="0"/>
      <w:marRight w:val="0"/>
      <w:marTop w:val="0"/>
      <w:marBottom w:val="0"/>
      <w:divBdr>
        <w:top w:val="none" w:sz="0" w:space="0" w:color="auto"/>
        <w:left w:val="none" w:sz="0" w:space="0" w:color="auto"/>
        <w:bottom w:val="none" w:sz="0" w:space="0" w:color="auto"/>
        <w:right w:val="none" w:sz="0" w:space="0" w:color="auto"/>
      </w:divBdr>
    </w:div>
    <w:div w:id="1104695436">
      <w:bodyDiv w:val="1"/>
      <w:marLeft w:val="0"/>
      <w:marRight w:val="0"/>
      <w:marTop w:val="0"/>
      <w:marBottom w:val="0"/>
      <w:divBdr>
        <w:top w:val="none" w:sz="0" w:space="0" w:color="auto"/>
        <w:left w:val="none" w:sz="0" w:space="0" w:color="auto"/>
        <w:bottom w:val="none" w:sz="0" w:space="0" w:color="auto"/>
        <w:right w:val="none" w:sz="0" w:space="0" w:color="auto"/>
      </w:divBdr>
    </w:div>
    <w:div w:id="1119447917">
      <w:bodyDiv w:val="1"/>
      <w:marLeft w:val="0"/>
      <w:marRight w:val="0"/>
      <w:marTop w:val="0"/>
      <w:marBottom w:val="0"/>
      <w:divBdr>
        <w:top w:val="none" w:sz="0" w:space="0" w:color="auto"/>
        <w:left w:val="none" w:sz="0" w:space="0" w:color="auto"/>
        <w:bottom w:val="none" w:sz="0" w:space="0" w:color="auto"/>
        <w:right w:val="none" w:sz="0" w:space="0" w:color="auto"/>
      </w:divBdr>
    </w:div>
    <w:div w:id="1207986103">
      <w:bodyDiv w:val="1"/>
      <w:marLeft w:val="0"/>
      <w:marRight w:val="0"/>
      <w:marTop w:val="0"/>
      <w:marBottom w:val="0"/>
      <w:divBdr>
        <w:top w:val="none" w:sz="0" w:space="0" w:color="auto"/>
        <w:left w:val="none" w:sz="0" w:space="0" w:color="auto"/>
        <w:bottom w:val="none" w:sz="0" w:space="0" w:color="auto"/>
        <w:right w:val="none" w:sz="0" w:space="0" w:color="auto"/>
      </w:divBdr>
    </w:div>
    <w:div w:id="1271936410">
      <w:bodyDiv w:val="1"/>
      <w:marLeft w:val="0"/>
      <w:marRight w:val="0"/>
      <w:marTop w:val="0"/>
      <w:marBottom w:val="0"/>
      <w:divBdr>
        <w:top w:val="none" w:sz="0" w:space="0" w:color="auto"/>
        <w:left w:val="none" w:sz="0" w:space="0" w:color="auto"/>
        <w:bottom w:val="none" w:sz="0" w:space="0" w:color="auto"/>
        <w:right w:val="none" w:sz="0" w:space="0" w:color="auto"/>
      </w:divBdr>
    </w:div>
    <w:div w:id="1281574941">
      <w:bodyDiv w:val="1"/>
      <w:marLeft w:val="0"/>
      <w:marRight w:val="0"/>
      <w:marTop w:val="0"/>
      <w:marBottom w:val="0"/>
      <w:divBdr>
        <w:top w:val="none" w:sz="0" w:space="0" w:color="auto"/>
        <w:left w:val="none" w:sz="0" w:space="0" w:color="auto"/>
        <w:bottom w:val="none" w:sz="0" w:space="0" w:color="auto"/>
        <w:right w:val="none" w:sz="0" w:space="0" w:color="auto"/>
      </w:divBdr>
    </w:div>
    <w:div w:id="1346444970">
      <w:bodyDiv w:val="1"/>
      <w:marLeft w:val="0"/>
      <w:marRight w:val="0"/>
      <w:marTop w:val="0"/>
      <w:marBottom w:val="0"/>
      <w:divBdr>
        <w:top w:val="none" w:sz="0" w:space="0" w:color="auto"/>
        <w:left w:val="none" w:sz="0" w:space="0" w:color="auto"/>
        <w:bottom w:val="none" w:sz="0" w:space="0" w:color="auto"/>
        <w:right w:val="none" w:sz="0" w:space="0" w:color="auto"/>
      </w:divBdr>
    </w:div>
    <w:div w:id="1367410379">
      <w:bodyDiv w:val="1"/>
      <w:marLeft w:val="0"/>
      <w:marRight w:val="0"/>
      <w:marTop w:val="0"/>
      <w:marBottom w:val="0"/>
      <w:divBdr>
        <w:top w:val="none" w:sz="0" w:space="0" w:color="auto"/>
        <w:left w:val="none" w:sz="0" w:space="0" w:color="auto"/>
        <w:bottom w:val="none" w:sz="0" w:space="0" w:color="auto"/>
        <w:right w:val="none" w:sz="0" w:space="0" w:color="auto"/>
      </w:divBdr>
    </w:div>
    <w:div w:id="1401362557">
      <w:bodyDiv w:val="1"/>
      <w:marLeft w:val="0"/>
      <w:marRight w:val="0"/>
      <w:marTop w:val="0"/>
      <w:marBottom w:val="0"/>
      <w:divBdr>
        <w:top w:val="none" w:sz="0" w:space="0" w:color="auto"/>
        <w:left w:val="none" w:sz="0" w:space="0" w:color="auto"/>
        <w:bottom w:val="none" w:sz="0" w:space="0" w:color="auto"/>
        <w:right w:val="none" w:sz="0" w:space="0" w:color="auto"/>
      </w:divBdr>
    </w:div>
    <w:div w:id="1406798442">
      <w:bodyDiv w:val="1"/>
      <w:marLeft w:val="0"/>
      <w:marRight w:val="0"/>
      <w:marTop w:val="0"/>
      <w:marBottom w:val="0"/>
      <w:divBdr>
        <w:top w:val="none" w:sz="0" w:space="0" w:color="auto"/>
        <w:left w:val="none" w:sz="0" w:space="0" w:color="auto"/>
        <w:bottom w:val="none" w:sz="0" w:space="0" w:color="auto"/>
        <w:right w:val="none" w:sz="0" w:space="0" w:color="auto"/>
      </w:divBdr>
    </w:div>
    <w:div w:id="1414164469">
      <w:bodyDiv w:val="1"/>
      <w:marLeft w:val="0"/>
      <w:marRight w:val="0"/>
      <w:marTop w:val="0"/>
      <w:marBottom w:val="0"/>
      <w:divBdr>
        <w:top w:val="none" w:sz="0" w:space="0" w:color="auto"/>
        <w:left w:val="none" w:sz="0" w:space="0" w:color="auto"/>
        <w:bottom w:val="none" w:sz="0" w:space="0" w:color="auto"/>
        <w:right w:val="none" w:sz="0" w:space="0" w:color="auto"/>
      </w:divBdr>
    </w:div>
    <w:div w:id="1483423184">
      <w:bodyDiv w:val="1"/>
      <w:marLeft w:val="0"/>
      <w:marRight w:val="0"/>
      <w:marTop w:val="0"/>
      <w:marBottom w:val="0"/>
      <w:divBdr>
        <w:top w:val="none" w:sz="0" w:space="0" w:color="auto"/>
        <w:left w:val="none" w:sz="0" w:space="0" w:color="auto"/>
        <w:bottom w:val="none" w:sz="0" w:space="0" w:color="auto"/>
        <w:right w:val="none" w:sz="0" w:space="0" w:color="auto"/>
      </w:divBdr>
    </w:div>
    <w:div w:id="1549685091">
      <w:bodyDiv w:val="1"/>
      <w:marLeft w:val="0"/>
      <w:marRight w:val="0"/>
      <w:marTop w:val="0"/>
      <w:marBottom w:val="0"/>
      <w:divBdr>
        <w:top w:val="none" w:sz="0" w:space="0" w:color="auto"/>
        <w:left w:val="none" w:sz="0" w:space="0" w:color="auto"/>
        <w:bottom w:val="none" w:sz="0" w:space="0" w:color="auto"/>
        <w:right w:val="none" w:sz="0" w:space="0" w:color="auto"/>
      </w:divBdr>
    </w:div>
    <w:div w:id="1647855043">
      <w:bodyDiv w:val="1"/>
      <w:marLeft w:val="0"/>
      <w:marRight w:val="0"/>
      <w:marTop w:val="0"/>
      <w:marBottom w:val="0"/>
      <w:divBdr>
        <w:top w:val="none" w:sz="0" w:space="0" w:color="auto"/>
        <w:left w:val="none" w:sz="0" w:space="0" w:color="auto"/>
        <w:bottom w:val="none" w:sz="0" w:space="0" w:color="auto"/>
        <w:right w:val="none" w:sz="0" w:space="0" w:color="auto"/>
      </w:divBdr>
    </w:div>
    <w:div w:id="1665932419">
      <w:bodyDiv w:val="1"/>
      <w:marLeft w:val="0"/>
      <w:marRight w:val="0"/>
      <w:marTop w:val="0"/>
      <w:marBottom w:val="0"/>
      <w:divBdr>
        <w:top w:val="none" w:sz="0" w:space="0" w:color="auto"/>
        <w:left w:val="none" w:sz="0" w:space="0" w:color="auto"/>
        <w:bottom w:val="none" w:sz="0" w:space="0" w:color="auto"/>
        <w:right w:val="none" w:sz="0" w:space="0" w:color="auto"/>
      </w:divBdr>
    </w:div>
    <w:div w:id="1666471395">
      <w:bodyDiv w:val="1"/>
      <w:marLeft w:val="0"/>
      <w:marRight w:val="0"/>
      <w:marTop w:val="0"/>
      <w:marBottom w:val="0"/>
      <w:divBdr>
        <w:top w:val="none" w:sz="0" w:space="0" w:color="auto"/>
        <w:left w:val="none" w:sz="0" w:space="0" w:color="auto"/>
        <w:bottom w:val="none" w:sz="0" w:space="0" w:color="auto"/>
        <w:right w:val="none" w:sz="0" w:space="0" w:color="auto"/>
      </w:divBdr>
    </w:div>
    <w:div w:id="1707439635">
      <w:bodyDiv w:val="1"/>
      <w:marLeft w:val="0"/>
      <w:marRight w:val="0"/>
      <w:marTop w:val="0"/>
      <w:marBottom w:val="0"/>
      <w:divBdr>
        <w:top w:val="none" w:sz="0" w:space="0" w:color="auto"/>
        <w:left w:val="none" w:sz="0" w:space="0" w:color="auto"/>
        <w:bottom w:val="none" w:sz="0" w:space="0" w:color="auto"/>
        <w:right w:val="none" w:sz="0" w:space="0" w:color="auto"/>
      </w:divBdr>
    </w:div>
    <w:div w:id="1709574149">
      <w:bodyDiv w:val="1"/>
      <w:marLeft w:val="0"/>
      <w:marRight w:val="0"/>
      <w:marTop w:val="0"/>
      <w:marBottom w:val="0"/>
      <w:divBdr>
        <w:top w:val="none" w:sz="0" w:space="0" w:color="auto"/>
        <w:left w:val="none" w:sz="0" w:space="0" w:color="auto"/>
        <w:bottom w:val="none" w:sz="0" w:space="0" w:color="auto"/>
        <w:right w:val="none" w:sz="0" w:space="0" w:color="auto"/>
      </w:divBdr>
    </w:div>
    <w:div w:id="1711102268">
      <w:bodyDiv w:val="1"/>
      <w:marLeft w:val="0"/>
      <w:marRight w:val="0"/>
      <w:marTop w:val="0"/>
      <w:marBottom w:val="0"/>
      <w:divBdr>
        <w:top w:val="none" w:sz="0" w:space="0" w:color="auto"/>
        <w:left w:val="none" w:sz="0" w:space="0" w:color="auto"/>
        <w:bottom w:val="none" w:sz="0" w:space="0" w:color="auto"/>
        <w:right w:val="none" w:sz="0" w:space="0" w:color="auto"/>
      </w:divBdr>
    </w:div>
    <w:div w:id="1748913372">
      <w:bodyDiv w:val="1"/>
      <w:marLeft w:val="0"/>
      <w:marRight w:val="0"/>
      <w:marTop w:val="0"/>
      <w:marBottom w:val="0"/>
      <w:divBdr>
        <w:top w:val="none" w:sz="0" w:space="0" w:color="auto"/>
        <w:left w:val="none" w:sz="0" w:space="0" w:color="auto"/>
        <w:bottom w:val="none" w:sz="0" w:space="0" w:color="auto"/>
        <w:right w:val="none" w:sz="0" w:space="0" w:color="auto"/>
      </w:divBdr>
    </w:div>
    <w:div w:id="1779567324">
      <w:bodyDiv w:val="1"/>
      <w:marLeft w:val="0"/>
      <w:marRight w:val="0"/>
      <w:marTop w:val="0"/>
      <w:marBottom w:val="0"/>
      <w:divBdr>
        <w:top w:val="none" w:sz="0" w:space="0" w:color="auto"/>
        <w:left w:val="none" w:sz="0" w:space="0" w:color="auto"/>
        <w:bottom w:val="none" w:sz="0" w:space="0" w:color="auto"/>
        <w:right w:val="none" w:sz="0" w:space="0" w:color="auto"/>
      </w:divBdr>
      <w:divsChild>
        <w:div w:id="1016227551">
          <w:marLeft w:val="0"/>
          <w:marRight w:val="0"/>
          <w:marTop w:val="0"/>
          <w:marBottom w:val="0"/>
          <w:divBdr>
            <w:top w:val="none" w:sz="0" w:space="0" w:color="auto"/>
            <w:left w:val="none" w:sz="0" w:space="0" w:color="auto"/>
            <w:bottom w:val="none" w:sz="0" w:space="0" w:color="auto"/>
            <w:right w:val="none" w:sz="0" w:space="0" w:color="auto"/>
          </w:divBdr>
        </w:div>
        <w:div w:id="667171009">
          <w:marLeft w:val="0"/>
          <w:marRight w:val="0"/>
          <w:marTop w:val="0"/>
          <w:marBottom w:val="0"/>
          <w:divBdr>
            <w:top w:val="none" w:sz="0" w:space="0" w:color="auto"/>
            <w:left w:val="none" w:sz="0" w:space="0" w:color="auto"/>
            <w:bottom w:val="none" w:sz="0" w:space="0" w:color="auto"/>
            <w:right w:val="none" w:sz="0" w:space="0" w:color="auto"/>
          </w:divBdr>
        </w:div>
        <w:div w:id="1316690931">
          <w:marLeft w:val="0"/>
          <w:marRight w:val="0"/>
          <w:marTop w:val="0"/>
          <w:marBottom w:val="0"/>
          <w:divBdr>
            <w:top w:val="none" w:sz="0" w:space="0" w:color="auto"/>
            <w:left w:val="none" w:sz="0" w:space="0" w:color="auto"/>
            <w:bottom w:val="none" w:sz="0" w:space="0" w:color="auto"/>
            <w:right w:val="none" w:sz="0" w:space="0" w:color="auto"/>
          </w:divBdr>
        </w:div>
        <w:div w:id="1498229696">
          <w:marLeft w:val="0"/>
          <w:marRight w:val="0"/>
          <w:marTop w:val="0"/>
          <w:marBottom w:val="0"/>
          <w:divBdr>
            <w:top w:val="none" w:sz="0" w:space="0" w:color="auto"/>
            <w:left w:val="none" w:sz="0" w:space="0" w:color="auto"/>
            <w:bottom w:val="none" w:sz="0" w:space="0" w:color="auto"/>
            <w:right w:val="none" w:sz="0" w:space="0" w:color="auto"/>
          </w:divBdr>
        </w:div>
      </w:divsChild>
    </w:div>
    <w:div w:id="1783722252">
      <w:bodyDiv w:val="1"/>
      <w:marLeft w:val="0"/>
      <w:marRight w:val="0"/>
      <w:marTop w:val="0"/>
      <w:marBottom w:val="0"/>
      <w:divBdr>
        <w:top w:val="none" w:sz="0" w:space="0" w:color="auto"/>
        <w:left w:val="none" w:sz="0" w:space="0" w:color="auto"/>
        <w:bottom w:val="none" w:sz="0" w:space="0" w:color="auto"/>
        <w:right w:val="none" w:sz="0" w:space="0" w:color="auto"/>
      </w:divBdr>
    </w:div>
    <w:div w:id="1785880472">
      <w:bodyDiv w:val="1"/>
      <w:marLeft w:val="0"/>
      <w:marRight w:val="0"/>
      <w:marTop w:val="0"/>
      <w:marBottom w:val="0"/>
      <w:divBdr>
        <w:top w:val="none" w:sz="0" w:space="0" w:color="auto"/>
        <w:left w:val="none" w:sz="0" w:space="0" w:color="auto"/>
        <w:bottom w:val="none" w:sz="0" w:space="0" w:color="auto"/>
        <w:right w:val="none" w:sz="0" w:space="0" w:color="auto"/>
      </w:divBdr>
    </w:div>
    <w:div w:id="1808742927">
      <w:bodyDiv w:val="1"/>
      <w:marLeft w:val="0"/>
      <w:marRight w:val="0"/>
      <w:marTop w:val="0"/>
      <w:marBottom w:val="0"/>
      <w:divBdr>
        <w:top w:val="none" w:sz="0" w:space="0" w:color="auto"/>
        <w:left w:val="none" w:sz="0" w:space="0" w:color="auto"/>
        <w:bottom w:val="none" w:sz="0" w:space="0" w:color="auto"/>
        <w:right w:val="none" w:sz="0" w:space="0" w:color="auto"/>
      </w:divBdr>
    </w:div>
    <w:div w:id="1937789391">
      <w:bodyDiv w:val="1"/>
      <w:marLeft w:val="0"/>
      <w:marRight w:val="0"/>
      <w:marTop w:val="0"/>
      <w:marBottom w:val="0"/>
      <w:divBdr>
        <w:top w:val="none" w:sz="0" w:space="0" w:color="auto"/>
        <w:left w:val="none" w:sz="0" w:space="0" w:color="auto"/>
        <w:bottom w:val="none" w:sz="0" w:space="0" w:color="auto"/>
        <w:right w:val="none" w:sz="0" w:space="0" w:color="auto"/>
      </w:divBdr>
      <w:divsChild>
        <w:div w:id="1907377363">
          <w:marLeft w:val="0"/>
          <w:marRight w:val="0"/>
          <w:marTop w:val="0"/>
          <w:marBottom w:val="0"/>
          <w:divBdr>
            <w:top w:val="none" w:sz="0" w:space="0" w:color="auto"/>
            <w:left w:val="none" w:sz="0" w:space="0" w:color="auto"/>
            <w:bottom w:val="none" w:sz="0" w:space="0" w:color="auto"/>
            <w:right w:val="none" w:sz="0" w:space="0" w:color="auto"/>
          </w:divBdr>
        </w:div>
      </w:divsChild>
    </w:div>
    <w:div w:id="1968660487">
      <w:bodyDiv w:val="1"/>
      <w:marLeft w:val="0"/>
      <w:marRight w:val="0"/>
      <w:marTop w:val="0"/>
      <w:marBottom w:val="0"/>
      <w:divBdr>
        <w:top w:val="none" w:sz="0" w:space="0" w:color="auto"/>
        <w:left w:val="none" w:sz="0" w:space="0" w:color="auto"/>
        <w:bottom w:val="none" w:sz="0" w:space="0" w:color="auto"/>
        <w:right w:val="none" w:sz="0" w:space="0" w:color="auto"/>
      </w:divBdr>
    </w:div>
    <w:div w:id="1969360162">
      <w:bodyDiv w:val="1"/>
      <w:marLeft w:val="0"/>
      <w:marRight w:val="0"/>
      <w:marTop w:val="0"/>
      <w:marBottom w:val="0"/>
      <w:divBdr>
        <w:top w:val="none" w:sz="0" w:space="0" w:color="auto"/>
        <w:left w:val="none" w:sz="0" w:space="0" w:color="auto"/>
        <w:bottom w:val="none" w:sz="0" w:space="0" w:color="auto"/>
        <w:right w:val="none" w:sz="0" w:space="0" w:color="auto"/>
      </w:divBdr>
    </w:div>
    <w:div w:id="1986161290">
      <w:bodyDiv w:val="1"/>
      <w:marLeft w:val="0"/>
      <w:marRight w:val="0"/>
      <w:marTop w:val="0"/>
      <w:marBottom w:val="0"/>
      <w:divBdr>
        <w:top w:val="none" w:sz="0" w:space="0" w:color="auto"/>
        <w:left w:val="none" w:sz="0" w:space="0" w:color="auto"/>
        <w:bottom w:val="none" w:sz="0" w:space="0" w:color="auto"/>
        <w:right w:val="none" w:sz="0" w:space="0" w:color="auto"/>
      </w:divBdr>
    </w:div>
    <w:div w:id="1988319995">
      <w:bodyDiv w:val="1"/>
      <w:marLeft w:val="0"/>
      <w:marRight w:val="0"/>
      <w:marTop w:val="0"/>
      <w:marBottom w:val="0"/>
      <w:divBdr>
        <w:top w:val="none" w:sz="0" w:space="0" w:color="auto"/>
        <w:left w:val="none" w:sz="0" w:space="0" w:color="auto"/>
        <w:bottom w:val="none" w:sz="0" w:space="0" w:color="auto"/>
        <w:right w:val="none" w:sz="0" w:space="0" w:color="auto"/>
      </w:divBdr>
    </w:div>
    <w:div w:id="2011054889">
      <w:bodyDiv w:val="1"/>
      <w:marLeft w:val="0"/>
      <w:marRight w:val="0"/>
      <w:marTop w:val="0"/>
      <w:marBottom w:val="0"/>
      <w:divBdr>
        <w:top w:val="none" w:sz="0" w:space="0" w:color="auto"/>
        <w:left w:val="none" w:sz="0" w:space="0" w:color="auto"/>
        <w:bottom w:val="none" w:sz="0" w:space="0" w:color="auto"/>
        <w:right w:val="none" w:sz="0" w:space="0" w:color="auto"/>
      </w:divBdr>
    </w:div>
    <w:div w:id="2017919519">
      <w:bodyDiv w:val="1"/>
      <w:marLeft w:val="0"/>
      <w:marRight w:val="0"/>
      <w:marTop w:val="0"/>
      <w:marBottom w:val="0"/>
      <w:divBdr>
        <w:top w:val="none" w:sz="0" w:space="0" w:color="auto"/>
        <w:left w:val="none" w:sz="0" w:space="0" w:color="auto"/>
        <w:bottom w:val="none" w:sz="0" w:space="0" w:color="auto"/>
        <w:right w:val="none" w:sz="0" w:space="0" w:color="auto"/>
      </w:divBdr>
    </w:div>
    <w:div w:id="2078166552">
      <w:bodyDiv w:val="1"/>
      <w:marLeft w:val="0"/>
      <w:marRight w:val="0"/>
      <w:marTop w:val="0"/>
      <w:marBottom w:val="0"/>
      <w:divBdr>
        <w:top w:val="none" w:sz="0" w:space="0" w:color="auto"/>
        <w:left w:val="none" w:sz="0" w:space="0" w:color="auto"/>
        <w:bottom w:val="none" w:sz="0" w:space="0" w:color="auto"/>
        <w:right w:val="none" w:sz="0" w:space="0" w:color="auto"/>
      </w:divBdr>
      <w:divsChild>
        <w:div w:id="2008091385">
          <w:marLeft w:val="0"/>
          <w:marRight w:val="0"/>
          <w:marTop w:val="0"/>
          <w:marBottom w:val="0"/>
          <w:divBdr>
            <w:top w:val="none" w:sz="0" w:space="0" w:color="auto"/>
            <w:left w:val="none" w:sz="0" w:space="0" w:color="auto"/>
            <w:bottom w:val="none" w:sz="0" w:space="0" w:color="auto"/>
            <w:right w:val="none" w:sz="0" w:space="0" w:color="auto"/>
          </w:divBdr>
        </w:div>
      </w:divsChild>
    </w:div>
    <w:div w:id="211651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7B61C23E9B2F444BD48E0E2217250C0" ma:contentTypeVersion="0" ma:contentTypeDescription="Kurkite naują dokumentą." ma:contentTypeScope="" ma:versionID="29a47e1d86d5cf8ff3bf32c25dbd4ab5">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5784E-0437-40A3-AAD7-6BC47501BFEC}">
  <ds:schemaRefs>
    <ds:schemaRef ds:uri="http://schemas.microsoft.com/office/2006/metadata/properties"/>
  </ds:schemaRefs>
</ds:datastoreItem>
</file>

<file path=customXml/itemProps2.xml><?xml version="1.0" encoding="utf-8"?>
<ds:datastoreItem xmlns:ds="http://schemas.openxmlformats.org/officeDocument/2006/customXml" ds:itemID="{B77C353B-3956-4E64-B983-C4F0654FC529}">
  <ds:schemaRefs>
    <ds:schemaRef ds:uri="http://schemas.microsoft.com/sharepoint/v3/contenttype/forms"/>
  </ds:schemaRefs>
</ds:datastoreItem>
</file>

<file path=customXml/itemProps3.xml><?xml version="1.0" encoding="utf-8"?>
<ds:datastoreItem xmlns:ds="http://schemas.openxmlformats.org/officeDocument/2006/customXml" ds:itemID="{A108C436-1F47-48AF-AE29-F4E46B325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C5A04FE-6701-4AFD-AAF3-60B93AB0B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21</Pages>
  <Words>53643</Words>
  <Characters>30578</Characters>
  <Application>Microsoft Office Word</Application>
  <DocSecurity>0</DocSecurity>
  <Lines>254</Lines>
  <Paragraphs>168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84053</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2019-03-28T13:05:00Z</dcterms:created>
  <dc:creator>Tautginas Mickevičius</dc:creator>
  <cp:lastModifiedBy>Andrius Šaparnis</cp:lastModifiedBy>
  <cp:lastPrinted>2017-03-22T09:05:00Z</cp:lastPrinted>
  <dcterms:modified xsi:type="dcterms:W3CDTF">2019-06-17T13:41:00Z</dcterms:modified>
  <cp:revision>10</cp:revision>
  <dc:title>c8e9736f-faf6-4c48-8638-29038ca13c45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0x010100D7B61C23E9B2F444BD48E0E2217250C0</vt:lpwstr>
  </property>
</Properties>
</file>