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rsidR="005F43FA" w:rsidRPr="005F43FA" w:rsidRDefault="0060507F" w:rsidP="001E163D">
      <w:pPr>
        <w:jc w:val="center"/>
        <w:rPr>
          <w:rFonts w:eastAsia="Calibri" w:cs="Times New Roman"/>
          <w:b/>
          <w:caps/>
          <w:szCs w:val="24"/>
        </w:rPr>
      </w:pPr>
      <w:r w:rsidRPr="0060507F">
        <w:rPr>
          <w:b/>
          <w:bCs/>
          <w:szCs w:val="24"/>
        </w:rPr>
        <w:t>DĖL VYRIAUSYBĖS NUTARIMO „DĖL LIETUVOS RESPUBLIKOS BAUDŽIAMOJO KODEKSO PAPILDYMO 1671 STRAIPSNIU ĮSTATYMO PROJEKTO NR. XIIIP-3746“ PROJEKTO</w:t>
      </w:r>
    </w:p>
    <w:tbl>
      <w:tblPr>
        <w:tblStyle w:val="TableGrid"/>
        <w:tblW w:w="15593" w:type="dxa"/>
        <w:tblInd w:w="-1139" w:type="dxa"/>
        <w:tblLook w:val="04A0" w:firstRow="1" w:lastRow="0" w:firstColumn="1" w:lastColumn="0" w:noHBand="0" w:noVBand="1"/>
      </w:tblPr>
      <w:tblGrid>
        <w:gridCol w:w="2127"/>
        <w:gridCol w:w="5670"/>
        <w:gridCol w:w="7796"/>
      </w:tblGrid>
      <w:tr w:rsidR="006959FE" w:rsidRPr="005F43FA" w:rsidTr="005F43FA">
        <w:tc>
          <w:tcPr>
            <w:tcW w:w="2127" w:type="dxa"/>
            <w:tcBorders>
              <w:top w:val="single" w:sz="4" w:space="0" w:color="auto"/>
              <w:left w:val="single" w:sz="4" w:space="0" w:color="auto"/>
              <w:bottom w:val="single" w:sz="4" w:space="0" w:color="auto"/>
              <w:right w:val="single" w:sz="4" w:space="0" w:color="auto"/>
            </w:tcBorders>
          </w:tcPr>
          <w:p w:rsidR="005D4147" w:rsidRPr="005F43FA" w:rsidRDefault="00502EF6" w:rsidP="00CF2553">
            <w:pPr>
              <w:rPr>
                <w:rFonts w:cs="Times New Roman"/>
                <w:szCs w:val="24"/>
              </w:rPr>
            </w:pPr>
            <w:r w:rsidRPr="005F43FA">
              <w:rPr>
                <w:rFonts w:cs="Times New Roman"/>
                <w:szCs w:val="24"/>
              </w:rPr>
              <w:t xml:space="preserve">Institucija </w:t>
            </w:r>
          </w:p>
        </w:tc>
        <w:tc>
          <w:tcPr>
            <w:tcW w:w="5670" w:type="dxa"/>
            <w:tcBorders>
              <w:top w:val="single" w:sz="4" w:space="0" w:color="auto"/>
              <w:left w:val="single" w:sz="4" w:space="0" w:color="auto"/>
              <w:bottom w:val="single" w:sz="4" w:space="0" w:color="auto"/>
              <w:right w:val="single" w:sz="4" w:space="0" w:color="auto"/>
            </w:tcBorders>
          </w:tcPr>
          <w:p w:rsidR="005D4147" w:rsidRPr="005F43FA" w:rsidRDefault="005D4147" w:rsidP="00CF2553">
            <w:pPr>
              <w:pStyle w:val="Preformatted"/>
              <w:tabs>
                <w:tab w:val="clear" w:pos="959"/>
                <w:tab w:val="clear" w:pos="1918"/>
                <w:tab w:val="left" w:pos="1276"/>
              </w:tabs>
              <w:ind w:left="709"/>
              <w:jc w:val="both"/>
              <w:rPr>
                <w:rFonts w:ascii="Times New Roman" w:hAnsi="Times New Roman"/>
                <w:sz w:val="24"/>
                <w:szCs w:val="24"/>
              </w:rPr>
            </w:pPr>
            <w:r w:rsidRPr="005F43FA">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rsidR="005D4147" w:rsidRPr="005F43FA" w:rsidRDefault="005D4147" w:rsidP="00CF2553">
            <w:pPr>
              <w:rPr>
                <w:rFonts w:cs="Times New Roman"/>
                <w:szCs w:val="24"/>
              </w:rPr>
            </w:pPr>
            <w:r w:rsidRPr="005F43FA">
              <w:rPr>
                <w:rFonts w:cs="Times New Roman"/>
                <w:szCs w:val="24"/>
              </w:rPr>
              <w:t>Įvertinimas</w:t>
            </w:r>
          </w:p>
        </w:tc>
      </w:tr>
      <w:tr w:rsidR="00F730E4" w:rsidRPr="005F43FA" w:rsidTr="005F43FA">
        <w:tc>
          <w:tcPr>
            <w:tcW w:w="2127" w:type="dxa"/>
            <w:tcBorders>
              <w:top w:val="single" w:sz="4" w:space="0" w:color="auto"/>
              <w:left w:val="single" w:sz="4" w:space="0" w:color="auto"/>
              <w:bottom w:val="single" w:sz="4" w:space="0" w:color="auto"/>
              <w:right w:val="single" w:sz="4" w:space="0" w:color="auto"/>
            </w:tcBorders>
          </w:tcPr>
          <w:p w:rsidR="00F730E4" w:rsidRDefault="004A2871" w:rsidP="004A2871">
            <w:pPr>
              <w:rPr>
                <w:rFonts w:cs="Times New Roman"/>
                <w:szCs w:val="24"/>
              </w:rPr>
            </w:pPr>
            <w:r>
              <w:rPr>
                <w:rFonts w:cs="Times New Roman"/>
                <w:szCs w:val="24"/>
              </w:rPr>
              <w:t xml:space="preserve">Lietuvos Respublikos Vyriausybės kanceliarijos Teisės grupės 2020-02-04 išvada </w:t>
            </w:r>
            <w:proofErr w:type="spellStart"/>
            <w:r>
              <w:rPr>
                <w:rFonts w:cs="Times New Roman"/>
                <w:szCs w:val="24"/>
              </w:rPr>
              <w:t>Nr</w:t>
            </w:r>
            <w:proofErr w:type="spellEnd"/>
            <w:r>
              <w:rPr>
                <w:rFonts w:cs="Times New Roman"/>
                <w:szCs w:val="24"/>
              </w:rPr>
              <w:t>. NV-293</w:t>
            </w:r>
          </w:p>
        </w:tc>
        <w:tc>
          <w:tcPr>
            <w:tcW w:w="5670" w:type="dxa"/>
            <w:tcBorders>
              <w:top w:val="single" w:sz="4" w:space="0" w:color="auto"/>
              <w:left w:val="single" w:sz="4" w:space="0" w:color="auto"/>
              <w:bottom w:val="single" w:sz="4" w:space="0" w:color="auto"/>
              <w:right w:val="single" w:sz="4" w:space="0" w:color="auto"/>
            </w:tcBorders>
          </w:tcPr>
          <w:p w:rsidR="00F730E4" w:rsidRPr="009E7247" w:rsidRDefault="00B00C8B" w:rsidP="0060507F">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1.</w:t>
            </w:r>
            <w:r w:rsidR="009E7247" w:rsidRPr="009E7247">
              <w:rPr>
                <w:rFonts w:ascii="Times New Roman" w:hAnsi="Times New Roman"/>
                <w:sz w:val="24"/>
                <w:szCs w:val="24"/>
              </w:rPr>
              <w:t xml:space="preserve">Visų pirma atkreipiame dėmesį į tai, kad Europos Tarybos konvencijos dėl smurto prieš moteris ir smurto artimoje aplinkoje prevencijos ir kovos su juo (toliau – Konvencija) ratifikavimo procesas Lietuvos Respublikoje nėra pasibaigęs, Lietuvos Respublikos įstatymo dėl Europos Tarybos konvencijos dėl smurto prieš moteris ir smurto artimoje aplinkoje prevencijos ir kovos su juo ratifikavimo projektas </w:t>
            </w:r>
            <w:proofErr w:type="spellStart"/>
            <w:r w:rsidR="009E7247" w:rsidRPr="009E7247">
              <w:rPr>
                <w:rFonts w:ascii="Times New Roman" w:hAnsi="Times New Roman"/>
                <w:sz w:val="24"/>
                <w:szCs w:val="24"/>
              </w:rPr>
              <w:t>Nr</w:t>
            </w:r>
            <w:proofErr w:type="spellEnd"/>
            <w:r w:rsidR="009E7247" w:rsidRPr="009E7247">
              <w:rPr>
                <w:rFonts w:ascii="Times New Roman" w:hAnsi="Times New Roman"/>
                <w:sz w:val="24"/>
                <w:szCs w:val="24"/>
              </w:rPr>
              <w:t xml:space="preserve">. XIIIP-2315 (toliau – Konvencijos ratifikavimo įstatymas) nėra priimtas, todėl nėra teisinio pagrindo įgyvendinti šios konvencijos nuostatų. Be kita ko, atkreipiame dėmesį į tai, kad Lietuvos Respublikos baudžiamojo kodekso papildymo 1671 straipsniu įstatymo projekto </w:t>
            </w:r>
            <w:proofErr w:type="spellStart"/>
            <w:r w:rsidR="009E7247" w:rsidRPr="009E7247">
              <w:rPr>
                <w:rFonts w:ascii="Times New Roman" w:hAnsi="Times New Roman"/>
                <w:sz w:val="24"/>
                <w:szCs w:val="24"/>
              </w:rPr>
              <w:t>Nr</w:t>
            </w:r>
            <w:proofErr w:type="spellEnd"/>
            <w:r w:rsidR="009E7247" w:rsidRPr="009E7247">
              <w:rPr>
                <w:rFonts w:ascii="Times New Roman" w:hAnsi="Times New Roman"/>
                <w:sz w:val="24"/>
                <w:szCs w:val="24"/>
              </w:rPr>
              <w:t xml:space="preserve">. XIIIIP-3746 (toliau – Įstatymo projektas) aiškinamojo rašto ir  Projekto 1 punkte cituojama nuostata, jog Konvencijos 34 straipsnis įpareigoja prie Konvencijos prisijungusias šalis imtis priemonių kriminalizuoti tyčinį pasikartojantį kitam asmeniui grėsmę keliantį elgesį, dėl kurio šis jaučiasi nesaugus, nėra tiksli, kadangi Konvencijos 78 straipsnio 3 dalis leidžia taikyti išlygą dėl Konvencijos 34 straipsnio nuostatų taikymo ir „vietoje baudžiamųjų sankcijų numatyti nebaudžiamąsias sankcijas“. Atsižvelgiant į tai, kad Konvencijos ratifikavimo įstatymas dar nėra priimtas, įstatymų leidėjas visų pirma turėtų apsispręsti dėl Konvencijos 78 straipsnio 3 dalyje numatytos išlygos taikymo ar netaikymo, ir tik tada priimti sprendimus dėl Konvencijos 34 straipsnio nuostatų įgyvendinimo. Šiuo atveju, Vyriausybė teikdama nuomonę dėl Įstatymo projekto, taip pat iš dalies pareiškia nuomonę ir dėl Konvencijos išlygų taikymo. Taigi visų pirma yra būtina įvertinti galimą Konvencijos išlygų taikymą, tokio teisinio reguliavimo </w:t>
            </w:r>
            <w:r w:rsidR="009E7247" w:rsidRPr="009E7247">
              <w:rPr>
                <w:rFonts w:ascii="Times New Roman" w:hAnsi="Times New Roman"/>
                <w:sz w:val="24"/>
                <w:szCs w:val="24"/>
              </w:rPr>
              <w:lastRenderedPageBreak/>
              <w:t>reikalingumą, jo tikslingumą, atitiktį galiojančiam teisiniam reguliavimui ir pateikti motyvuotą Vyriausybės nuomonę. Dėl šių aplinkybių visumos reikalinga papildomai įvertinti ir Vyriausybės poziciją „iš esmės pritarti“ įstatymo projektui.</w:t>
            </w:r>
          </w:p>
        </w:tc>
        <w:tc>
          <w:tcPr>
            <w:tcW w:w="7796" w:type="dxa"/>
            <w:tcBorders>
              <w:top w:val="single" w:sz="4" w:space="0" w:color="auto"/>
              <w:left w:val="single" w:sz="4" w:space="0" w:color="auto"/>
              <w:bottom w:val="single" w:sz="4" w:space="0" w:color="auto"/>
              <w:right w:val="single" w:sz="4" w:space="0" w:color="auto"/>
            </w:tcBorders>
          </w:tcPr>
          <w:p w:rsidR="00F730E4" w:rsidRDefault="00D46783" w:rsidP="005F43FA">
            <w:pPr>
              <w:jc w:val="both"/>
              <w:rPr>
                <w:rFonts w:cs="Times New Roman"/>
                <w:b/>
                <w:szCs w:val="24"/>
              </w:rPr>
            </w:pPr>
            <w:r>
              <w:rPr>
                <w:rFonts w:cs="Times New Roman"/>
                <w:b/>
                <w:szCs w:val="24"/>
              </w:rPr>
              <w:lastRenderedPageBreak/>
              <w:t>Neatsižvelgta</w:t>
            </w:r>
          </w:p>
          <w:p w:rsidR="00E845B6" w:rsidRDefault="005826FC" w:rsidP="009724AE">
            <w:pPr>
              <w:jc w:val="both"/>
              <w:rPr>
                <w:rFonts w:eastAsia="Times New Roman" w:cs="Times New Roman"/>
                <w:iCs/>
                <w:color w:val="000000"/>
                <w:szCs w:val="24"/>
                <w:lang w:eastAsia="lt-LT"/>
              </w:rPr>
            </w:pPr>
            <w:r>
              <w:rPr>
                <w:rFonts w:cs="Times New Roman"/>
                <w:szCs w:val="24"/>
              </w:rPr>
              <w:t>Pažymėtina</w:t>
            </w:r>
            <w:r w:rsidR="00002DEE">
              <w:rPr>
                <w:rFonts w:cs="Times New Roman"/>
                <w:szCs w:val="24"/>
              </w:rPr>
              <w:t xml:space="preserve">, kad vien tai, </w:t>
            </w:r>
            <w:r w:rsidR="00DA6836">
              <w:rPr>
                <w:rFonts w:cs="Times New Roman"/>
                <w:szCs w:val="24"/>
              </w:rPr>
              <w:t>jog</w:t>
            </w:r>
            <w:r w:rsidR="00002DEE">
              <w:rPr>
                <w:rFonts w:cs="Times New Roman"/>
                <w:szCs w:val="24"/>
              </w:rPr>
              <w:t xml:space="preserve"> </w:t>
            </w:r>
            <w:r w:rsidR="00002DEE" w:rsidRPr="009E7247">
              <w:rPr>
                <w:szCs w:val="24"/>
              </w:rPr>
              <w:t>Konvencij</w:t>
            </w:r>
            <w:r w:rsidR="00002DEE">
              <w:rPr>
                <w:szCs w:val="24"/>
              </w:rPr>
              <w:t>os</w:t>
            </w:r>
            <w:r w:rsidR="00002DEE" w:rsidRPr="009E7247">
              <w:rPr>
                <w:szCs w:val="24"/>
              </w:rPr>
              <w:t xml:space="preserve"> ratifikavimo procesas Lietuvos Respublikoje nėra pasibaigęs</w:t>
            </w:r>
            <w:r w:rsidR="00002DEE">
              <w:rPr>
                <w:szCs w:val="24"/>
              </w:rPr>
              <w:t>,</w:t>
            </w:r>
            <w:r>
              <w:rPr>
                <w:szCs w:val="24"/>
              </w:rPr>
              <w:t xml:space="preserve"> savaime</w:t>
            </w:r>
            <w:r w:rsidR="00002DEE">
              <w:rPr>
                <w:szCs w:val="24"/>
              </w:rPr>
              <w:t xml:space="preserve"> nereiškia, kad negalima nacionalinės teisės</w:t>
            </w:r>
            <w:r>
              <w:rPr>
                <w:szCs w:val="24"/>
              </w:rPr>
              <w:t xml:space="preserve"> aktų</w:t>
            </w:r>
            <w:r w:rsidR="00002DEE">
              <w:rPr>
                <w:szCs w:val="24"/>
              </w:rPr>
              <w:t xml:space="preserve"> nuostatų suderinti su Konvencijos nuostatomis.</w:t>
            </w:r>
            <w:r w:rsidR="000473E1">
              <w:rPr>
                <w:szCs w:val="24"/>
              </w:rPr>
              <w:t xml:space="preserve"> Atsižvelgiant į tai, kad </w:t>
            </w:r>
            <w:r w:rsidR="003437F9" w:rsidRPr="009E7247">
              <w:rPr>
                <w:szCs w:val="24"/>
              </w:rPr>
              <w:t>Konvencijos ratifikavimo įstatym</w:t>
            </w:r>
            <w:r w:rsidR="003C6CEF">
              <w:rPr>
                <w:szCs w:val="24"/>
              </w:rPr>
              <w:t>o projektas</w:t>
            </w:r>
            <w:r w:rsidR="003437F9">
              <w:rPr>
                <w:szCs w:val="24"/>
              </w:rPr>
              <w:t xml:space="preserve"> jau yra registruotas Lietuvos Respublikos Seime, </w:t>
            </w:r>
            <w:r w:rsidR="00DA6836">
              <w:rPr>
                <w:szCs w:val="24"/>
              </w:rPr>
              <w:t>egzistuoja</w:t>
            </w:r>
            <w:r w:rsidR="003437F9">
              <w:rPr>
                <w:szCs w:val="24"/>
              </w:rPr>
              <w:t xml:space="preserve"> didelė </w:t>
            </w:r>
            <w:r w:rsidR="00DA6836">
              <w:rPr>
                <w:szCs w:val="24"/>
              </w:rPr>
              <w:t xml:space="preserve">ir reali </w:t>
            </w:r>
            <w:r w:rsidR="003437F9">
              <w:rPr>
                <w:szCs w:val="24"/>
              </w:rPr>
              <w:t xml:space="preserve">tikimybė, kad ankščiau ar vėliau </w:t>
            </w:r>
            <w:r w:rsidR="00DA6836">
              <w:rPr>
                <w:szCs w:val="24"/>
              </w:rPr>
              <w:t>aptariama</w:t>
            </w:r>
            <w:r w:rsidR="003437F9">
              <w:rPr>
                <w:szCs w:val="24"/>
              </w:rPr>
              <w:t xml:space="preserve"> Konvencija bus ratifikuota, juolab atsižvelgiant į tai, kad </w:t>
            </w:r>
            <w:r w:rsidR="00EB7C20">
              <w:rPr>
                <w:szCs w:val="24"/>
              </w:rPr>
              <w:t>tik 6 i</w:t>
            </w:r>
            <w:r w:rsidR="0053761B">
              <w:rPr>
                <w:szCs w:val="24"/>
              </w:rPr>
              <w:t>š</w:t>
            </w:r>
            <w:r w:rsidR="00EB7C20">
              <w:rPr>
                <w:szCs w:val="24"/>
              </w:rPr>
              <w:t xml:space="preserve"> 27 Europos Sąjungos valstybių narių</w:t>
            </w:r>
            <w:r w:rsidR="003C6CEF">
              <w:rPr>
                <w:szCs w:val="24"/>
              </w:rPr>
              <w:t xml:space="preserve"> dar</w:t>
            </w:r>
            <w:r w:rsidR="00EB7C20">
              <w:rPr>
                <w:szCs w:val="24"/>
              </w:rPr>
              <w:t xml:space="preserve"> nėra </w:t>
            </w:r>
            <w:r>
              <w:rPr>
                <w:szCs w:val="24"/>
              </w:rPr>
              <w:t>jos ratifikavę</w:t>
            </w:r>
            <w:r w:rsidR="00EB7C20">
              <w:rPr>
                <w:szCs w:val="24"/>
              </w:rPr>
              <w:t>. T</w:t>
            </w:r>
            <w:r w:rsidR="009537C0">
              <w:rPr>
                <w:szCs w:val="24"/>
              </w:rPr>
              <w:t xml:space="preserve">aip pat pažymėtina, kad nacionalinės teisės aktų nuostatų ir Konvencijos suderinimas yra </w:t>
            </w:r>
            <w:r w:rsidR="009537C0">
              <w:rPr>
                <w:i/>
                <w:szCs w:val="24"/>
              </w:rPr>
              <w:t>tik vienas</w:t>
            </w:r>
            <w:r w:rsidR="009537C0">
              <w:rPr>
                <w:szCs w:val="24"/>
              </w:rPr>
              <w:t xml:space="preserve"> iš BK projektu siūlomo kriminalizavimo tikslų. </w:t>
            </w:r>
            <w:r w:rsidR="00623ADE">
              <w:rPr>
                <w:szCs w:val="24"/>
              </w:rPr>
              <w:t xml:space="preserve">BK projekto autoriai aiškinamajame rašte nurodo, kad </w:t>
            </w:r>
            <w:r w:rsidR="006A6A7A">
              <w:rPr>
                <w:rFonts w:eastAsia="Times New Roman" w:cs="Times New Roman"/>
                <w:iCs/>
                <w:color w:val="000000"/>
                <w:szCs w:val="24"/>
                <w:lang w:eastAsia="lt-LT"/>
              </w:rPr>
              <w:t>BK</w:t>
            </w:r>
            <w:r w:rsidR="006A6A7A" w:rsidRPr="000348EF">
              <w:rPr>
                <w:rFonts w:eastAsia="Times New Roman" w:cs="Times New Roman"/>
                <w:iCs/>
                <w:color w:val="000000"/>
                <w:szCs w:val="24"/>
                <w:lang w:eastAsia="lt-LT"/>
              </w:rPr>
              <w:t xml:space="preserve"> </w:t>
            </w:r>
            <w:r w:rsidR="006A6A7A">
              <w:rPr>
                <w:rFonts w:eastAsia="Times New Roman" w:cs="Times New Roman"/>
                <w:iCs/>
                <w:color w:val="000000"/>
                <w:szCs w:val="24"/>
                <w:lang w:eastAsia="lt-LT"/>
              </w:rPr>
              <w:t>„</w:t>
            </w:r>
            <w:r w:rsidR="006A6A7A" w:rsidRPr="00E80660">
              <w:rPr>
                <w:rFonts w:eastAsia="Times New Roman" w:cs="Times New Roman"/>
                <w:i/>
                <w:iCs/>
                <w:color w:val="000000"/>
                <w:szCs w:val="24"/>
                <w:lang w:eastAsia="lt-LT"/>
              </w:rPr>
              <w:t>projektu siekiama nustatyti atsakomybę už asmens persekiojimą, siekiant apsaugoti žmogaus teisę į privatų gyvenimą bei laiku užkirsti kelią sunkesniems nusikaltimams</w:t>
            </w:r>
            <w:r w:rsidR="006A6A7A">
              <w:rPr>
                <w:rFonts w:eastAsia="Times New Roman" w:cs="Times New Roman"/>
                <w:iCs/>
                <w:color w:val="000000"/>
                <w:szCs w:val="24"/>
                <w:lang w:eastAsia="lt-LT"/>
              </w:rPr>
              <w:t>“</w:t>
            </w:r>
            <w:r w:rsidR="006A6A7A" w:rsidRPr="000348EF">
              <w:rPr>
                <w:rFonts w:eastAsia="Times New Roman" w:cs="Times New Roman"/>
                <w:iCs/>
                <w:color w:val="000000"/>
                <w:szCs w:val="24"/>
                <w:lang w:eastAsia="lt-LT"/>
              </w:rPr>
              <w:t>.</w:t>
            </w:r>
            <w:r w:rsidR="006A6A7A">
              <w:rPr>
                <w:rFonts w:eastAsia="Times New Roman" w:cs="Times New Roman"/>
                <w:iCs/>
                <w:color w:val="000000"/>
                <w:szCs w:val="24"/>
                <w:lang w:eastAsia="lt-LT"/>
              </w:rPr>
              <w:t xml:space="preserve"> </w:t>
            </w:r>
            <w:r w:rsidR="00513663">
              <w:rPr>
                <w:rFonts w:eastAsia="Times New Roman" w:cs="Times New Roman"/>
                <w:iCs/>
                <w:color w:val="000000"/>
                <w:szCs w:val="24"/>
                <w:lang w:eastAsia="lt-LT"/>
              </w:rPr>
              <w:t xml:space="preserve">Ypatingai atkreipiame dėmesį į tai, kad Teisingumo ministerija </w:t>
            </w:r>
            <w:r w:rsidR="00513663">
              <w:rPr>
                <w:rFonts w:eastAsia="Times New Roman" w:cs="Times New Roman"/>
                <w:i/>
                <w:iCs/>
                <w:color w:val="000000"/>
                <w:szCs w:val="24"/>
                <w:lang w:eastAsia="lt-LT"/>
              </w:rPr>
              <w:t>pritartų tik tokiam persekiojimo kriminalizavimui, kuris yra siūlomas Projekto 3 punkte</w:t>
            </w:r>
            <w:r w:rsidR="00513663">
              <w:rPr>
                <w:rFonts w:eastAsia="Times New Roman" w:cs="Times New Roman"/>
                <w:iCs/>
                <w:color w:val="000000"/>
                <w:szCs w:val="24"/>
                <w:lang w:eastAsia="lt-LT"/>
              </w:rPr>
              <w:t xml:space="preserve">. </w:t>
            </w:r>
            <w:r w:rsidR="006A6A7A">
              <w:rPr>
                <w:rFonts w:eastAsia="Times New Roman" w:cs="Times New Roman"/>
                <w:iCs/>
                <w:color w:val="000000"/>
                <w:szCs w:val="24"/>
                <w:lang w:eastAsia="lt-LT"/>
              </w:rPr>
              <w:t xml:space="preserve">Teisingumo ministerijos vertinimu, antrojo tikslo pakanka inicijuoti aptariamus baudžiamojo įstatymo pakeitimus, kadangi neabejotina, </w:t>
            </w:r>
            <w:r>
              <w:rPr>
                <w:rFonts w:eastAsia="Times New Roman" w:cs="Times New Roman"/>
                <w:iCs/>
                <w:color w:val="000000"/>
                <w:szCs w:val="24"/>
                <w:lang w:eastAsia="lt-LT"/>
              </w:rPr>
              <w:t xml:space="preserve">kad </w:t>
            </w:r>
            <w:r w:rsidR="006A6A7A">
              <w:rPr>
                <w:rFonts w:eastAsia="Times New Roman" w:cs="Times New Roman"/>
                <w:iCs/>
                <w:color w:val="000000"/>
                <w:szCs w:val="24"/>
                <w:lang w:eastAsia="lt-LT"/>
              </w:rPr>
              <w:t>jie atitinka baudžiamojo įstatymo paskirtį -</w:t>
            </w:r>
            <w:r w:rsidR="006A6A7A" w:rsidRPr="006A6A7A">
              <w:rPr>
                <w:rFonts w:eastAsia="Times New Roman" w:cs="Times New Roman"/>
                <w:iCs/>
                <w:color w:val="000000"/>
                <w:szCs w:val="24"/>
                <w:lang w:eastAsia="lt-LT"/>
              </w:rPr>
              <w:t xml:space="preserve"> baudžiamosios teisės priemonėmis ginti žmogaus ir piliečio teises bei laisves, visuomenės ir valstybės interesus nuo nusikalstamų veikų.</w:t>
            </w:r>
            <w:r w:rsidR="00FC5CC8">
              <w:rPr>
                <w:rFonts w:eastAsia="Times New Roman" w:cs="Times New Roman"/>
                <w:iCs/>
                <w:color w:val="000000"/>
                <w:szCs w:val="24"/>
                <w:lang w:eastAsia="lt-LT"/>
              </w:rPr>
              <w:t xml:space="preserve"> Manytina, kad šiuo atveju BK </w:t>
            </w:r>
            <w:r>
              <w:rPr>
                <w:rFonts w:eastAsia="Times New Roman" w:cs="Times New Roman"/>
                <w:iCs/>
                <w:color w:val="000000"/>
                <w:szCs w:val="24"/>
                <w:lang w:eastAsia="lt-LT"/>
              </w:rPr>
              <w:t xml:space="preserve">projekto </w:t>
            </w:r>
            <w:r w:rsidR="00FC5CC8">
              <w:rPr>
                <w:rFonts w:eastAsia="Times New Roman" w:cs="Times New Roman"/>
                <w:iCs/>
                <w:color w:val="000000"/>
                <w:szCs w:val="24"/>
                <w:lang w:eastAsia="lt-LT"/>
              </w:rPr>
              <w:t>autorių iškeltus tikslus galima pasiekti tik baudžiamosios teisės priemonėmis, kadangi kitų teisės šakų normos (</w:t>
            </w:r>
            <w:r w:rsidR="002132F8">
              <w:rPr>
                <w:rFonts w:eastAsia="Times New Roman" w:cs="Times New Roman"/>
                <w:iCs/>
                <w:color w:val="000000"/>
                <w:szCs w:val="24"/>
                <w:lang w:eastAsia="lt-LT"/>
              </w:rPr>
              <w:t>Lietuvos Respublikos administracinių</w:t>
            </w:r>
            <w:r w:rsidR="00FC5CC8">
              <w:rPr>
                <w:rFonts w:eastAsia="Times New Roman" w:cs="Times New Roman"/>
                <w:iCs/>
                <w:color w:val="000000"/>
                <w:szCs w:val="24"/>
                <w:lang w:eastAsia="lt-LT"/>
              </w:rPr>
              <w:t xml:space="preserve"> nusižengimų</w:t>
            </w:r>
            <w:r w:rsidR="002132F8">
              <w:rPr>
                <w:rFonts w:eastAsia="Times New Roman" w:cs="Times New Roman"/>
                <w:iCs/>
                <w:color w:val="000000"/>
                <w:szCs w:val="24"/>
                <w:lang w:eastAsia="lt-LT"/>
              </w:rPr>
              <w:t xml:space="preserve"> kodeksas (toliau – ANK</w:t>
            </w:r>
            <w:r w:rsidR="00FC5CC8">
              <w:rPr>
                <w:rFonts w:eastAsia="Times New Roman" w:cs="Times New Roman"/>
                <w:iCs/>
                <w:color w:val="000000"/>
                <w:szCs w:val="24"/>
                <w:lang w:eastAsia="lt-LT"/>
              </w:rPr>
              <w:t>)</w:t>
            </w:r>
            <w:r>
              <w:rPr>
                <w:rFonts w:eastAsia="Times New Roman" w:cs="Times New Roman"/>
                <w:iCs/>
                <w:color w:val="000000"/>
                <w:szCs w:val="24"/>
                <w:lang w:eastAsia="lt-LT"/>
              </w:rPr>
              <w:t>)</w:t>
            </w:r>
            <w:r w:rsidR="00FC5CC8">
              <w:rPr>
                <w:rFonts w:eastAsia="Times New Roman" w:cs="Times New Roman"/>
                <w:iCs/>
                <w:color w:val="000000"/>
                <w:szCs w:val="24"/>
                <w:lang w:eastAsia="lt-LT"/>
              </w:rPr>
              <w:t xml:space="preserve"> </w:t>
            </w:r>
            <w:r w:rsidR="00FC5CC8" w:rsidRPr="002132F8">
              <w:rPr>
                <w:rFonts w:eastAsia="Times New Roman" w:cs="Times New Roman"/>
                <w:i/>
                <w:iCs/>
                <w:color w:val="000000"/>
                <w:szCs w:val="24"/>
                <w:lang w:eastAsia="lt-LT"/>
              </w:rPr>
              <w:t xml:space="preserve">nėra pakankamos efektyviai užtikrinti, kad asmenys nepatirtų neteisėto kėsinimosi į jų privatų gyvenimą, kuris </w:t>
            </w:r>
            <w:r>
              <w:rPr>
                <w:rFonts w:eastAsia="Times New Roman" w:cs="Times New Roman"/>
                <w:i/>
                <w:iCs/>
                <w:color w:val="000000"/>
                <w:szCs w:val="24"/>
                <w:lang w:eastAsia="lt-LT"/>
              </w:rPr>
              <w:t>kartu</w:t>
            </w:r>
            <w:r w:rsidR="00FC5CC8" w:rsidRPr="002132F8">
              <w:rPr>
                <w:rFonts w:eastAsia="Times New Roman" w:cs="Times New Roman"/>
                <w:i/>
                <w:iCs/>
                <w:color w:val="000000"/>
                <w:szCs w:val="24"/>
                <w:lang w:eastAsia="lt-LT"/>
              </w:rPr>
              <w:t xml:space="preserve"> sukelia jiems neigiamas pasekmes</w:t>
            </w:r>
            <w:r w:rsidR="00FC5CC8">
              <w:rPr>
                <w:rFonts w:eastAsia="Times New Roman" w:cs="Times New Roman"/>
                <w:iCs/>
                <w:color w:val="000000"/>
                <w:szCs w:val="24"/>
                <w:lang w:eastAsia="lt-LT"/>
              </w:rPr>
              <w:t xml:space="preserve"> (baimės ar nesaugumo jausmą). </w:t>
            </w:r>
            <w:r w:rsidR="002132F8">
              <w:rPr>
                <w:rFonts w:eastAsia="Times New Roman" w:cs="Times New Roman"/>
                <w:iCs/>
                <w:color w:val="000000"/>
                <w:szCs w:val="24"/>
                <w:lang w:eastAsia="lt-LT"/>
              </w:rPr>
              <w:t xml:space="preserve">Šiuo aspektu pažymėtina, kad tik baudžiamojo įstatymo normos egzistavimas šiuo atveju sukuria pagrindą taikyti </w:t>
            </w:r>
            <w:r w:rsidR="004F455E">
              <w:rPr>
                <w:rFonts w:eastAsia="Times New Roman" w:cs="Times New Roman"/>
                <w:iCs/>
                <w:color w:val="000000"/>
                <w:szCs w:val="24"/>
                <w:lang w:eastAsia="lt-LT"/>
              </w:rPr>
              <w:t xml:space="preserve">Lietuvos Respublikos baudžiamojo proceso kodekse (toliau – BPK) įtvirtintas </w:t>
            </w:r>
            <w:r w:rsidR="00513663">
              <w:rPr>
                <w:rFonts w:eastAsia="Times New Roman" w:cs="Times New Roman"/>
                <w:iCs/>
                <w:color w:val="000000"/>
                <w:szCs w:val="24"/>
                <w:lang w:eastAsia="lt-LT"/>
              </w:rPr>
              <w:t>kardomąsia</w:t>
            </w:r>
            <w:r w:rsidR="002132F8">
              <w:rPr>
                <w:rFonts w:eastAsia="Times New Roman" w:cs="Times New Roman"/>
                <w:iCs/>
                <w:color w:val="000000"/>
                <w:szCs w:val="24"/>
                <w:lang w:eastAsia="lt-LT"/>
              </w:rPr>
              <w:t>s priemones</w:t>
            </w:r>
            <w:r w:rsidR="004F455E">
              <w:rPr>
                <w:rFonts w:eastAsia="Times New Roman" w:cs="Times New Roman"/>
                <w:iCs/>
                <w:color w:val="000000"/>
                <w:szCs w:val="24"/>
                <w:lang w:eastAsia="lt-LT"/>
              </w:rPr>
              <w:t xml:space="preserve"> (pavyzdžiui, </w:t>
            </w:r>
            <w:r w:rsidR="00513663" w:rsidRPr="00513663">
              <w:rPr>
                <w:rFonts w:eastAsia="Times New Roman" w:cs="Times New Roman"/>
                <w:bCs/>
                <w:iCs/>
                <w:color w:val="000000"/>
                <w:szCs w:val="24"/>
                <w:lang w:eastAsia="lt-LT"/>
              </w:rPr>
              <w:t xml:space="preserve">įpareigojimą gyventi skyrium nuo nukentėjusiojo ir (ar) nesiartinti prie nukentėjusiojo arčiau nei nustatytu atstumu, intensyvią priežiūra ir </w:t>
            </w:r>
            <w:proofErr w:type="spellStart"/>
            <w:r w:rsidR="00513663" w:rsidRPr="00513663">
              <w:rPr>
                <w:rFonts w:eastAsia="Times New Roman" w:cs="Times New Roman"/>
                <w:bCs/>
                <w:iCs/>
                <w:color w:val="000000"/>
                <w:szCs w:val="24"/>
                <w:lang w:eastAsia="lt-LT"/>
              </w:rPr>
              <w:t>kt</w:t>
            </w:r>
            <w:proofErr w:type="spellEnd"/>
            <w:r w:rsidR="00513663" w:rsidRPr="00513663">
              <w:rPr>
                <w:rFonts w:eastAsia="Times New Roman" w:cs="Times New Roman"/>
                <w:bCs/>
                <w:iCs/>
                <w:color w:val="000000"/>
                <w:szCs w:val="24"/>
                <w:lang w:eastAsia="lt-LT"/>
              </w:rPr>
              <w:t>.)</w:t>
            </w:r>
            <w:r w:rsidR="004F455E">
              <w:rPr>
                <w:rFonts w:eastAsia="Times New Roman" w:cs="Times New Roman"/>
                <w:iCs/>
                <w:color w:val="000000"/>
                <w:szCs w:val="24"/>
                <w:lang w:eastAsia="lt-LT"/>
              </w:rPr>
              <w:t xml:space="preserve">, kurios realiai gali apsaugoti asmenis nuo aptariamo pavojingo kėsinimosi. </w:t>
            </w:r>
            <w:r w:rsidR="00513663">
              <w:rPr>
                <w:rFonts w:eastAsia="Times New Roman" w:cs="Times New Roman"/>
                <w:iCs/>
                <w:color w:val="000000"/>
                <w:szCs w:val="24"/>
                <w:lang w:eastAsia="lt-LT"/>
              </w:rPr>
              <w:t xml:space="preserve">Kartu pažymėtina, kad tik BK įtvirtintos sankcijos bei jų sistema sukuria prielaidas ne tik </w:t>
            </w:r>
            <w:r w:rsidR="00513663">
              <w:rPr>
                <w:rFonts w:eastAsia="Times New Roman" w:cs="Times New Roman"/>
                <w:iCs/>
                <w:color w:val="000000"/>
                <w:szCs w:val="24"/>
                <w:lang w:eastAsia="lt-LT"/>
              </w:rPr>
              <w:lastRenderedPageBreak/>
              <w:t>efektyviau atgrasyti asmenis nuo nusikalstamų veikų dary</w:t>
            </w:r>
            <w:r w:rsidR="00E845B6">
              <w:rPr>
                <w:rFonts w:eastAsia="Times New Roman" w:cs="Times New Roman"/>
                <w:iCs/>
                <w:color w:val="000000"/>
                <w:szCs w:val="24"/>
                <w:lang w:eastAsia="lt-LT"/>
              </w:rPr>
              <w:t>mo, bet ir užtikrina, kad asmenys</w:t>
            </w:r>
            <w:r>
              <w:rPr>
                <w:rFonts w:eastAsia="Times New Roman" w:cs="Times New Roman"/>
                <w:iCs/>
                <w:color w:val="000000"/>
                <w:szCs w:val="24"/>
                <w:lang w:eastAsia="lt-LT"/>
              </w:rPr>
              <w:t xml:space="preserve"> būtų teising</w:t>
            </w:r>
            <w:r w:rsidR="00C55BEE">
              <w:rPr>
                <w:rFonts w:eastAsia="Times New Roman" w:cs="Times New Roman"/>
                <w:iCs/>
                <w:color w:val="000000"/>
                <w:szCs w:val="24"/>
                <w:lang w:eastAsia="lt-LT"/>
              </w:rPr>
              <w:t>ai nubausti</w:t>
            </w:r>
            <w:r>
              <w:rPr>
                <w:rFonts w:eastAsia="Times New Roman" w:cs="Times New Roman"/>
                <w:iCs/>
                <w:color w:val="000000"/>
                <w:szCs w:val="24"/>
                <w:lang w:eastAsia="lt-LT"/>
              </w:rPr>
              <w:t xml:space="preserve">. </w:t>
            </w:r>
            <w:r w:rsidR="00FF744C">
              <w:rPr>
                <w:rFonts w:eastAsia="Times New Roman" w:cs="Times New Roman"/>
                <w:iCs/>
                <w:color w:val="000000"/>
                <w:szCs w:val="24"/>
                <w:lang w:eastAsia="lt-LT"/>
              </w:rPr>
              <w:t>Atsižvelgiant į tai, Teisingumo ministerija neabejoja, kad</w:t>
            </w:r>
            <w:r w:rsidR="00C55BEE">
              <w:rPr>
                <w:rFonts w:eastAsia="Times New Roman" w:cs="Times New Roman"/>
                <w:iCs/>
                <w:color w:val="000000"/>
                <w:szCs w:val="24"/>
                <w:lang w:eastAsia="lt-LT"/>
              </w:rPr>
              <w:t xml:space="preserve"> Teisingumo ministerijos patobulinta siūloma kriminalizuoti nusikalstama veika </w:t>
            </w:r>
            <w:r w:rsidR="00FF744C">
              <w:rPr>
                <w:rFonts w:eastAsia="Times New Roman" w:cs="Times New Roman"/>
                <w:iCs/>
                <w:color w:val="000000"/>
                <w:szCs w:val="24"/>
                <w:lang w:eastAsia="lt-LT"/>
              </w:rPr>
              <w:t>yra pakankamai pavojinga, kad būtų įtvirtinta baudžiamajame įstatyme ir neprieštarauja baudžiamosios atsakomybės, kaip kraštutinės priemonės</w:t>
            </w:r>
            <w:r w:rsidR="00B44C83">
              <w:rPr>
                <w:rFonts w:eastAsia="Times New Roman" w:cs="Times New Roman"/>
                <w:iCs/>
                <w:color w:val="000000"/>
                <w:szCs w:val="24"/>
                <w:lang w:eastAsia="lt-LT"/>
              </w:rPr>
              <w:t>,</w:t>
            </w:r>
            <w:r w:rsidR="00FF744C">
              <w:rPr>
                <w:rFonts w:eastAsia="Times New Roman" w:cs="Times New Roman"/>
                <w:iCs/>
                <w:color w:val="000000"/>
                <w:szCs w:val="24"/>
                <w:lang w:eastAsia="lt-LT"/>
              </w:rPr>
              <w:t xml:space="preserve"> principui.</w:t>
            </w:r>
          </w:p>
          <w:p w:rsidR="007522A3" w:rsidRDefault="007522A3" w:rsidP="009724AE">
            <w:pPr>
              <w:jc w:val="both"/>
              <w:rPr>
                <w:rFonts w:eastAsia="Times New Roman" w:cs="Times New Roman"/>
                <w:iCs/>
                <w:color w:val="000000"/>
                <w:szCs w:val="24"/>
                <w:lang w:eastAsia="lt-LT"/>
              </w:rPr>
            </w:pPr>
            <w:r>
              <w:rPr>
                <w:rFonts w:eastAsia="Times New Roman" w:cs="Times New Roman"/>
                <w:iCs/>
                <w:color w:val="000000"/>
                <w:szCs w:val="24"/>
                <w:lang w:eastAsia="lt-LT"/>
              </w:rPr>
              <w:t xml:space="preserve">Taip pat atkreipiame dėmesį į tai, kad </w:t>
            </w:r>
            <w:r w:rsidRPr="00B44C83">
              <w:rPr>
                <w:i/>
                <w:szCs w:val="24"/>
              </w:rPr>
              <w:t>Konvencijos ratifikavimo įstatymo projekte nėra pateikta jokių Konvencijos išlygų</w:t>
            </w:r>
            <w:r>
              <w:rPr>
                <w:szCs w:val="24"/>
              </w:rPr>
              <w:t xml:space="preserve">, todėl </w:t>
            </w:r>
            <w:proofErr w:type="spellStart"/>
            <w:r>
              <w:rPr>
                <w:szCs w:val="24"/>
              </w:rPr>
              <w:t>preziumuojama</w:t>
            </w:r>
            <w:proofErr w:type="spellEnd"/>
            <w:r>
              <w:rPr>
                <w:szCs w:val="24"/>
              </w:rPr>
              <w:t xml:space="preserve">, kad Konvencijos 34 straipsnis, ratifikavus Konvenciją, turėtų būti </w:t>
            </w:r>
            <w:r w:rsidRPr="00B44C83">
              <w:rPr>
                <w:i/>
                <w:szCs w:val="24"/>
              </w:rPr>
              <w:t>taikomas visa apimtimi</w:t>
            </w:r>
            <w:r>
              <w:rPr>
                <w:szCs w:val="24"/>
              </w:rPr>
              <w:t>.</w:t>
            </w:r>
          </w:p>
          <w:p w:rsidR="0011743B" w:rsidRDefault="0011743B" w:rsidP="009724AE">
            <w:pPr>
              <w:jc w:val="both"/>
              <w:rPr>
                <w:rFonts w:cs="Times New Roman"/>
                <w:szCs w:val="24"/>
              </w:rPr>
            </w:pPr>
          </w:p>
          <w:p w:rsidR="00AF4FF3" w:rsidRPr="00002DEE" w:rsidRDefault="00AF4FF3" w:rsidP="00002DEE">
            <w:pPr>
              <w:jc w:val="both"/>
              <w:rPr>
                <w:rFonts w:cs="Times New Roman"/>
                <w:szCs w:val="24"/>
              </w:rPr>
            </w:pPr>
          </w:p>
        </w:tc>
      </w:tr>
      <w:tr w:rsidR="009E7247" w:rsidRPr="005F43FA" w:rsidTr="005F43FA">
        <w:tc>
          <w:tcPr>
            <w:tcW w:w="2127" w:type="dxa"/>
            <w:tcBorders>
              <w:top w:val="single" w:sz="4" w:space="0" w:color="auto"/>
              <w:left w:val="single" w:sz="4" w:space="0" w:color="auto"/>
              <w:bottom w:val="single" w:sz="4" w:space="0" w:color="auto"/>
              <w:right w:val="single" w:sz="4" w:space="0" w:color="auto"/>
            </w:tcBorders>
          </w:tcPr>
          <w:p w:rsidR="009E7247" w:rsidRDefault="009E7247" w:rsidP="004A2871">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rsidR="009E7247" w:rsidRPr="009E7247" w:rsidRDefault="00B00C8B" w:rsidP="0060507F">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 xml:space="preserve">2. </w:t>
            </w:r>
            <w:r w:rsidR="009E7247" w:rsidRPr="009E7247">
              <w:rPr>
                <w:rFonts w:ascii="Times New Roman" w:hAnsi="Times New Roman"/>
                <w:sz w:val="24"/>
                <w:szCs w:val="24"/>
              </w:rPr>
              <w:t>Projekto 3 punkte dėstomi pasvarstymai apie galimą teisinį reglamentavimą, taip pat nerodo Vyriausybės pozicijos konkretumo. Minėtas pasiūlymas dėl Baudžiamojo kodekso 145 straipsnio papildymo privilegijuota sudėtimi kritikuotinas tuo aspektu, kad juo siūloma griežtesnė atsakomybė, nei kad yra siūloma Įstatymo projektu, taip pat išplečiamas galimų nukentėjusiųjų ratas (asmuo, jo šeimos nariai arba artimieji giminaičiai) lyginant su Įstatymo projektu, tuo išplečiant ir siūlomos veikos taikymo ribas, taip pat kelia neaiškumų formuluotė „neteisėtai sistemingai“, t. y. neaišku kuo ir kaip pasireikštų persekiojimo neteisėtumas (</w:t>
            </w:r>
            <w:proofErr w:type="spellStart"/>
            <w:r w:rsidR="009E7247" w:rsidRPr="009E7247">
              <w:rPr>
                <w:rFonts w:ascii="Times New Roman" w:hAnsi="Times New Roman"/>
                <w:sz w:val="24"/>
                <w:szCs w:val="24"/>
              </w:rPr>
              <w:t>pvz</w:t>
            </w:r>
            <w:proofErr w:type="spellEnd"/>
            <w:r w:rsidR="009E7247" w:rsidRPr="009E7247">
              <w:rPr>
                <w:rFonts w:ascii="Times New Roman" w:hAnsi="Times New Roman"/>
                <w:sz w:val="24"/>
                <w:szCs w:val="24"/>
              </w:rPr>
              <w:t>., pažeidžiant kardomosios priemonės draudimus ar kitaip). Be to, teikiamo siūlymo nuostatos nesuderintos su Projekto 1 punkto antrojoje pastraipoje išdėstyta Lietuvos Respublikos Konstitucinio Teismo jurisprudencija. Mūsų vertinimu, visų pirma turi būti įvertintos kitos galimos teisinio reguliavimo alternatyvos (</w:t>
            </w:r>
            <w:proofErr w:type="spellStart"/>
            <w:r w:rsidR="009E7247" w:rsidRPr="009E7247">
              <w:rPr>
                <w:rFonts w:ascii="Times New Roman" w:hAnsi="Times New Roman"/>
                <w:sz w:val="24"/>
                <w:szCs w:val="24"/>
              </w:rPr>
              <w:t>pvz</w:t>
            </w:r>
            <w:proofErr w:type="spellEnd"/>
            <w:r w:rsidR="009E7247" w:rsidRPr="009E7247">
              <w:rPr>
                <w:rFonts w:ascii="Times New Roman" w:hAnsi="Times New Roman"/>
                <w:sz w:val="24"/>
                <w:szCs w:val="24"/>
              </w:rPr>
              <w:t>., taikant Administracinių nusižengimų kodekso nuostatas), o baudžiamoji atsakomybė numatyta tik kaip paskutinė priemonė (</w:t>
            </w:r>
            <w:proofErr w:type="spellStart"/>
            <w:r w:rsidR="009E7247" w:rsidRPr="009E7247">
              <w:rPr>
                <w:rFonts w:ascii="Times New Roman" w:hAnsi="Times New Roman"/>
                <w:sz w:val="24"/>
                <w:szCs w:val="24"/>
              </w:rPr>
              <w:t>ultima</w:t>
            </w:r>
            <w:proofErr w:type="spellEnd"/>
            <w:r w:rsidR="009E7247" w:rsidRPr="009E7247">
              <w:rPr>
                <w:rFonts w:ascii="Times New Roman" w:hAnsi="Times New Roman"/>
                <w:sz w:val="24"/>
                <w:szCs w:val="24"/>
              </w:rPr>
              <w:t xml:space="preserve"> </w:t>
            </w:r>
            <w:proofErr w:type="spellStart"/>
            <w:r w:rsidR="009E7247" w:rsidRPr="009E7247">
              <w:rPr>
                <w:rFonts w:ascii="Times New Roman" w:hAnsi="Times New Roman"/>
                <w:sz w:val="24"/>
                <w:szCs w:val="24"/>
              </w:rPr>
              <w:t>ratio</w:t>
            </w:r>
            <w:proofErr w:type="spellEnd"/>
            <w:r w:rsidR="009E7247" w:rsidRPr="009E7247">
              <w:rPr>
                <w:rFonts w:ascii="Times New Roman" w:hAnsi="Times New Roman"/>
                <w:sz w:val="24"/>
                <w:szCs w:val="24"/>
              </w:rPr>
              <w:t>).</w:t>
            </w:r>
          </w:p>
        </w:tc>
        <w:tc>
          <w:tcPr>
            <w:tcW w:w="7796" w:type="dxa"/>
            <w:tcBorders>
              <w:top w:val="single" w:sz="4" w:space="0" w:color="auto"/>
              <w:left w:val="single" w:sz="4" w:space="0" w:color="auto"/>
              <w:bottom w:val="single" w:sz="4" w:space="0" w:color="auto"/>
              <w:right w:val="single" w:sz="4" w:space="0" w:color="auto"/>
            </w:tcBorders>
          </w:tcPr>
          <w:p w:rsidR="009E7247" w:rsidRDefault="00406AFE" w:rsidP="005F43FA">
            <w:pPr>
              <w:jc w:val="both"/>
              <w:rPr>
                <w:rFonts w:cs="Times New Roman"/>
                <w:b/>
                <w:szCs w:val="24"/>
              </w:rPr>
            </w:pPr>
            <w:r>
              <w:rPr>
                <w:rFonts w:cs="Times New Roman"/>
                <w:b/>
                <w:szCs w:val="24"/>
              </w:rPr>
              <w:t>Atsižvelgta iš dalies</w:t>
            </w:r>
          </w:p>
          <w:p w:rsidR="00406AFE" w:rsidRPr="00406AFE" w:rsidRDefault="00406AFE" w:rsidP="00502AB5">
            <w:pPr>
              <w:jc w:val="both"/>
              <w:rPr>
                <w:rFonts w:cs="Times New Roman"/>
                <w:szCs w:val="24"/>
              </w:rPr>
            </w:pPr>
            <w:r>
              <w:rPr>
                <w:rFonts w:cs="Times New Roman"/>
                <w:szCs w:val="24"/>
              </w:rPr>
              <w:t xml:space="preserve">Lietuvos Respublikos Vyriausybės nutarimo projektas </w:t>
            </w:r>
            <w:r w:rsidR="0009694C">
              <w:rPr>
                <w:rFonts w:cs="Times New Roman"/>
                <w:szCs w:val="24"/>
              </w:rPr>
              <w:t>papildytas konkrečiais siūlomo kriminalizavimo pakeitimais</w:t>
            </w:r>
            <w:r>
              <w:rPr>
                <w:rFonts w:cs="Times New Roman"/>
                <w:szCs w:val="24"/>
              </w:rPr>
              <w:t>, kartu paaiškinant siūlomas įtvirtinti sąvokas</w:t>
            </w:r>
            <w:r w:rsidR="0009694C">
              <w:rPr>
                <w:rFonts w:cs="Times New Roman"/>
                <w:szCs w:val="24"/>
              </w:rPr>
              <w:t xml:space="preserve"> bei atsisakoma konkretizuoti neigiam</w:t>
            </w:r>
            <w:r w:rsidR="00303389">
              <w:rPr>
                <w:rFonts w:cs="Times New Roman"/>
                <w:szCs w:val="24"/>
              </w:rPr>
              <w:t>us padarinius</w:t>
            </w:r>
            <w:r>
              <w:rPr>
                <w:rFonts w:cs="Times New Roman"/>
                <w:szCs w:val="24"/>
              </w:rPr>
              <w:t xml:space="preserve">. </w:t>
            </w:r>
            <w:r w:rsidR="00303389">
              <w:rPr>
                <w:rFonts w:cs="Times New Roman"/>
                <w:szCs w:val="24"/>
              </w:rPr>
              <w:t>Tačiau, kaip minėta atsakant į 1 pastabą, Teisingumo ministerija nemato galimybės pasiekti BK projekto autorių iškelt</w:t>
            </w:r>
            <w:r w:rsidR="00502AB5">
              <w:rPr>
                <w:rFonts w:cs="Times New Roman"/>
                <w:szCs w:val="24"/>
              </w:rPr>
              <w:t>ų tikslų alternatyviomis teisini reguliavimo priemonėmis.</w:t>
            </w:r>
          </w:p>
        </w:tc>
      </w:tr>
      <w:tr w:rsidR="009724AE" w:rsidRPr="005F43FA" w:rsidTr="005F43FA">
        <w:tc>
          <w:tcPr>
            <w:tcW w:w="2127" w:type="dxa"/>
            <w:tcBorders>
              <w:top w:val="single" w:sz="4" w:space="0" w:color="auto"/>
              <w:left w:val="single" w:sz="4" w:space="0" w:color="auto"/>
              <w:bottom w:val="single" w:sz="4" w:space="0" w:color="auto"/>
              <w:right w:val="single" w:sz="4" w:space="0" w:color="auto"/>
            </w:tcBorders>
          </w:tcPr>
          <w:p w:rsidR="009724AE" w:rsidRDefault="004A2871" w:rsidP="009724AE">
            <w:pPr>
              <w:rPr>
                <w:rFonts w:cs="Times New Roman"/>
                <w:szCs w:val="24"/>
              </w:rPr>
            </w:pPr>
            <w:r>
              <w:rPr>
                <w:rFonts w:cs="Times New Roman"/>
                <w:szCs w:val="24"/>
              </w:rPr>
              <w:t xml:space="preserve">Lietuvos Respublikos Vyriausybės </w:t>
            </w:r>
            <w:r>
              <w:rPr>
                <w:rFonts w:cs="Times New Roman"/>
                <w:szCs w:val="24"/>
              </w:rPr>
              <w:lastRenderedPageBreak/>
              <w:t xml:space="preserve">kanceliarijos Viešojo valdymo grupės 2020-02-06 pažyma </w:t>
            </w:r>
            <w:proofErr w:type="spellStart"/>
            <w:r>
              <w:rPr>
                <w:rFonts w:cs="Times New Roman"/>
                <w:szCs w:val="24"/>
              </w:rPr>
              <w:t>Nr</w:t>
            </w:r>
            <w:proofErr w:type="spellEnd"/>
            <w:r>
              <w:rPr>
                <w:rFonts w:cs="Times New Roman"/>
                <w:szCs w:val="24"/>
              </w:rPr>
              <w:t>. NV-341</w:t>
            </w:r>
          </w:p>
        </w:tc>
        <w:tc>
          <w:tcPr>
            <w:tcW w:w="5670" w:type="dxa"/>
            <w:tcBorders>
              <w:top w:val="single" w:sz="4" w:space="0" w:color="auto"/>
              <w:left w:val="single" w:sz="4" w:space="0" w:color="auto"/>
              <w:bottom w:val="single" w:sz="4" w:space="0" w:color="auto"/>
              <w:right w:val="single" w:sz="4" w:space="0" w:color="auto"/>
            </w:tcBorders>
          </w:tcPr>
          <w:p w:rsidR="009724AE" w:rsidRDefault="00B00C8B" w:rsidP="0060507F">
            <w:pPr>
              <w:jc w:val="both"/>
              <w:rPr>
                <w:szCs w:val="24"/>
              </w:rPr>
            </w:pPr>
            <w:r>
              <w:rPr>
                <w:rStyle w:val="normaltextrun1"/>
                <w:szCs w:val="24"/>
              </w:rPr>
              <w:lastRenderedPageBreak/>
              <w:t xml:space="preserve">3. </w:t>
            </w:r>
            <w:r w:rsidR="00A0253C">
              <w:rPr>
                <w:rStyle w:val="normaltextrun1"/>
                <w:szCs w:val="24"/>
              </w:rPr>
              <w:t xml:space="preserve">Kaip minima Projekte, teisės teorijoje baudžiamoji teisė yra vertinama kaip </w:t>
            </w:r>
            <w:proofErr w:type="spellStart"/>
            <w:r w:rsidR="00A0253C">
              <w:rPr>
                <w:rStyle w:val="normaltextrun1"/>
                <w:i/>
                <w:iCs/>
                <w:szCs w:val="24"/>
              </w:rPr>
              <w:t>ultima</w:t>
            </w:r>
            <w:proofErr w:type="spellEnd"/>
            <w:r w:rsidR="00A0253C">
              <w:rPr>
                <w:rStyle w:val="normaltextrun1"/>
                <w:i/>
                <w:iCs/>
                <w:szCs w:val="24"/>
              </w:rPr>
              <w:t xml:space="preserve"> </w:t>
            </w:r>
            <w:proofErr w:type="spellStart"/>
            <w:r w:rsidR="00A0253C">
              <w:rPr>
                <w:rStyle w:val="normaltextrun1"/>
                <w:i/>
                <w:iCs/>
                <w:szCs w:val="24"/>
              </w:rPr>
              <w:t>ratio</w:t>
            </w:r>
            <w:proofErr w:type="spellEnd"/>
            <w:r w:rsidR="00A0253C">
              <w:rPr>
                <w:rStyle w:val="normaltextrun1"/>
                <w:szCs w:val="24"/>
              </w:rPr>
              <w:t xml:space="preserve"> – </w:t>
            </w:r>
            <w:proofErr w:type="spellStart"/>
            <w:r w:rsidR="00A0253C">
              <w:rPr>
                <w:rStyle w:val="normaltextrun1"/>
                <w:szCs w:val="24"/>
              </w:rPr>
              <w:t>t.y</w:t>
            </w:r>
            <w:proofErr w:type="spellEnd"/>
            <w:r w:rsidR="00A0253C">
              <w:rPr>
                <w:rStyle w:val="normaltextrun1"/>
                <w:szCs w:val="24"/>
              </w:rPr>
              <w:t xml:space="preserve">. kaip galutinė (paskutinė) priemonė, kuri taikytina tik tuo atveju jei </w:t>
            </w:r>
            <w:r w:rsidR="00A0253C">
              <w:rPr>
                <w:rStyle w:val="normaltextrun1"/>
                <w:szCs w:val="24"/>
              </w:rPr>
              <w:lastRenderedPageBreak/>
              <w:t xml:space="preserve">jokios kitos teisinio reguliavimo priemonės negali būti paveikios. Minėta, kad BK jau egzistuoja norma (145 </w:t>
            </w:r>
            <w:proofErr w:type="spellStart"/>
            <w:r w:rsidR="00A0253C">
              <w:rPr>
                <w:rStyle w:val="normaltextrun1"/>
                <w:szCs w:val="24"/>
              </w:rPr>
              <w:t>str</w:t>
            </w:r>
            <w:proofErr w:type="spellEnd"/>
            <w:r w:rsidR="00A0253C">
              <w:rPr>
                <w:rStyle w:val="normaltextrun1"/>
                <w:szCs w:val="24"/>
              </w:rPr>
              <w:t xml:space="preserve">.) numatanti atsakomybę už atitinkamai grėsmingiausius persekiojimo atvejus. Todėl svarstytina, ar aptariamu atveju neturėtų būti atliekamas siūlomos normos poveikio vertinimas siekiant, </w:t>
            </w:r>
            <w:proofErr w:type="spellStart"/>
            <w:r w:rsidR="00A0253C">
              <w:rPr>
                <w:rStyle w:val="normaltextrun1"/>
                <w:i/>
                <w:iCs/>
                <w:szCs w:val="24"/>
              </w:rPr>
              <w:t>inter</w:t>
            </w:r>
            <w:proofErr w:type="spellEnd"/>
            <w:r w:rsidR="00A0253C">
              <w:rPr>
                <w:rStyle w:val="normaltextrun1"/>
                <w:i/>
                <w:iCs/>
                <w:szCs w:val="24"/>
              </w:rPr>
              <w:t xml:space="preserve"> </w:t>
            </w:r>
            <w:proofErr w:type="spellStart"/>
            <w:r w:rsidR="00A0253C">
              <w:rPr>
                <w:rStyle w:val="normaltextrun1"/>
                <w:i/>
                <w:iCs/>
                <w:szCs w:val="24"/>
              </w:rPr>
              <w:t>alia</w:t>
            </w:r>
            <w:proofErr w:type="spellEnd"/>
            <w:r w:rsidR="00A0253C">
              <w:rPr>
                <w:rStyle w:val="normaltextrun1"/>
                <w:szCs w:val="24"/>
              </w:rPr>
              <w:t xml:space="preserve">, įvertinti ne tik siūlomos normos galimą poveikį, bet ir tai, ar siūlomo nustatyti reguliavimo tikslų nebūtų galima pasiekti alternatyviomis, mažiau griežtomis priemonėmis – </w:t>
            </w:r>
            <w:proofErr w:type="spellStart"/>
            <w:r w:rsidR="00A0253C">
              <w:rPr>
                <w:rStyle w:val="normaltextrun1"/>
                <w:szCs w:val="24"/>
              </w:rPr>
              <w:t>pvz</w:t>
            </w:r>
            <w:proofErr w:type="spellEnd"/>
            <w:r w:rsidR="00A0253C">
              <w:rPr>
                <w:rStyle w:val="normaltextrun1"/>
                <w:szCs w:val="24"/>
              </w:rPr>
              <w:t xml:space="preserve">. tikslinant galiojantį BK 145 </w:t>
            </w:r>
            <w:proofErr w:type="spellStart"/>
            <w:r w:rsidR="00A0253C">
              <w:rPr>
                <w:rStyle w:val="normaltextrun1"/>
                <w:szCs w:val="24"/>
              </w:rPr>
              <w:t>str</w:t>
            </w:r>
            <w:proofErr w:type="spellEnd"/>
            <w:r w:rsidR="00A0253C">
              <w:rPr>
                <w:rStyle w:val="normaltextrun1"/>
                <w:szCs w:val="24"/>
              </w:rPr>
              <w:t xml:space="preserve">., už lengvesnius pažeidimus nustatant administracinę atsakomybę ir </w:t>
            </w:r>
            <w:proofErr w:type="spellStart"/>
            <w:r w:rsidR="00A0253C">
              <w:rPr>
                <w:rStyle w:val="normaltextrun1"/>
                <w:szCs w:val="24"/>
              </w:rPr>
              <w:t>kt</w:t>
            </w:r>
            <w:proofErr w:type="spellEnd"/>
            <w:r w:rsidR="00A0253C">
              <w:rPr>
                <w:rStyle w:val="normaltextrun1"/>
                <w:szCs w:val="24"/>
              </w:rPr>
              <w:t>. Siūlytume projekto rengėjams atitinkama pastaba papildyti Projektą.</w:t>
            </w:r>
          </w:p>
        </w:tc>
        <w:tc>
          <w:tcPr>
            <w:tcW w:w="7796" w:type="dxa"/>
            <w:tcBorders>
              <w:top w:val="single" w:sz="4" w:space="0" w:color="auto"/>
              <w:left w:val="single" w:sz="4" w:space="0" w:color="auto"/>
              <w:bottom w:val="single" w:sz="4" w:space="0" w:color="auto"/>
              <w:right w:val="single" w:sz="4" w:space="0" w:color="auto"/>
            </w:tcBorders>
          </w:tcPr>
          <w:p w:rsidR="00B138AC" w:rsidRDefault="009724AE" w:rsidP="002A4CD0">
            <w:pPr>
              <w:jc w:val="both"/>
              <w:rPr>
                <w:rFonts w:cs="Times New Roman"/>
                <w:b/>
                <w:szCs w:val="24"/>
              </w:rPr>
            </w:pPr>
            <w:r>
              <w:rPr>
                <w:rFonts w:cs="Times New Roman"/>
                <w:b/>
                <w:szCs w:val="24"/>
              </w:rPr>
              <w:lastRenderedPageBreak/>
              <w:t>Neatsižvelgta</w:t>
            </w:r>
          </w:p>
          <w:p w:rsidR="002A4CD0" w:rsidRPr="00D223D5" w:rsidRDefault="00B00C8B" w:rsidP="0060507F">
            <w:pPr>
              <w:jc w:val="both"/>
              <w:rPr>
                <w:rFonts w:cs="Times New Roman"/>
                <w:szCs w:val="24"/>
              </w:rPr>
            </w:pPr>
            <w:r>
              <w:rPr>
                <w:rFonts w:cs="Times New Roman"/>
                <w:szCs w:val="24"/>
              </w:rPr>
              <w:t xml:space="preserve">Atkreiptinas dėmesys į tai, kad atliekant iš esmės nežymius baudžiamojo įstatymo pakeitimus (siūloma kriminalizuoti </w:t>
            </w:r>
            <w:r w:rsidR="00C852E0">
              <w:rPr>
                <w:rFonts w:cs="Times New Roman"/>
                <w:szCs w:val="24"/>
              </w:rPr>
              <w:t xml:space="preserve">tik </w:t>
            </w:r>
            <w:r>
              <w:rPr>
                <w:rFonts w:cs="Times New Roman"/>
                <w:szCs w:val="24"/>
              </w:rPr>
              <w:t xml:space="preserve">vieną baudžiamąjį </w:t>
            </w:r>
            <w:r>
              <w:rPr>
                <w:rFonts w:cs="Times New Roman"/>
                <w:szCs w:val="24"/>
              </w:rPr>
              <w:lastRenderedPageBreak/>
              <w:t xml:space="preserve">nusižengimą), nėra būtina atlikti poveikio vertinimo. Dėl </w:t>
            </w:r>
            <w:r w:rsidR="0003675D">
              <w:rPr>
                <w:rFonts w:cs="Times New Roman"/>
                <w:szCs w:val="24"/>
              </w:rPr>
              <w:t xml:space="preserve">siūlomo kriminalizavimo atitikimo </w:t>
            </w:r>
            <w:r>
              <w:rPr>
                <w:rFonts w:cs="Times New Roman"/>
                <w:szCs w:val="24"/>
              </w:rPr>
              <w:t>baudžiamosios atsakomybės, kaip kraštutinės priemonės,</w:t>
            </w:r>
            <w:r w:rsidR="0003675D">
              <w:rPr>
                <w:rFonts w:cs="Times New Roman"/>
                <w:szCs w:val="24"/>
              </w:rPr>
              <w:t xml:space="preserve"> principui</w:t>
            </w:r>
            <w:r>
              <w:rPr>
                <w:rFonts w:cs="Times New Roman"/>
                <w:szCs w:val="24"/>
              </w:rPr>
              <w:t xml:space="preserve"> siūlome žiūrėti atsikirtimą į 1 pastabą.</w:t>
            </w:r>
          </w:p>
        </w:tc>
      </w:tr>
      <w:tr w:rsidR="009724AE" w:rsidRPr="005F43FA" w:rsidTr="005F43FA">
        <w:tc>
          <w:tcPr>
            <w:tcW w:w="2127" w:type="dxa"/>
            <w:tcBorders>
              <w:top w:val="single" w:sz="4" w:space="0" w:color="auto"/>
              <w:left w:val="single" w:sz="4" w:space="0" w:color="auto"/>
              <w:bottom w:val="single" w:sz="4" w:space="0" w:color="auto"/>
              <w:right w:val="single" w:sz="4" w:space="0" w:color="auto"/>
            </w:tcBorders>
          </w:tcPr>
          <w:p w:rsidR="009724AE" w:rsidRDefault="004A2871" w:rsidP="009724AE">
            <w:pPr>
              <w:rPr>
                <w:rFonts w:cs="Times New Roman"/>
                <w:szCs w:val="24"/>
              </w:rPr>
            </w:pPr>
            <w:r>
              <w:rPr>
                <w:rFonts w:cs="Times New Roman"/>
                <w:szCs w:val="24"/>
              </w:rPr>
              <w:lastRenderedPageBreak/>
              <w:t xml:space="preserve">Lietuvos Respublikos vidaus reikalų ministerijos 2020-02-21 raštas </w:t>
            </w:r>
            <w:proofErr w:type="spellStart"/>
            <w:r>
              <w:rPr>
                <w:rFonts w:cs="Times New Roman"/>
                <w:szCs w:val="24"/>
              </w:rPr>
              <w:t>Nr</w:t>
            </w:r>
            <w:proofErr w:type="spellEnd"/>
            <w:r>
              <w:rPr>
                <w:rFonts w:cs="Times New Roman"/>
                <w:szCs w:val="24"/>
              </w:rPr>
              <w:t xml:space="preserve">. 1D-994 ir </w:t>
            </w:r>
          </w:p>
          <w:p w:rsidR="004A2871" w:rsidRDefault="004A2871" w:rsidP="004A2871">
            <w:pPr>
              <w:rPr>
                <w:rFonts w:cs="Times New Roman"/>
                <w:szCs w:val="24"/>
              </w:rPr>
            </w:pPr>
            <w:r>
              <w:rPr>
                <w:rFonts w:cs="Times New Roman"/>
                <w:szCs w:val="24"/>
              </w:rPr>
              <w:t xml:space="preserve">Policijos departamento prie Lietuvos Respublikos vidaus reikalų ministerijos 2020-02-21 raštas </w:t>
            </w:r>
            <w:proofErr w:type="spellStart"/>
            <w:r>
              <w:rPr>
                <w:rFonts w:cs="Times New Roman"/>
                <w:szCs w:val="24"/>
              </w:rPr>
              <w:t>Nr</w:t>
            </w:r>
            <w:proofErr w:type="spellEnd"/>
            <w:r>
              <w:rPr>
                <w:rFonts w:cs="Times New Roman"/>
                <w:szCs w:val="24"/>
              </w:rPr>
              <w:t>. 5-S-2827</w:t>
            </w:r>
          </w:p>
        </w:tc>
        <w:tc>
          <w:tcPr>
            <w:tcW w:w="5670" w:type="dxa"/>
            <w:tcBorders>
              <w:top w:val="single" w:sz="4" w:space="0" w:color="auto"/>
              <w:left w:val="single" w:sz="4" w:space="0" w:color="auto"/>
              <w:bottom w:val="single" w:sz="4" w:space="0" w:color="auto"/>
              <w:right w:val="single" w:sz="4" w:space="0" w:color="auto"/>
            </w:tcBorders>
          </w:tcPr>
          <w:p w:rsidR="001904FB" w:rsidRPr="001904FB" w:rsidRDefault="001904FB" w:rsidP="00967AF5">
            <w:pPr>
              <w:jc w:val="both"/>
              <w:rPr>
                <w:szCs w:val="24"/>
              </w:rPr>
            </w:pPr>
            <w:r>
              <w:rPr>
                <w:szCs w:val="24"/>
              </w:rPr>
              <w:t xml:space="preserve">5. </w:t>
            </w:r>
            <w:proofErr w:type="spellStart"/>
            <w:r w:rsidR="003A44E1">
              <w:rPr>
                <w:szCs w:val="24"/>
              </w:rPr>
              <w:t>P</w:t>
            </w:r>
            <w:r w:rsidRPr="001904FB">
              <w:rPr>
                <w:szCs w:val="24"/>
              </w:rPr>
              <w:t>reziumuojame</w:t>
            </w:r>
            <w:proofErr w:type="spellEnd"/>
            <w:r w:rsidRPr="001904FB">
              <w:rPr>
                <w:szCs w:val="24"/>
              </w:rPr>
              <w:t>, kad tai galėtų būti ne mažiau kaip 3 000 ikiteisminių tyrimų per metus. Dabar vieno ikiteisminį tyrimą atliekančio pareigūno darbo krūvis policijoje yra 40–50 ikiteisminių tyrimų per metus, todėl, siekiant efektyvaus ikiteisminio tyrimo atlikimo, policijoje papildomai reikėtų įsteigti ne mažiau kaip 60 ikiteisminį tyrimą atliekančių pareigūnų pareigybių.</w:t>
            </w:r>
          </w:p>
          <w:p w:rsidR="001904FB" w:rsidRPr="001904FB" w:rsidRDefault="001904FB" w:rsidP="00967AF5">
            <w:pPr>
              <w:ind w:firstLine="567"/>
              <w:jc w:val="both"/>
              <w:rPr>
                <w:szCs w:val="24"/>
              </w:rPr>
            </w:pPr>
            <w:r w:rsidRPr="001904FB">
              <w:rPr>
                <w:szCs w:val="24"/>
              </w:rPr>
              <w:t>60 ikiteisminį tyrimą atliekančių pareigūnų išlaikymo išlaidos sudaro:</w:t>
            </w:r>
          </w:p>
          <w:p w:rsidR="001904FB" w:rsidRPr="001904FB" w:rsidRDefault="001904FB" w:rsidP="00967AF5">
            <w:pPr>
              <w:ind w:firstLine="567"/>
              <w:jc w:val="both"/>
              <w:rPr>
                <w:szCs w:val="24"/>
              </w:rPr>
            </w:pPr>
            <w:r>
              <w:rPr>
                <w:szCs w:val="24"/>
              </w:rPr>
              <w:t>1)</w:t>
            </w:r>
            <w:r w:rsidRPr="001904FB">
              <w:rPr>
                <w:szCs w:val="24"/>
              </w:rPr>
              <w:t xml:space="preserve"> 1 252,0 </w:t>
            </w:r>
            <w:proofErr w:type="spellStart"/>
            <w:r w:rsidRPr="001904FB">
              <w:rPr>
                <w:szCs w:val="24"/>
              </w:rPr>
              <w:t>tūkst</w:t>
            </w:r>
            <w:proofErr w:type="spellEnd"/>
            <w:r w:rsidRPr="001904FB">
              <w:rPr>
                <w:szCs w:val="24"/>
              </w:rPr>
              <w:t xml:space="preserve">. </w:t>
            </w:r>
            <w:proofErr w:type="spellStart"/>
            <w:r w:rsidRPr="001904FB">
              <w:rPr>
                <w:szCs w:val="24"/>
              </w:rPr>
              <w:t>Eur</w:t>
            </w:r>
            <w:proofErr w:type="spellEnd"/>
            <w:r w:rsidRPr="001904FB">
              <w:rPr>
                <w:szCs w:val="24"/>
              </w:rPr>
              <w:t xml:space="preserve"> darbo užmokesčiui ir socialinio draudimo įmokoms (vieno policijos pareigūno (vyresniojo tyrėjo) vidutinis mėnesio darbo užmokestis 1 714 </w:t>
            </w:r>
            <w:proofErr w:type="spellStart"/>
            <w:r w:rsidRPr="001904FB">
              <w:rPr>
                <w:szCs w:val="24"/>
              </w:rPr>
              <w:t>Eur</w:t>
            </w:r>
            <w:proofErr w:type="spellEnd"/>
            <w:r w:rsidRPr="001904FB">
              <w:rPr>
                <w:szCs w:val="24"/>
              </w:rPr>
              <w:t>);</w:t>
            </w:r>
          </w:p>
          <w:p w:rsidR="001904FB" w:rsidRPr="001904FB" w:rsidRDefault="001904FB" w:rsidP="00967AF5">
            <w:pPr>
              <w:ind w:firstLine="567"/>
              <w:jc w:val="both"/>
              <w:rPr>
                <w:szCs w:val="24"/>
              </w:rPr>
            </w:pPr>
            <w:r>
              <w:rPr>
                <w:szCs w:val="24"/>
              </w:rPr>
              <w:t>2)</w:t>
            </w:r>
            <w:r w:rsidRPr="001904FB">
              <w:rPr>
                <w:szCs w:val="24"/>
              </w:rPr>
              <w:t xml:space="preserve"> 149,4 </w:t>
            </w:r>
            <w:proofErr w:type="spellStart"/>
            <w:r w:rsidRPr="001904FB">
              <w:rPr>
                <w:szCs w:val="24"/>
              </w:rPr>
              <w:t>tūkst</w:t>
            </w:r>
            <w:proofErr w:type="spellEnd"/>
            <w:r w:rsidRPr="001904FB">
              <w:rPr>
                <w:szCs w:val="24"/>
              </w:rPr>
              <w:t xml:space="preserve">. </w:t>
            </w:r>
            <w:proofErr w:type="spellStart"/>
            <w:r w:rsidRPr="001904FB">
              <w:rPr>
                <w:szCs w:val="24"/>
              </w:rPr>
              <w:t>Eur</w:t>
            </w:r>
            <w:proofErr w:type="spellEnd"/>
            <w:r w:rsidRPr="001904FB">
              <w:rPr>
                <w:szCs w:val="24"/>
              </w:rPr>
              <w:t xml:space="preserve"> pareigūnų parengimui (vieno policijos pareigūno parengimas įvadiniuose mokymuose ir priėmimas į policiją kainuoja apie 2 490 </w:t>
            </w:r>
            <w:proofErr w:type="spellStart"/>
            <w:r w:rsidRPr="001904FB">
              <w:rPr>
                <w:szCs w:val="24"/>
              </w:rPr>
              <w:t>Eur</w:t>
            </w:r>
            <w:proofErr w:type="spellEnd"/>
            <w:r w:rsidRPr="001904FB">
              <w:rPr>
                <w:szCs w:val="24"/>
              </w:rPr>
              <w:t>);</w:t>
            </w:r>
          </w:p>
          <w:p w:rsidR="001904FB" w:rsidRPr="001904FB" w:rsidRDefault="001904FB" w:rsidP="00967AF5">
            <w:pPr>
              <w:ind w:firstLine="567"/>
              <w:jc w:val="both"/>
              <w:rPr>
                <w:szCs w:val="24"/>
              </w:rPr>
            </w:pPr>
            <w:r>
              <w:rPr>
                <w:szCs w:val="24"/>
              </w:rPr>
              <w:t>3)</w:t>
            </w:r>
            <w:r w:rsidRPr="001904FB">
              <w:rPr>
                <w:szCs w:val="24"/>
              </w:rPr>
              <w:t xml:space="preserve"> 285,0 </w:t>
            </w:r>
            <w:proofErr w:type="spellStart"/>
            <w:r w:rsidRPr="001904FB">
              <w:rPr>
                <w:szCs w:val="24"/>
              </w:rPr>
              <w:t>tūkst</w:t>
            </w:r>
            <w:proofErr w:type="spellEnd"/>
            <w:r w:rsidRPr="001904FB">
              <w:rPr>
                <w:szCs w:val="24"/>
              </w:rPr>
              <w:t xml:space="preserve">. </w:t>
            </w:r>
            <w:proofErr w:type="spellStart"/>
            <w:r w:rsidRPr="001904FB">
              <w:rPr>
                <w:szCs w:val="24"/>
              </w:rPr>
              <w:t>Eur</w:t>
            </w:r>
            <w:proofErr w:type="spellEnd"/>
            <w:r w:rsidRPr="001904FB">
              <w:rPr>
                <w:szCs w:val="24"/>
              </w:rPr>
              <w:t xml:space="preserve"> pareigūnų aprūpinimui priemonėmis ir tarnybine uniforma (pagal patvirtintą policijos pareigūno aprūpinimo standartą, vieno ikiteisminį tyrimą atliekančio policijos pareigūno aprūpinimas priemonėmis kainuoja 3 800 </w:t>
            </w:r>
            <w:proofErr w:type="spellStart"/>
            <w:r w:rsidRPr="001904FB">
              <w:rPr>
                <w:szCs w:val="24"/>
              </w:rPr>
              <w:t>Eur</w:t>
            </w:r>
            <w:proofErr w:type="spellEnd"/>
            <w:r w:rsidRPr="001904FB">
              <w:rPr>
                <w:szCs w:val="24"/>
              </w:rPr>
              <w:t xml:space="preserve"> (be ginkluotės dalies, kuri dar papildomai kainuoja 2 000 </w:t>
            </w:r>
            <w:proofErr w:type="spellStart"/>
            <w:r w:rsidRPr="001904FB">
              <w:rPr>
                <w:szCs w:val="24"/>
              </w:rPr>
              <w:t>Eur</w:t>
            </w:r>
            <w:proofErr w:type="spellEnd"/>
            <w:r w:rsidRPr="001904FB">
              <w:rPr>
                <w:szCs w:val="24"/>
              </w:rPr>
              <w:t xml:space="preserve">), aprūpinimas tarnybine uniforma sudaro 950 </w:t>
            </w:r>
            <w:proofErr w:type="spellStart"/>
            <w:r w:rsidRPr="001904FB">
              <w:rPr>
                <w:szCs w:val="24"/>
              </w:rPr>
              <w:t>Eur</w:t>
            </w:r>
            <w:proofErr w:type="spellEnd"/>
            <w:r w:rsidRPr="001904FB">
              <w:rPr>
                <w:szCs w:val="24"/>
              </w:rPr>
              <w:t xml:space="preserve"> </w:t>
            </w:r>
            <w:r w:rsidRPr="001904FB">
              <w:rPr>
                <w:szCs w:val="24"/>
              </w:rPr>
              <w:lastRenderedPageBreak/>
              <w:t>kiekvienam policijos pareigūnui);</w:t>
            </w:r>
          </w:p>
          <w:p w:rsidR="001904FB" w:rsidRPr="001904FB" w:rsidRDefault="001904FB" w:rsidP="00967AF5">
            <w:pPr>
              <w:ind w:firstLine="567"/>
              <w:jc w:val="both"/>
              <w:rPr>
                <w:szCs w:val="24"/>
              </w:rPr>
            </w:pPr>
            <w:r>
              <w:rPr>
                <w:szCs w:val="24"/>
              </w:rPr>
              <w:t>4)</w:t>
            </w:r>
            <w:r w:rsidRPr="001904FB">
              <w:rPr>
                <w:szCs w:val="24"/>
              </w:rPr>
              <w:t xml:space="preserve"> 36,0 </w:t>
            </w:r>
            <w:proofErr w:type="spellStart"/>
            <w:r w:rsidRPr="001904FB">
              <w:rPr>
                <w:szCs w:val="24"/>
              </w:rPr>
              <w:t>tūkst</w:t>
            </w:r>
            <w:proofErr w:type="spellEnd"/>
            <w:r w:rsidRPr="001904FB">
              <w:rPr>
                <w:szCs w:val="24"/>
              </w:rPr>
              <w:t xml:space="preserve">. </w:t>
            </w:r>
            <w:proofErr w:type="spellStart"/>
            <w:r w:rsidRPr="001904FB">
              <w:rPr>
                <w:szCs w:val="24"/>
              </w:rPr>
              <w:t>Eur</w:t>
            </w:r>
            <w:proofErr w:type="spellEnd"/>
            <w:r w:rsidRPr="001904FB">
              <w:rPr>
                <w:szCs w:val="24"/>
              </w:rPr>
              <w:t xml:space="preserve"> pareigūnams apmokyti (atsižvelgiant į tai, kad Įstatymo projektu siekiama įtvirtinti naują teisinį reguliavimą, būtini kvalifikacijos kėlimo kursai policijos pareigūnams kartu su prokurorais. Taip būtina apmokyti 60 policijos pareigūnų ir 30 prokurorų, vienoje grupėje apmokant 12–15 žmonių. Atitinkamai tam reikės mažiausiai 18 mokymų, kurių 3 dienų kaina yra apie 2 000 </w:t>
            </w:r>
            <w:proofErr w:type="spellStart"/>
            <w:r w:rsidRPr="001904FB">
              <w:rPr>
                <w:szCs w:val="24"/>
              </w:rPr>
              <w:t>Eur</w:t>
            </w:r>
            <w:proofErr w:type="spellEnd"/>
            <w:r w:rsidRPr="001904FB">
              <w:rPr>
                <w:szCs w:val="24"/>
              </w:rPr>
              <w:t xml:space="preserve"> (lektoriai, patalpos ir </w:t>
            </w:r>
            <w:proofErr w:type="spellStart"/>
            <w:r w:rsidRPr="001904FB">
              <w:rPr>
                <w:szCs w:val="24"/>
              </w:rPr>
              <w:t>kt</w:t>
            </w:r>
            <w:proofErr w:type="spellEnd"/>
            <w:r w:rsidRPr="001904FB">
              <w:rPr>
                <w:szCs w:val="24"/>
              </w:rPr>
              <w:t>.).</w:t>
            </w:r>
          </w:p>
          <w:p w:rsidR="001904FB" w:rsidRPr="001904FB" w:rsidRDefault="001904FB" w:rsidP="00967AF5">
            <w:pPr>
              <w:ind w:firstLine="567"/>
              <w:jc w:val="both"/>
              <w:rPr>
                <w:szCs w:val="24"/>
              </w:rPr>
            </w:pPr>
            <w:r w:rsidRPr="001904FB">
              <w:rPr>
                <w:szCs w:val="24"/>
              </w:rPr>
              <w:t xml:space="preserve">Atsižvelgiant į tai, kas išdėstyta, bendras poreikis siūlomam Įstatymo projekto nuostatų įgyvendinimui policijai sudarytų 1 722,4 </w:t>
            </w:r>
            <w:proofErr w:type="spellStart"/>
            <w:r w:rsidRPr="001904FB">
              <w:rPr>
                <w:szCs w:val="24"/>
              </w:rPr>
              <w:t>tūkst</w:t>
            </w:r>
            <w:proofErr w:type="spellEnd"/>
            <w:r w:rsidRPr="001904FB">
              <w:rPr>
                <w:szCs w:val="24"/>
              </w:rPr>
              <w:t xml:space="preserve">. </w:t>
            </w:r>
            <w:proofErr w:type="spellStart"/>
            <w:r w:rsidRPr="001904FB">
              <w:rPr>
                <w:szCs w:val="24"/>
              </w:rPr>
              <w:t>Eur</w:t>
            </w:r>
            <w:proofErr w:type="spellEnd"/>
            <w:r w:rsidRPr="001904FB">
              <w:rPr>
                <w:szCs w:val="24"/>
              </w:rPr>
              <w:t>.</w:t>
            </w:r>
          </w:p>
          <w:p w:rsidR="009724AE" w:rsidRDefault="009724AE" w:rsidP="009724AE">
            <w:pPr>
              <w:pStyle w:val="Standard"/>
              <w:tabs>
                <w:tab w:val="left" w:pos="8245"/>
              </w:tabs>
              <w:overflowPunct w:val="0"/>
              <w:autoSpaceDE w:val="0"/>
              <w:jc w:val="both"/>
              <w:rPr>
                <w:rFonts w:ascii="Times New Roman" w:hAnsi="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rsidR="00567A46" w:rsidRDefault="00567A46" w:rsidP="00567A46">
            <w:pPr>
              <w:jc w:val="both"/>
              <w:rPr>
                <w:rFonts w:cs="Times New Roman"/>
                <w:b/>
                <w:szCs w:val="24"/>
              </w:rPr>
            </w:pPr>
            <w:r>
              <w:rPr>
                <w:rFonts w:cs="Times New Roman"/>
                <w:b/>
                <w:szCs w:val="24"/>
              </w:rPr>
              <w:lastRenderedPageBreak/>
              <w:t>Neatsižvelgta</w:t>
            </w:r>
          </w:p>
          <w:p w:rsidR="007C4E70" w:rsidRPr="001904FB" w:rsidRDefault="001904FB" w:rsidP="00502AB5">
            <w:pPr>
              <w:jc w:val="both"/>
              <w:rPr>
                <w:rFonts w:cs="Times New Roman"/>
                <w:color w:val="000000"/>
                <w:szCs w:val="24"/>
                <w:shd w:val="clear" w:color="auto" w:fill="FFFFFF"/>
              </w:rPr>
            </w:pPr>
            <w:r>
              <w:rPr>
                <w:rFonts w:cs="Times New Roman"/>
                <w:color w:val="000000"/>
                <w:szCs w:val="24"/>
                <w:shd w:val="clear" w:color="auto" w:fill="FFFFFF"/>
              </w:rPr>
              <w:t>Atkreipiame dėmesį į tai, kad institucijų pateikt</w:t>
            </w:r>
            <w:r w:rsidR="00077441">
              <w:rPr>
                <w:rFonts w:cs="Times New Roman"/>
                <w:color w:val="000000"/>
                <w:szCs w:val="24"/>
                <w:shd w:val="clear" w:color="auto" w:fill="FFFFFF"/>
              </w:rPr>
              <w:t>as</w:t>
            </w:r>
            <w:r>
              <w:rPr>
                <w:rFonts w:cs="Times New Roman"/>
                <w:color w:val="000000"/>
                <w:szCs w:val="24"/>
                <w:shd w:val="clear" w:color="auto" w:fill="FFFFFF"/>
              </w:rPr>
              <w:t xml:space="preserve"> lėšų poreikio</w:t>
            </w:r>
            <w:r w:rsidR="00BF5B97">
              <w:rPr>
                <w:rFonts w:cs="Times New Roman"/>
                <w:color w:val="000000"/>
                <w:szCs w:val="24"/>
                <w:shd w:val="clear" w:color="auto" w:fill="FFFFFF"/>
              </w:rPr>
              <w:t xml:space="preserve"> </w:t>
            </w:r>
            <w:r w:rsidR="00077441">
              <w:rPr>
                <w:rFonts w:cs="Times New Roman"/>
                <w:color w:val="000000"/>
                <w:szCs w:val="24"/>
                <w:shd w:val="clear" w:color="auto" w:fill="FFFFFF"/>
              </w:rPr>
              <w:t>apskaičiavimas</w:t>
            </w:r>
            <w:r w:rsidR="00BF5B97">
              <w:rPr>
                <w:rFonts w:cs="Times New Roman"/>
                <w:color w:val="000000"/>
                <w:szCs w:val="24"/>
                <w:shd w:val="clear" w:color="auto" w:fill="FFFFFF"/>
              </w:rPr>
              <w:t xml:space="preserve"> yra </w:t>
            </w:r>
            <w:r w:rsidR="00077441">
              <w:rPr>
                <w:rFonts w:cs="Times New Roman"/>
                <w:color w:val="000000"/>
                <w:szCs w:val="24"/>
                <w:shd w:val="clear" w:color="auto" w:fill="FFFFFF"/>
              </w:rPr>
              <w:t>netikslus</w:t>
            </w:r>
            <w:r w:rsidR="00BF5B97">
              <w:rPr>
                <w:rFonts w:cs="Times New Roman"/>
                <w:color w:val="000000"/>
                <w:szCs w:val="24"/>
                <w:shd w:val="clear" w:color="auto" w:fill="FFFFFF"/>
              </w:rPr>
              <w:t xml:space="preserve"> bei nepagrįstas. Pažymėtina, kad </w:t>
            </w:r>
            <w:r w:rsidR="00F759B5">
              <w:rPr>
                <w:rFonts w:cs="Times New Roman"/>
                <w:color w:val="000000"/>
                <w:szCs w:val="24"/>
                <w:shd w:val="clear" w:color="auto" w:fill="FFFFFF"/>
              </w:rPr>
              <w:t>prognozuojamas lėšų poreikis yra paskaičiuotas nesivadovaujant jokia</w:t>
            </w:r>
            <w:r w:rsidR="00077441">
              <w:rPr>
                <w:rFonts w:cs="Times New Roman"/>
                <w:color w:val="000000"/>
                <w:szCs w:val="24"/>
                <w:shd w:val="clear" w:color="auto" w:fill="FFFFFF"/>
              </w:rPr>
              <w:t xml:space="preserve"> patvirtinta</w:t>
            </w:r>
            <w:r w:rsidR="00F759B5">
              <w:rPr>
                <w:rFonts w:cs="Times New Roman"/>
                <w:color w:val="000000"/>
                <w:szCs w:val="24"/>
                <w:shd w:val="clear" w:color="auto" w:fill="FFFFFF"/>
              </w:rPr>
              <w:t xml:space="preserve"> metodika </w:t>
            </w:r>
            <w:r w:rsidR="00077441">
              <w:rPr>
                <w:rFonts w:cs="Times New Roman"/>
                <w:color w:val="000000"/>
                <w:szCs w:val="24"/>
                <w:shd w:val="clear" w:color="auto" w:fill="FFFFFF"/>
              </w:rPr>
              <w:t>ar</w:t>
            </w:r>
            <w:r w:rsidR="00F759B5">
              <w:rPr>
                <w:rFonts w:cs="Times New Roman"/>
                <w:color w:val="000000"/>
                <w:szCs w:val="24"/>
                <w:shd w:val="clear" w:color="auto" w:fill="FFFFFF"/>
              </w:rPr>
              <w:t xml:space="preserve"> vidiniais teisės aktais, taip pat preziumuojamas planuojamų ikiteisminių tyrimų skaičius </w:t>
            </w:r>
            <w:r w:rsidR="00077441">
              <w:rPr>
                <w:rFonts w:cs="Times New Roman"/>
                <w:color w:val="000000"/>
                <w:szCs w:val="24"/>
                <w:shd w:val="clear" w:color="auto" w:fill="FFFFFF"/>
              </w:rPr>
              <w:t xml:space="preserve">dėl siūlomos kriminalizuoti nusikalstamos veikos </w:t>
            </w:r>
            <w:r w:rsidR="00F759B5">
              <w:rPr>
                <w:rFonts w:cs="Times New Roman"/>
                <w:color w:val="000000"/>
                <w:szCs w:val="24"/>
                <w:shd w:val="clear" w:color="auto" w:fill="FFFFFF"/>
              </w:rPr>
              <w:t>yra visiškai nepagrįstas. Teisingumo mi</w:t>
            </w:r>
            <w:r w:rsidR="00DE11DB">
              <w:rPr>
                <w:rFonts w:cs="Times New Roman"/>
                <w:color w:val="000000"/>
                <w:szCs w:val="24"/>
                <w:shd w:val="clear" w:color="auto" w:fill="FFFFFF"/>
              </w:rPr>
              <w:t>nisterijos turimais duomenimis, dėl BK 145 straipsnio 2 dalies</w:t>
            </w:r>
            <w:r w:rsidR="00DE11DB" w:rsidRPr="00DE11DB">
              <w:rPr>
                <w:rFonts w:cs="Times New Roman"/>
                <w:color w:val="000000"/>
                <w:szCs w:val="24"/>
                <w:shd w:val="clear" w:color="auto" w:fill="FFFFFF"/>
              </w:rPr>
              <w:t xml:space="preserve"> 2017 </w:t>
            </w:r>
            <w:proofErr w:type="spellStart"/>
            <w:r w:rsidR="00DE11DB" w:rsidRPr="00DE11DB">
              <w:rPr>
                <w:rFonts w:cs="Times New Roman"/>
                <w:color w:val="000000"/>
                <w:szCs w:val="24"/>
                <w:shd w:val="clear" w:color="auto" w:fill="FFFFFF"/>
              </w:rPr>
              <w:t>m</w:t>
            </w:r>
            <w:proofErr w:type="spellEnd"/>
            <w:r w:rsidR="00DE11DB" w:rsidRPr="00DE11DB">
              <w:rPr>
                <w:rFonts w:cs="Times New Roman"/>
                <w:color w:val="000000"/>
                <w:szCs w:val="24"/>
                <w:shd w:val="clear" w:color="auto" w:fill="FFFFFF"/>
              </w:rPr>
              <w:t xml:space="preserve">. - buvo pradėti 369 ikiteisminiai tyrimai dėl 569 registruotų nusikalstamų veikų, 2018 </w:t>
            </w:r>
            <w:proofErr w:type="spellStart"/>
            <w:r w:rsidR="00DE11DB" w:rsidRPr="00DE11DB">
              <w:rPr>
                <w:rFonts w:cs="Times New Roman"/>
                <w:color w:val="000000"/>
                <w:szCs w:val="24"/>
                <w:shd w:val="clear" w:color="auto" w:fill="FFFFFF"/>
              </w:rPr>
              <w:t>m</w:t>
            </w:r>
            <w:proofErr w:type="spellEnd"/>
            <w:r w:rsidR="00DE11DB" w:rsidRPr="00DE11DB">
              <w:rPr>
                <w:rFonts w:cs="Times New Roman"/>
                <w:color w:val="000000"/>
                <w:szCs w:val="24"/>
                <w:shd w:val="clear" w:color="auto" w:fill="FFFFFF"/>
              </w:rPr>
              <w:t xml:space="preserve">. – 256 ikiteisminiai tyrimai dėl 387 nusikalstamų veikų, 2019 </w:t>
            </w:r>
            <w:proofErr w:type="spellStart"/>
            <w:r w:rsidR="00DE11DB" w:rsidRPr="00DE11DB">
              <w:rPr>
                <w:rFonts w:cs="Times New Roman"/>
                <w:color w:val="000000"/>
                <w:szCs w:val="24"/>
                <w:shd w:val="clear" w:color="auto" w:fill="FFFFFF"/>
              </w:rPr>
              <w:t>m</w:t>
            </w:r>
            <w:proofErr w:type="spellEnd"/>
            <w:r w:rsidR="00DE11DB" w:rsidRPr="00DE11DB">
              <w:rPr>
                <w:rFonts w:cs="Times New Roman"/>
                <w:color w:val="000000"/>
                <w:szCs w:val="24"/>
                <w:shd w:val="clear" w:color="auto" w:fill="FFFFFF"/>
              </w:rPr>
              <w:t>. – 233 ikiteisminiai tyrimai dėl 312 nusikalstamų veikų</w:t>
            </w:r>
            <w:r w:rsidR="00DE11DB">
              <w:rPr>
                <w:rFonts w:cs="Times New Roman"/>
                <w:color w:val="000000"/>
                <w:szCs w:val="24"/>
                <w:shd w:val="clear" w:color="auto" w:fill="FFFFFF"/>
              </w:rPr>
              <w:t xml:space="preserve">. Atsižvelgiant į tai, kad siūloma kriminalizuoti nusikalstama veika yra panašaus pobūdžio, planuotinas ikiteisminių tyrimų skaičius turėtų būti artimas pateiktiems duomenims. Atsižvelgiant į visa tai, nėra jokio pagrindo vadovautis </w:t>
            </w:r>
            <w:r w:rsidR="005724B0">
              <w:rPr>
                <w:rFonts w:cs="Times New Roman"/>
                <w:color w:val="000000"/>
                <w:szCs w:val="24"/>
                <w:shd w:val="clear" w:color="auto" w:fill="FFFFFF"/>
              </w:rPr>
              <w:t xml:space="preserve">raštuose </w:t>
            </w:r>
            <w:proofErr w:type="spellStart"/>
            <w:r w:rsidR="005724B0">
              <w:rPr>
                <w:rFonts w:cs="Times New Roman"/>
                <w:szCs w:val="24"/>
              </w:rPr>
              <w:t>Nr</w:t>
            </w:r>
            <w:proofErr w:type="spellEnd"/>
            <w:r w:rsidR="005724B0">
              <w:rPr>
                <w:rFonts w:cs="Times New Roman"/>
                <w:szCs w:val="24"/>
              </w:rPr>
              <w:t xml:space="preserve">. 1D-994 ir </w:t>
            </w:r>
            <w:proofErr w:type="spellStart"/>
            <w:r w:rsidR="005724B0">
              <w:rPr>
                <w:rFonts w:cs="Times New Roman"/>
                <w:szCs w:val="24"/>
              </w:rPr>
              <w:t>Nr</w:t>
            </w:r>
            <w:proofErr w:type="spellEnd"/>
            <w:r w:rsidR="005724B0">
              <w:rPr>
                <w:rFonts w:cs="Times New Roman"/>
                <w:szCs w:val="24"/>
              </w:rPr>
              <w:t>. 5-S-2827 pateikt</w:t>
            </w:r>
            <w:r w:rsidR="00502AB5">
              <w:rPr>
                <w:rFonts w:cs="Times New Roman"/>
                <w:szCs w:val="24"/>
              </w:rPr>
              <w:t>ais</w:t>
            </w:r>
            <w:r w:rsidR="005724B0">
              <w:rPr>
                <w:rFonts w:cs="Times New Roman"/>
                <w:szCs w:val="24"/>
              </w:rPr>
              <w:t xml:space="preserve"> </w:t>
            </w:r>
            <w:r w:rsidR="00502AB5">
              <w:rPr>
                <w:rFonts w:cs="Times New Roman"/>
                <w:szCs w:val="24"/>
              </w:rPr>
              <w:t xml:space="preserve">netiksliais, tik </w:t>
            </w:r>
            <w:r w:rsidR="00077441">
              <w:rPr>
                <w:rFonts w:cs="Times New Roman"/>
                <w:szCs w:val="24"/>
              </w:rPr>
              <w:t>spėjimais pagrįstais</w:t>
            </w:r>
            <w:r w:rsidR="00502AB5">
              <w:rPr>
                <w:rFonts w:cs="Times New Roman"/>
                <w:szCs w:val="24"/>
              </w:rPr>
              <w:t>,</w:t>
            </w:r>
            <w:bookmarkStart w:id="0" w:name="_GoBack"/>
            <w:bookmarkEnd w:id="0"/>
            <w:r w:rsidR="00077441">
              <w:rPr>
                <w:rFonts w:cs="Times New Roman"/>
                <w:szCs w:val="24"/>
              </w:rPr>
              <w:t xml:space="preserve"> </w:t>
            </w:r>
            <w:r w:rsidR="005724B0">
              <w:rPr>
                <w:rFonts w:cs="Times New Roman"/>
                <w:szCs w:val="24"/>
              </w:rPr>
              <w:t>skaičiavimais.</w:t>
            </w:r>
          </w:p>
        </w:tc>
      </w:tr>
      <w:tr w:rsidR="009724AE" w:rsidRPr="005F43FA" w:rsidTr="005F43FA">
        <w:tc>
          <w:tcPr>
            <w:tcW w:w="2127" w:type="dxa"/>
            <w:tcBorders>
              <w:top w:val="single" w:sz="4" w:space="0" w:color="auto"/>
              <w:left w:val="single" w:sz="4" w:space="0" w:color="auto"/>
              <w:bottom w:val="single" w:sz="4" w:space="0" w:color="auto"/>
              <w:right w:val="single" w:sz="4" w:space="0" w:color="auto"/>
            </w:tcBorders>
          </w:tcPr>
          <w:p w:rsidR="009724AE" w:rsidRDefault="004A2871" w:rsidP="004A2871">
            <w:pPr>
              <w:rPr>
                <w:rFonts w:cs="Times New Roman"/>
                <w:szCs w:val="24"/>
              </w:rPr>
            </w:pPr>
            <w:r>
              <w:rPr>
                <w:rFonts w:cs="Times New Roman"/>
                <w:szCs w:val="24"/>
              </w:rPr>
              <w:lastRenderedPageBreak/>
              <w:t xml:space="preserve">Nacionalinės teismų administracijos 2020-02-27 raštas </w:t>
            </w:r>
            <w:proofErr w:type="spellStart"/>
            <w:r>
              <w:rPr>
                <w:rFonts w:cs="Times New Roman"/>
                <w:szCs w:val="24"/>
              </w:rPr>
              <w:t>Nr</w:t>
            </w:r>
            <w:proofErr w:type="spellEnd"/>
            <w:r>
              <w:rPr>
                <w:rFonts w:cs="Times New Roman"/>
                <w:szCs w:val="24"/>
              </w:rPr>
              <w:t>. 4R-347-(6.6)</w:t>
            </w:r>
          </w:p>
        </w:tc>
        <w:tc>
          <w:tcPr>
            <w:tcW w:w="5670" w:type="dxa"/>
            <w:tcBorders>
              <w:top w:val="single" w:sz="4" w:space="0" w:color="auto"/>
              <w:left w:val="single" w:sz="4" w:space="0" w:color="auto"/>
              <w:bottom w:val="single" w:sz="4" w:space="0" w:color="auto"/>
              <w:right w:val="single" w:sz="4" w:space="0" w:color="auto"/>
            </w:tcBorders>
          </w:tcPr>
          <w:p w:rsidR="009724AE" w:rsidRDefault="00297381" w:rsidP="00C2674B">
            <w:pPr>
              <w:pStyle w:val="Standard"/>
              <w:tabs>
                <w:tab w:val="left" w:pos="8245"/>
              </w:tabs>
              <w:overflowPunct w:val="0"/>
              <w:autoSpaceDE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BK projektas, tobulinant jį pagal Nutarimo projekte išdėstytas pastabas, be kita ko, turėtų būti įvertinamas ir atitikimo baudžiamosios politikos sisteminės pertvarkos</w:t>
            </w:r>
            <w:r w:rsidR="00C2674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krypčiai aspektu.</w:t>
            </w:r>
          </w:p>
        </w:tc>
        <w:tc>
          <w:tcPr>
            <w:tcW w:w="7796" w:type="dxa"/>
            <w:tcBorders>
              <w:top w:val="single" w:sz="4" w:space="0" w:color="auto"/>
              <w:left w:val="single" w:sz="4" w:space="0" w:color="auto"/>
              <w:bottom w:val="single" w:sz="4" w:space="0" w:color="auto"/>
              <w:right w:val="single" w:sz="4" w:space="0" w:color="auto"/>
            </w:tcBorders>
          </w:tcPr>
          <w:p w:rsidR="009724AE" w:rsidRDefault="00EA173F" w:rsidP="005F43FA">
            <w:pPr>
              <w:jc w:val="both"/>
              <w:rPr>
                <w:rFonts w:cs="Times New Roman"/>
                <w:b/>
                <w:szCs w:val="24"/>
              </w:rPr>
            </w:pPr>
            <w:r>
              <w:rPr>
                <w:rFonts w:cs="Times New Roman"/>
                <w:b/>
                <w:szCs w:val="24"/>
              </w:rPr>
              <w:t>Neatsižvelgta</w:t>
            </w:r>
          </w:p>
          <w:p w:rsidR="00EA173F" w:rsidRPr="00EA173F" w:rsidRDefault="00297381" w:rsidP="00297381">
            <w:pPr>
              <w:widowControl w:val="0"/>
              <w:autoSpaceDE w:val="0"/>
              <w:autoSpaceDN w:val="0"/>
              <w:adjustRightInd w:val="0"/>
              <w:jc w:val="both"/>
              <w:rPr>
                <w:rFonts w:cs="Times New Roman"/>
                <w:szCs w:val="24"/>
              </w:rPr>
            </w:pPr>
            <w:r>
              <w:rPr>
                <w:rFonts w:cs="Times New Roman"/>
                <w:szCs w:val="24"/>
              </w:rPr>
              <w:t>Žiūrėti atsikirtimą į 1 pastabą.</w:t>
            </w:r>
          </w:p>
        </w:tc>
      </w:tr>
      <w:tr w:rsidR="009724AE" w:rsidRPr="005F43FA" w:rsidTr="005F43FA">
        <w:tc>
          <w:tcPr>
            <w:tcW w:w="2127" w:type="dxa"/>
            <w:tcBorders>
              <w:top w:val="single" w:sz="4" w:space="0" w:color="auto"/>
              <w:left w:val="single" w:sz="4" w:space="0" w:color="auto"/>
              <w:bottom w:val="single" w:sz="4" w:space="0" w:color="auto"/>
              <w:right w:val="single" w:sz="4" w:space="0" w:color="auto"/>
            </w:tcBorders>
          </w:tcPr>
          <w:p w:rsidR="009724AE" w:rsidRDefault="005724B0" w:rsidP="009724AE">
            <w:pPr>
              <w:rPr>
                <w:rFonts w:cs="Times New Roman"/>
                <w:szCs w:val="24"/>
              </w:rPr>
            </w:pPr>
            <w:r>
              <w:rPr>
                <w:rFonts w:cs="Times New Roman"/>
                <w:szCs w:val="24"/>
              </w:rPr>
              <w:t>Ministro Pirmininko patarėjo Donato Matuizos pastaba</w:t>
            </w:r>
          </w:p>
        </w:tc>
        <w:tc>
          <w:tcPr>
            <w:tcW w:w="5670" w:type="dxa"/>
            <w:tcBorders>
              <w:top w:val="single" w:sz="4" w:space="0" w:color="auto"/>
              <w:left w:val="single" w:sz="4" w:space="0" w:color="auto"/>
              <w:bottom w:val="single" w:sz="4" w:space="0" w:color="auto"/>
              <w:right w:val="single" w:sz="4" w:space="0" w:color="auto"/>
            </w:tcBorders>
          </w:tcPr>
          <w:p w:rsidR="009724AE" w:rsidRDefault="005724B0" w:rsidP="0060507F">
            <w:pPr>
              <w:pStyle w:val="Standard"/>
              <w:tabs>
                <w:tab w:val="left" w:pos="8245"/>
              </w:tabs>
              <w:overflowPunct w:val="0"/>
              <w:autoSpaceDE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Įvertinti galimybę įtvirtinti atsakomybę už persekiojimą ne BK, o ANK.</w:t>
            </w:r>
          </w:p>
        </w:tc>
        <w:tc>
          <w:tcPr>
            <w:tcW w:w="7796" w:type="dxa"/>
            <w:tcBorders>
              <w:top w:val="single" w:sz="4" w:space="0" w:color="auto"/>
              <w:left w:val="single" w:sz="4" w:space="0" w:color="auto"/>
              <w:bottom w:val="single" w:sz="4" w:space="0" w:color="auto"/>
              <w:right w:val="single" w:sz="4" w:space="0" w:color="auto"/>
            </w:tcBorders>
          </w:tcPr>
          <w:p w:rsidR="00F161F5" w:rsidRDefault="00F161F5" w:rsidP="00F161F5">
            <w:pPr>
              <w:jc w:val="both"/>
              <w:rPr>
                <w:rFonts w:cs="Times New Roman"/>
                <w:b/>
                <w:szCs w:val="24"/>
              </w:rPr>
            </w:pPr>
            <w:r>
              <w:rPr>
                <w:rFonts w:cs="Times New Roman"/>
                <w:b/>
                <w:szCs w:val="24"/>
              </w:rPr>
              <w:t>Neatsižvelgta</w:t>
            </w:r>
          </w:p>
          <w:p w:rsidR="009724AE" w:rsidRPr="00F161F5" w:rsidRDefault="005724B0" w:rsidP="005F43FA">
            <w:pPr>
              <w:jc w:val="both"/>
              <w:rPr>
                <w:rFonts w:cs="Times New Roman"/>
                <w:szCs w:val="24"/>
              </w:rPr>
            </w:pPr>
            <w:r>
              <w:rPr>
                <w:rFonts w:cs="Times New Roman"/>
                <w:szCs w:val="24"/>
              </w:rPr>
              <w:t>Žiūrėti atsikirtimą į 1 pastabą.</w:t>
            </w:r>
          </w:p>
        </w:tc>
      </w:tr>
    </w:tbl>
    <w:p w:rsidR="00415F87" w:rsidRPr="005F43FA" w:rsidRDefault="00415F87" w:rsidP="00CF2553">
      <w:pPr>
        <w:spacing w:line="240" w:lineRule="auto"/>
        <w:rPr>
          <w:rFonts w:cs="Times New Roman"/>
          <w:szCs w:val="24"/>
        </w:rPr>
      </w:pPr>
    </w:p>
    <w:sectPr w:rsidR="00415F87" w:rsidRPr="005F43FA" w:rsidSect="00B34F32">
      <w:headerReference w:type="default" r:id="rId9"/>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DA3" w:rsidRDefault="00EC1DA3" w:rsidP="001A74E1">
      <w:pPr>
        <w:spacing w:after="0" w:line="240" w:lineRule="auto"/>
      </w:pPr>
      <w:r>
        <w:separator/>
      </w:r>
    </w:p>
  </w:endnote>
  <w:endnote w:type="continuationSeparator" w:id="0">
    <w:p w:rsidR="00EC1DA3" w:rsidRDefault="00EC1DA3" w:rsidP="001A74E1">
      <w:pPr>
        <w:spacing w:after="0" w:line="240" w:lineRule="auto"/>
      </w:pPr>
      <w:r>
        <w:continuationSeparator/>
      </w:r>
    </w:p>
  </w:endnote>
  <w:endnote w:type="continuationNotice" w:id="1">
    <w:p w:rsidR="00EC1DA3" w:rsidRDefault="00EC1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DA3" w:rsidRDefault="00EC1DA3" w:rsidP="001A74E1">
      <w:pPr>
        <w:spacing w:after="0" w:line="240" w:lineRule="auto"/>
      </w:pPr>
      <w:r>
        <w:separator/>
      </w:r>
    </w:p>
  </w:footnote>
  <w:footnote w:type="continuationSeparator" w:id="0">
    <w:p w:rsidR="00EC1DA3" w:rsidRDefault="00EC1DA3" w:rsidP="001A74E1">
      <w:pPr>
        <w:spacing w:after="0" w:line="240" w:lineRule="auto"/>
      </w:pPr>
      <w:r>
        <w:continuationSeparator/>
      </w:r>
    </w:p>
  </w:footnote>
  <w:footnote w:type="continuationNotice" w:id="1">
    <w:p w:rsidR="00EC1DA3" w:rsidRDefault="00EC1D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502967"/>
      <w:docPartObj>
        <w:docPartGallery w:val="Page Numbers (Top of Page)"/>
        <w:docPartUnique/>
      </w:docPartObj>
    </w:sdtPr>
    <w:sdtEndPr/>
    <w:sdtContent>
      <w:p w:rsidR="0083303A" w:rsidRDefault="0083303A">
        <w:pPr>
          <w:pStyle w:val="Header"/>
          <w:jc w:val="center"/>
        </w:pPr>
        <w:r>
          <w:fldChar w:fldCharType="begin"/>
        </w:r>
        <w:r>
          <w:instrText>PAGE   \* MERGEFORMAT</w:instrText>
        </w:r>
        <w:r>
          <w:fldChar w:fldCharType="separate"/>
        </w:r>
        <w:r w:rsidR="00502AB5">
          <w:rPr>
            <w:noProof/>
          </w:rPr>
          <w:t>4</w:t>
        </w:r>
        <w:r>
          <w:fldChar w:fldCharType="end"/>
        </w:r>
      </w:p>
    </w:sdtContent>
  </w:sdt>
  <w:p w:rsidR="0083303A" w:rsidRDefault="00833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9D15D1D"/>
    <w:multiLevelType w:val="hybridMultilevel"/>
    <w:tmpl w:val="4CB885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14"/>
  </w:num>
  <w:num w:numId="4">
    <w:abstractNumId w:val="1"/>
  </w:num>
  <w:num w:numId="5">
    <w:abstractNumId w:val="7"/>
  </w:num>
  <w:num w:numId="6">
    <w:abstractNumId w:val="15"/>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80"/>
    <w:rsid w:val="00002DEE"/>
    <w:rsid w:val="00006D83"/>
    <w:rsid w:val="000105C5"/>
    <w:rsid w:val="00011F89"/>
    <w:rsid w:val="0001325B"/>
    <w:rsid w:val="00017BA5"/>
    <w:rsid w:val="0002185B"/>
    <w:rsid w:val="00023C51"/>
    <w:rsid w:val="00027F2B"/>
    <w:rsid w:val="00030121"/>
    <w:rsid w:val="00032155"/>
    <w:rsid w:val="00032FAB"/>
    <w:rsid w:val="00032FF1"/>
    <w:rsid w:val="0003675D"/>
    <w:rsid w:val="00046E29"/>
    <w:rsid w:val="000473E1"/>
    <w:rsid w:val="0004761D"/>
    <w:rsid w:val="00051B37"/>
    <w:rsid w:val="00051D09"/>
    <w:rsid w:val="00052516"/>
    <w:rsid w:val="00053F08"/>
    <w:rsid w:val="00057760"/>
    <w:rsid w:val="000668AB"/>
    <w:rsid w:val="000668CD"/>
    <w:rsid w:val="000722D5"/>
    <w:rsid w:val="00073E80"/>
    <w:rsid w:val="00077441"/>
    <w:rsid w:val="0007787E"/>
    <w:rsid w:val="00090973"/>
    <w:rsid w:val="00093DD7"/>
    <w:rsid w:val="000958A7"/>
    <w:rsid w:val="0009694C"/>
    <w:rsid w:val="00097C3B"/>
    <w:rsid w:val="000A11A2"/>
    <w:rsid w:val="000A2BD4"/>
    <w:rsid w:val="000A36D8"/>
    <w:rsid w:val="000A43FB"/>
    <w:rsid w:val="000B028B"/>
    <w:rsid w:val="000B0371"/>
    <w:rsid w:val="000B22FE"/>
    <w:rsid w:val="000B2845"/>
    <w:rsid w:val="000B77AB"/>
    <w:rsid w:val="000B7CCA"/>
    <w:rsid w:val="000D0F2E"/>
    <w:rsid w:val="000E0A46"/>
    <w:rsid w:val="000E0D71"/>
    <w:rsid w:val="000E210B"/>
    <w:rsid w:val="000E2BB0"/>
    <w:rsid w:val="000E417C"/>
    <w:rsid w:val="000E4DC0"/>
    <w:rsid w:val="000E72BC"/>
    <w:rsid w:val="000F0F3C"/>
    <w:rsid w:val="000F3D9F"/>
    <w:rsid w:val="000F75D9"/>
    <w:rsid w:val="00110461"/>
    <w:rsid w:val="00113D18"/>
    <w:rsid w:val="0011743B"/>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3AB8"/>
    <w:rsid w:val="001740BA"/>
    <w:rsid w:val="00183DD9"/>
    <w:rsid w:val="00183FB2"/>
    <w:rsid w:val="00184AAE"/>
    <w:rsid w:val="00185664"/>
    <w:rsid w:val="001904FB"/>
    <w:rsid w:val="00191EC4"/>
    <w:rsid w:val="0019318D"/>
    <w:rsid w:val="00193676"/>
    <w:rsid w:val="00194266"/>
    <w:rsid w:val="00195D57"/>
    <w:rsid w:val="001A353B"/>
    <w:rsid w:val="001A4D70"/>
    <w:rsid w:val="001A617C"/>
    <w:rsid w:val="001A6C8B"/>
    <w:rsid w:val="001A74E1"/>
    <w:rsid w:val="001D2DD0"/>
    <w:rsid w:val="001D35C4"/>
    <w:rsid w:val="001D4560"/>
    <w:rsid w:val="001D5ACC"/>
    <w:rsid w:val="001D7F9B"/>
    <w:rsid w:val="001E14C1"/>
    <w:rsid w:val="001E163D"/>
    <w:rsid w:val="001E1DAC"/>
    <w:rsid w:val="001E2FB6"/>
    <w:rsid w:val="001E5AEB"/>
    <w:rsid w:val="001E7F07"/>
    <w:rsid w:val="001F0BA8"/>
    <w:rsid w:val="001F6612"/>
    <w:rsid w:val="001F6E6F"/>
    <w:rsid w:val="001F778B"/>
    <w:rsid w:val="00200687"/>
    <w:rsid w:val="0020288F"/>
    <w:rsid w:val="00205F8A"/>
    <w:rsid w:val="002110E9"/>
    <w:rsid w:val="002119D5"/>
    <w:rsid w:val="002132F8"/>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73D"/>
    <w:rsid w:val="00296A94"/>
    <w:rsid w:val="00297381"/>
    <w:rsid w:val="0029778E"/>
    <w:rsid w:val="002A29E9"/>
    <w:rsid w:val="002A2B6C"/>
    <w:rsid w:val="002A4CD0"/>
    <w:rsid w:val="002B0257"/>
    <w:rsid w:val="002B2907"/>
    <w:rsid w:val="002C0530"/>
    <w:rsid w:val="002C0F0D"/>
    <w:rsid w:val="002C207F"/>
    <w:rsid w:val="002C6F16"/>
    <w:rsid w:val="002D0FCC"/>
    <w:rsid w:val="002D4903"/>
    <w:rsid w:val="002D73F5"/>
    <w:rsid w:val="002E25C3"/>
    <w:rsid w:val="002E43CD"/>
    <w:rsid w:val="002E6070"/>
    <w:rsid w:val="002F17B1"/>
    <w:rsid w:val="002F2214"/>
    <w:rsid w:val="002F3DC2"/>
    <w:rsid w:val="002F7932"/>
    <w:rsid w:val="002F7F81"/>
    <w:rsid w:val="00303389"/>
    <w:rsid w:val="003039D3"/>
    <w:rsid w:val="00305EBB"/>
    <w:rsid w:val="00305ECB"/>
    <w:rsid w:val="00315E70"/>
    <w:rsid w:val="00321ED9"/>
    <w:rsid w:val="00323D6E"/>
    <w:rsid w:val="0033604C"/>
    <w:rsid w:val="003361D6"/>
    <w:rsid w:val="00342A94"/>
    <w:rsid w:val="003437F9"/>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44E1"/>
    <w:rsid w:val="003A5259"/>
    <w:rsid w:val="003B0F36"/>
    <w:rsid w:val="003B510B"/>
    <w:rsid w:val="003B579F"/>
    <w:rsid w:val="003C014A"/>
    <w:rsid w:val="003C3524"/>
    <w:rsid w:val="003C6CEF"/>
    <w:rsid w:val="003C6F96"/>
    <w:rsid w:val="003C744D"/>
    <w:rsid w:val="003D228D"/>
    <w:rsid w:val="003E0AE9"/>
    <w:rsid w:val="003E297F"/>
    <w:rsid w:val="003E4A69"/>
    <w:rsid w:val="003F1A58"/>
    <w:rsid w:val="003F5015"/>
    <w:rsid w:val="003F5C06"/>
    <w:rsid w:val="003F5DD9"/>
    <w:rsid w:val="003F6EBC"/>
    <w:rsid w:val="00406AFE"/>
    <w:rsid w:val="00415F87"/>
    <w:rsid w:val="004223AE"/>
    <w:rsid w:val="00424471"/>
    <w:rsid w:val="004245E2"/>
    <w:rsid w:val="004315DD"/>
    <w:rsid w:val="004418C5"/>
    <w:rsid w:val="00446699"/>
    <w:rsid w:val="0044766B"/>
    <w:rsid w:val="00450C04"/>
    <w:rsid w:val="004514C5"/>
    <w:rsid w:val="004569A7"/>
    <w:rsid w:val="00462DF0"/>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A2871"/>
    <w:rsid w:val="004A3BA8"/>
    <w:rsid w:val="004A6A8B"/>
    <w:rsid w:val="004B1773"/>
    <w:rsid w:val="004B4169"/>
    <w:rsid w:val="004B6F82"/>
    <w:rsid w:val="004C0AAF"/>
    <w:rsid w:val="004C15D1"/>
    <w:rsid w:val="004C20A2"/>
    <w:rsid w:val="004E04BF"/>
    <w:rsid w:val="004E4314"/>
    <w:rsid w:val="004E7E18"/>
    <w:rsid w:val="004F455E"/>
    <w:rsid w:val="004F7468"/>
    <w:rsid w:val="00500D1F"/>
    <w:rsid w:val="00502AB5"/>
    <w:rsid w:val="00502D19"/>
    <w:rsid w:val="00502EF6"/>
    <w:rsid w:val="00503E7F"/>
    <w:rsid w:val="0050418F"/>
    <w:rsid w:val="005046A5"/>
    <w:rsid w:val="005066C9"/>
    <w:rsid w:val="00513663"/>
    <w:rsid w:val="005144AA"/>
    <w:rsid w:val="005209CC"/>
    <w:rsid w:val="00526545"/>
    <w:rsid w:val="00527807"/>
    <w:rsid w:val="005341DB"/>
    <w:rsid w:val="00534CB6"/>
    <w:rsid w:val="0053761B"/>
    <w:rsid w:val="005403AC"/>
    <w:rsid w:val="005409AE"/>
    <w:rsid w:val="00540D33"/>
    <w:rsid w:val="00540F3C"/>
    <w:rsid w:val="00544C0C"/>
    <w:rsid w:val="00545038"/>
    <w:rsid w:val="00546C48"/>
    <w:rsid w:val="00554089"/>
    <w:rsid w:val="00557F5F"/>
    <w:rsid w:val="00561185"/>
    <w:rsid w:val="00564B20"/>
    <w:rsid w:val="00565A80"/>
    <w:rsid w:val="00567A46"/>
    <w:rsid w:val="005724B0"/>
    <w:rsid w:val="005727C3"/>
    <w:rsid w:val="00580044"/>
    <w:rsid w:val="005817D1"/>
    <w:rsid w:val="005826FC"/>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507F"/>
    <w:rsid w:val="00606C03"/>
    <w:rsid w:val="00611AF4"/>
    <w:rsid w:val="00616125"/>
    <w:rsid w:val="006170C6"/>
    <w:rsid w:val="00623ADE"/>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A634A"/>
    <w:rsid w:val="006A6A7A"/>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35D4"/>
    <w:rsid w:val="00740068"/>
    <w:rsid w:val="007408F8"/>
    <w:rsid w:val="0074312A"/>
    <w:rsid w:val="007445EE"/>
    <w:rsid w:val="0074631F"/>
    <w:rsid w:val="00751B7A"/>
    <w:rsid w:val="007522A3"/>
    <w:rsid w:val="00754BCF"/>
    <w:rsid w:val="00755E2A"/>
    <w:rsid w:val="00762159"/>
    <w:rsid w:val="00765D32"/>
    <w:rsid w:val="00766784"/>
    <w:rsid w:val="00766E0A"/>
    <w:rsid w:val="00767522"/>
    <w:rsid w:val="00770554"/>
    <w:rsid w:val="00771E6A"/>
    <w:rsid w:val="007738DA"/>
    <w:rsid w:val="007777DA"/>
    <w:rsid w:val="00784FCE"/>
    <w:rsid w:val="00790F32"/>
    <w:rsid w:val="007952DD"/>
    <w:rsid w:val="007C0600"/>
    <w:rsid w:val="007C4E70"/>
    <w:rsid w:val="007D0685"/>
    <w:rsid w:val="007D104B"/>
    <w:rsid w:val="007D3929"/>
    <w:rsid w:val="007D3B2B"/>
    <w:rsid w:val="007D4D8F"/>
    <w:rsid w:val="007E557A"/>
    <w:rsid w:val="007E6A58"/>
    <w:rsid w:val="007F1063"/>
    <w:rsid w:val="007F2C38"/>
    <w:rsid w:val="007F34D2"/>
    <w:rsid w:val="00801012"/>
    <w:rsid w:val="00803F6D"/>
    <w:rsid w:val="00813CB8"/>
    <w:rsid w:val="00813EE7"/>
    <w:rsid w:val="0081420F"/>
    <w:rsid w:val="00815438"/>
    <w:rsid w:val="00821186"/>
    <w:rsid w:val="008218C0"/>
    <w:rsid w:val="0082582E"/>
    <w:rsid w:val="00827EE5"/>
    <w:rsid w:val="0083303A"/>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1161"/>
    <w:rsid w:val="008F6F21"/>
    <w:rsid w:val="00902171"/>
    <w:rsid w:val="00902CFB"/>
    <w:rsid w:val="00906CCC"/>
    <w:rsid w:val="009071CC"/>
    <w:rsid w:val="00911B39"/>
    <w:rsid w:val="00912AA7"/>
    <w:rsid w:val="0091433E"/>
    <w:rsid w:val="00917022"/>
    <w:rsid w:val="00923F33"/>
    <w:rsid w:val="0093046F"/>
    <w:rsid w:val="009337B1"/>
    <w:rsid w:val="009422AC"/>
    <w:rsid w:val="0094236C"/>
    <w:rsid w:val="009457A7"/>
    <w:rsid w:val="00946409"/>
    <w:rsid w:val="009466A0"/>
    <w:rsid w:val="00951C1A"/>
    <w:rsid w:val="00952BEA"/>
    <w:rsid w:val="00953259"/>
    <w:rsid w:val="009537C0"/>
    <w:rsid w:val="00956061"/>
    <w:rsid w:val="009651A8"/>
    <w:rsid w:val="009653EB"/>
    <w:rsid w:val="00966B58"/>
    <w:rsid w:val="00967AF5"/>
    <w:rsid w:val="009724AE"/>
    <w:rsid w:val="00973D0C"/>
    <w:rsid w:val="00977A1F"/>
    <w:rsid w:val="00980296"/>
    <w:rsid w:val="00982399"/>
    <w:rsid w:val="00991676"/>
    <w:rsid w:val="00991FA1"/>
    <w:rsid w:val="00993425"/>
    <w:rsid w:val="00993B6E"/>
    <w:rsid w:val="00994D28"/>
    <w:rsid w:val="00995443"/>
    <w:rsid w:val="009A1005"/>
    <w:rsid w:val="009A3812"/>
    <w:rsid w:val="009A6788"/>
    <w:rsid w:val="009B0744"/>
    <w:rsid w:val="009B1261"/>
    <w:rsid w:val="009B231D"/>
    <w:rsid w:val="009B5580"/>
    <w:rsid w:val="009C0BBA"/>
    <w:rsid w:val="009C1D86"/>
    <w:rsid w:val="009C35C0"/>
    <w:rsid w:val="009C5F86"/>
    <w:rsid w:val="009D1308"/>
    <w:rsid w:val="009D6985"/>
    <w:rsid w:val="009E009E"/>
    <w:rsid w:val="009E19C1"/>
    <w:rsid w:val="009E635F"/>
    <w:rsid w:val="009E7247"/>
    <w:rsid w:val="009F1C07"/>
    <w:rsid w:val="009F385C"/>
    <w:rsid w:val="00A0253C"/>
    <w:rsid w:val="00A05FDA"/>
    <w:rsid w:val="00A10A05"/>
    <w:rsid w:val="00A118AE"/>
    <w:rsid w:val="00A12215"/>
    <w:rsid w:val="00A123C2"/>
    <w:rsid w:val="00A2150A"/>
    <w:rsid w:val="00A23BE7"/>
    <w:rsid w:val="00A24232"/>
    <w:rsid w:val="00A25966"/>
    <w:rsid w:val="00A316E8"/>
    <w:rsid w:val="00A31BE9"/>
    <w:rsid w:val="00A3349B"/>
    <w:rsid w:val="00A42182"/>
    <w:rsid w:val="00A507E5"/>
    <w:rsid w:val="00A6392A"/>
    <w:rsid w:val="00A70843"/>
    <w:rsid w:val="00A71B8B"/>
    <w:rsid w:val="00A75550"/>
    <w:rsid w:val="00A77384"/>
    <w:rsid w:val="00A8542E"/>
    <w:rsid w:val="00A91F16"/>
    <w:rsid w:val="00A93B20"/>
    <w:rsid w:val="00A944D3"/>
    <w:rsid w:val="00A96432"/>
    <w:rsid w:val="00A9772A"/>
    <w:rsid w:val="00AA3556"/>
    <w:rsid w:val="00AA4C8A"/>
    <w:rsid w:val="00AA7736"/>
    <w:rsid w:val="00AB06D1"/>
    <w:rsid w:val="00AB1525"/>
    <w:rsid w:val="00AB4F7D"/>
    <w:rsid w:val="00AB6AE9"/>
    <w:rsid w:val="00AB7D4F"/>
    <w:rsid w:val="00AD0F49"/>
    <w:rsid w:val="00AD2C91"/>
    <w:rsid w:val="00AD2DB7"/>
    <w:rsid w:val="00AD6A50"/>
    <w:rsid w:val="00AE0995"/>
    <w:rsid w:val="00AE44A2"/>
    <w:rsid w:val="00AE4530"/>
    <w:rsid w:val="00AE50AE"/>
    <w:rsid w:val="00AF195A"/>
    <w:rsid w:val="00AF2744"/>
    <w:rsid w:val="00AF4FF3"/>
    <w:rsid w:val="00AF77AD"/>
    <w:rsid w:val="00AF7FB4"/>
    <w:rsid w:val="00B00C8B"/>
    <w:rsid w:val="00B01443"/>
    <w:rsid w:val="00B075C4"/>
    <w:rsid w:val="00B138AC"/>
    <w:rsid w:val="00B14258"/>
    <w:rsid w:val="00B16CE3"/>
    <w:rsid w:val="00B178B2"/>
    <w:rsid w:val="00B2004A"/>
    <w:rsid w:val="00B2009F"/>
    <w:rsid w:val="00B26615"/>
    <w:rsid w:val="00B306C8"/>
    <w:rsid w:val="00B3072D"/>
    <w:rsid w:val="00B34F32"/>
    <w:rsid w:val="00B3735E"/>
    <w:rsid w:val="00B418E1"/>
    <w:rsid w:val="00B44C83"/>
    <w:rsid w:val="00B46BDA"/>
    <w:rsid w:val="00B544F6"/>
    <w:rsid w:val="00B566BF"/>
    <w:rsid w:val="00B60A02"/>
    <w:rsid w:val="00B77D1A"/>
    <w:rsid w:val="00B82E77"/>
    <w:rsid w:val="00B850BE"/>
    <w:rsid w:val="00B85312"/>
    <w:rsid w:val="00B85949"/>
    <w:rsid w:val="00B86100"/>
    <w:rsid w:val="00B87E1D"/>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2CFC"/>
    <w:rsid w:val="00BE39B7"/>
    <w:rsid w:val="00BF0E28"/>
    <w:rsid w:val="00BF1FFC"/>
    <w:rsid w:val="00BF4091"/>
    <w:rsid w:val="00BF48AA"/>
    <w:rsid w:val="00BF5B97"/>
    <w:rsid w:val="00BF6240"/>
    <w:rsid w:val="00BF7827"/>
    <w:rsid w:val="00C033D6"/>
    <w:rsid w:val="00C068F1"/>
    <w:rsid w:val="00C13260"/>
    <w:rsid w:val="00C166CB"/>
    <w:rsid w:val="00C2670F"/>
    <w:rsid w:val="00C2674B"/>
    <w:rsid w:val="00C31CCD"/>
    <w:rsid w:val="00C322A6"/>
    <w:rsid w:val="00C3560F"/>
    <w:rsid w:val="00C41CB2"/>
    <w:rsid w:val="00C446A9"/>
    <w:rsid w:val="00C46820"/>
    <w:rsid w:val="00C53F8C"/>
    <w:rsid w:val="00C544FD"/>
    <w:rsid w:val="00C54764"/>
    <w:rsid w:val="00C54BE8"/>
    <w:rsid w:val="00C55BEE"/>
    <w:rsid w:val="00C56F94"/>
    <w:rsid w:val="00C66F54"/>
    <w:rsid w:val="00C7315D"/>
    <w:rsid w:val="00C77144"/>
    <w:rsid w:val="00C83BA5"/>
    <w:rsid w:val="00C849E1"/>
    <w:rsid w:val="00C852E0"/>
    <w:rsid w:val="00C866C0"/>
    <w:rsid w:val="00C97074"/>
    <w:rsid w:val="00CA058C"/>
    <w:rsid w:val="00CA2DBB"/>
    <w:rsid w:val="00CA3C23"/>
    <w:rsid w:val="00CA43AC"/>
    <w:rsid w:val="00CB116C"/>
    <w:rsid w:val="00CB21A4"/>
    <w:rsid w:val="00CB383F"/>
    <w:rsid w:val="00CB6CBF"/>
    <w:rsid w:val="00CB793C"/>
    <w:rsid w:val="00CC4B98"/>
    <w:rsid w:val="00CC4D08"/>
    <w:rsid w:val="00CD1376"/>
    <w:rsid w:val="00CE2213"/>
    <w:rsid w:val="00CE5AB2"/>
    <w:rsid w:val="00CF2553"/>
    <w:rsid w:val="00CF2E99"/>
    <w:rsid w:val="00D01541"/>
    <w:rsid w:val="00D02223"/>
    <w:rsid w:val="00D0449A"/>
    <w:rsid w:val="00D1683C"/>
    <w:rsid w:val="00D208C9"/>
    <w:rsid w:val="00D20B2D"/>
    <w:rsid w:val="00D223D5"/>
    <w:rsid w:val="00D26169"/>
    <w:rsid w:val="00D32562"/>
    <w:rsid w:val="00D41389"/>
    <w:rsid w:val="00D428A0"/>
    <w:rsid w:val="00D43E3B"/>
    <w:rsid w:val="00D4424F"/>
    <w:rsid w:val="00D45FC5"/>
    <w:rsid w:val="00D46783"/>
    <w:rsid w:val="00D50909"/>
    <w:rsid w:val="00D561BD"/>
    <w:rsid w:val="00D61EE7"/>
    <w:rsid w:val="00D677CC"/>
    <w:rsid w:val="00D74576"/>
    <w:rsid w:val="00D76E1B"/>
    <w:rsid w:val="00D8283E"/>
    <w:rsid w:val="00D87A33"/>
    <w:rsid w:val="00D91E25"/>
    <w:rsid w:val="00D97B72"/>
    <w:rsid w:val="00DA4B43"/>
    <w:rsid w:val="00DA653F"/>
    <w:rsid w:val="00DA6836"/>
    <w:rsid w:val="00DA75F3"/>
    <w:rsid w:val="00DB3C1B"/>
    <w:rsid w:val="00DB522C"/>
    <w:rsid w:val="00DB5ABD"/>
    <w:rsid w:val="00DB76BD"/>
    <w:rsid w:val="00DC387F"/>
    <w:rsid w:val="00DC5961"/>
    <w:rsid w:val="00DC7AFD"/>
    <w:rsid w:val="00DD0288"/>
    <w:rsid w:val="00DD11C8"/>
    <w:rsid w:val="00DD1E48"/>
    <w:rsid w:val="00DD5105"/>
    <w:rsid w:val="00DD6376"/>
    <w:rsid w:val="00DE11DB"/>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62EC7"/>
    <w:rsid w:val="00E80660"/>
    <w:rsid w:val="00E8329A"/>
    <w:rsid w:val="00E83670"/>
    <w:rsid w:val="00E845B6"/>
    <w:rsid w:val="00E902BA"/>
    <w:rsid w:val="00E96008"/>
    <w:rsid w:val="00EA173F"/>
    <w:rsid w:val="00EA32F3"/>
    <w:rsid w:val="00EA36CD"/>
    <w:rsid w:val="00EA6FA6"/>
    <w:rsid w:val="00EA72B7"/>
    <w:rsid w:val="00EB0966"/>
    <w:rsid w:val="00EB1862"/>
    <w:rsid w:val="00EB49CA"/>
    <w:rsid w:val="00EB4C67"/>
    <w:rsid w:val="00EB6DD3"/>
    <w:rsid w:val="00EB732B"/>
    <w:rsid w:val="00EB7719"/>
    <w:rsid w:val="00EB7C20"/>
    <w:rsid w:val="00EC1DA3"/>
    <w:rsid w:val="00EC26B7"/>
    <w:rsid w:val="00EC60B5"/>
    <w:rsid w:val="00EC6986"/>
    <w:rsid w:val="00ED194E"/>
    <w:rsid w:val="00ED32D3"/>
    <w:rsid w:val="00ED378C"/>
    <w:rsid w:val="00ED58B6"/>
    <w:rsid w:val="00EE1DEE"/>
    <w:rsid w:val="00EF1D29"/>
    <w:rsid w:val="00F01520"/>
    <w:rsid w:val="00F02B57"/>
    <w:rsid w:val="00F03D30"/>
    <w:rsid w:val="00F047CE"/>
    <w:rsid w:val="00F161F5"/>
    <w:rsid w:val="00F17440"/>
    <w:rsid w:val="00F17DAF"/>
    <w:rsid w:val="00F234FB"/>
    <w:rsid w:val="00F24F7D"/>
    <w:rsid w:val="00F2740A"/>
    <w:rsid w:val="00F3282F"/>
    <w:rsid w:val="00F353DB"/>
    <w:rsid w:val="00F3632D"/>
    <w:rsid w:val="00F41C92"/>
    <w:rsid w:val="00F42D02"/>
    <w:rsid w:val="00F456BE"/>
    <w:rsid w:val="00F46C6F"/>
    <w:rsid w:val="00F46E54"/>
    <w:rsid w:val="00F4777A"/>
    <w:rsid w:val="00F47BB9"/>
    <w:rsid w:val="00F53147"/>
    <w:rsid w:val="00F539A6"/>
    <w:rsid w:val="00F53B3A"/>
    <w:rsid w:val="00F54396"/>
    <w:rsid w:val="00F566A6"/>
    <w:rsid w:val="00F56776"/>
    <w:rsid w:val="00F574DF"/>
    <w:rsid w:val="00F60913"/>
    <w:rsid w:val="00F64CF3"/>
    <w:rsid w:val="00F65277"/>
    <w:rsid w:val="00F730E4"/>
    <w:rsid w:val="00F74D27"/>
    <w:rsid w:val="00F753D3"/>
    <w:rsid w:val="00F759B5"/>
    <w:rsid w:val="00F80D67"/>
    <w:rsid w:val="00F82980"/>
    <w:rsid w:val="00F87DAE"/>
    <w:rsid w:val="00F913A0"/>
    <w:rsid w:val="00F91D1E"/>
    <w:rsid w:val="00F9228E"/>
    <w:rsid w:val="00F932EA"/>
    <w:rsid w:val="00F940BE"/>
    <w:rsid w:val="00F944BC"/>
    <w:rsid w:val="00FA2988"/>
    <w:rsid w:val="00FA42CB"/>
    <w:rsid w:val="00FB1199"/>
    <w:rsid w:val="00FB4DC3"/>
    <w:rsid w:val="00FC5CC8"/>
    <w:rsid w:val="00FC5D30"/>
    <w:rsid w:val="00FC6128"/>
    <w:rsid w:val="00FC7789"/>
    <w:rsid w:val="00FD31AA"/>
    <w:rsid w:val="00FD38EB"/>
    <w:rsid w:val="00FD3CA9"/>
    <w:rsid w:val="00FD4F81"/>
    <w:rsid w:val="00FD714E"/>
    <w:rsid w:val="00FE14C3"/>
    <w:rsid w:val="00FE48C2"/>
    <w:rsid w:val="00FE601B"/>
    <w:rsid w:val="00FF05BA"/>
    <w:rsid w:val="00FF15C9"/>
    <w:rsid w:val="00FF1C79"/>
    <w:rsid w:val="00FF25D9"/>
    <w:rsid w:val="00FF550D"/>
    <w:rsid w:val="00FF7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semiHidden/>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aliases w:val="Char,Diagrama Diagrama Diagrama, Char"/>
    <w:basedOn w:val="Normal"/>
    <w:link w:val="HeaderChar"/>
    <w:uiPriority w:val="99"/>
    <w:unhideWhenUsed/>
    <w:rsid w:val="001A74E1"/>
    <w:pPr>
      <w:tabs>
        <w:tab w:val="center" w:pos="4819"/>
        <w:tab w:val="right" w:pos="9638"/>
      </w:tabs>
      <w:spacing w:after="0" w:line="240" w:lineRule="auto"/>
    </w:pPr>
  </w:style>
  <w:style w:type="character" w:customStyle="1" w:styleId="HeaderChar">
    <w:name w:val="Header Char"/>
    <w:aliases w:val="Char Char,Diagrama Diagrama Diagrama Char, Char Char"/>
    <w:basedOn w:val="DefaultParagraphFont"/>
    <w:link w:val="Header"/>
    <w:uiPriority w:val="99"/>
    <w:rsid w:val="001A74E1"/>
  </w:style>
  <w:style w:type="paragraph" w:styleId="Footer">
    <w:name w:val="footer"/>
    <w:basedOn w:val="Normal"/>
    <w:link w:val="FooterChar"/>
    <w:uiPriority w:val="99"/>
    <w:unhideWhenUsed/>
    <w:rsid w:val="001A74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4E1"/>
  </w:style>
  <w:style w:type="paragraph" w:styleId="NormalWeb">
    <w:name w:val="Normal (Web)"/>
    <w:basedOn w:val="Normal"/>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ageNumber">
    <w:name w:val="page number"/>
    <w:basedOn w:val="DefaultParagraphFont"/>
    <w:rsid w:val="008B1782"/>
  </w:style>
  <w:style w:type="character" w:styleId="Strong">
    <w:name w:val="Strong"/>
    <w:basedOn w:val="DefaultParagraphFont"/>
    <w:uiPriority w:val="22"/>
    <w:qFormat/>
    <w:rsid w:val="008B1782"/>
    <w:rPr>
      <w:b/>
      <w:bCs/>
    </w:rPr>
  </w:style>
  <w:style w:type="paragraph" w:styleId="BalloonText">
    <w:name w:val="Balloon Text"/>
    <w:basedOn w:val="Normal"/>
    <w:link w:val="BalloonTextChar"/>
    <w:uiPriority w:val="99"/>
    <w:semiHidden/>
    <w:unhideWhenUsed/>
    <w:rsid w:val="00CC4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08"/>
    <w:rPr>
      <w:rFonts w:ascii="Segoe UI" w:hAnsi="Segoe UI" w:cs="Segoe UI"/>
      <w:sz w:val="18"/>
      <w:szCs w:val="18"/>
    </w:rPr>
  </w:style>
  <w:style w:type="paragraph" w:styleId="ListParagraph">
    <w:name w:val="List Paragraph"/>
    <w:basedOn w:val="Normal"/>
    <w:uiPriority w:val="34"/>
    <w:qFormat/>
    <w:rsid w:val="00D1683C"/>
    <w:pPr>
      <w:ind w:left="720"/>
      <w:contextualSpacing/>
    </w:pPr>
  </w:style>
  <w:style w:type="character" w:styleId="CommentReference">
    <w:name w:val="annotation reference"/>
    <w:basedOn w:val="DefaultParagraphFont"/>
    <w:uiPriority w:val="99"/>
    <w:unhideWhenUsed/>
    <w:rsid w:val="00FF25D9"/>
    <w:rPr>
      <w:sz w:val="16"/>
      <w:szCs w:val="16"/>
    </w:rPr>
  </w:style>
  <w:style w:type="paragraph" w:styleId="CommentText">
    <w:name w:val="annotation text"/>
    <w:basedOn w:val="Normal"/>
    <w:link w:val="CommentTextChar"/>
    <w:uiPriority w:val="99"/>
    <w:unhideWhenUsed/>
    <w:rsid w:val="00FF25D9"/>
    <w:pPr>
      <w:spacing w:line="240" w:lineRule="auto"/>
    </w:pPr>
    <w:rPr>
      <w:sz w:val="20"/>
      <w:szCs w:val="20"/>
    </w:rPr>
  </w:style>
  <w:style w:type="character" w:customStyle="1" w:styleId="CommentTextChar">
    <w:name w:val="Comment Text Char"/>
    <w:basedOn w:val="DefaultParagraphFont"/>
    <w:link w:val="CommentText"/>
    <w:uiPriority w:val="99"/>
    <w:rsid w:val="00FF25D9"/>
    <w:rPr>
      <w:sz w:val="20"/>
      <w:szCs w:val="20"/>
    </w:rPr>
  </w:style>
  <w:style w:type="paragraph" w:styleId="CommentSubject">
    <w:name w:val="annotation subject"/>
    <w:basedOn w:val="CommentText"/>
    <w:next w:val="CommentText"/>
    <w:link w:val="CommentSubjectChar"/>
    <w:uiPriority w:val="99"/>
    <w:semiHidden/>
    <w:unhideWhenUsed/>
    <w:rsid w:val="00FF25D9"/>
    <w:rPr>
      <w:b/>
      <w:bCs/>
    </w:rPr>
  </w:style>
  <w:style w:type="character" w:customStyle="1" w:styleId="CommentSubjectChar">
    <w:name w:val="Comment Subject Char"/>
    <w:basedOn w:val="CommentTextChar"/>
    <w:link w:val="CommentSubject"/>
    <w:uiPriority w:val="99"/>
    <w:semiHidden/>
    <w:rsid w:val="00FF25D9"/>
    <w:rPr>
      <w:b/>
      <w:bCs/>
      <w:sz w:val="20"/>
      <w:szCs w:val="20"/>
    </w:rPr>
  </w:style>
  <w:style w:type="paragraph" w:styleId="Revision">
    <w:name w:val="Revision"/>
    <w:hidden/>
    <w:uiPriority w:val="99"/>
    <w:semiHidden/>
    <w:rsid w:val="00D02223"/>
    <w:pPr>
      <w:spacing w:after="0" w:line="240" w:lineRule="auto"/>
    </w:pPr>
  </w:style>
  <w:style w:type="paragraph" w:styleId="PlainText">
    <w:name w:val="Plain Text"/>
    <w:basedOn w:val="Normal"/>
    <w:link w:val="PlainTextChar"/>
    <w:uiPriority w:val="99"/>
    <w:semiHidden/>
    <w:unhideWhenUsed/>
    <w:rsid w:val="005864B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character" w:styleId="Hyperlink">
    <w:name w:val="Hyperlink"/>
    <w:uiPriority w:val="99"/>
    <w:semiHidden/>
    <w:unhideWhenUsed/>
    <w:rsid w:val="009724AE"/>
    <w:rPr>
      <w:color w:val="0000FF"/>
      <w:u w:val="single"/>
    </w:rPr>
  </w:style>
  <w:style w:type="paragraph" w:styleId="FootnoteText">
    <w:name w:val="footnote text"/>
    <w:basedOn w:val="Normal"/>
    <w:link w:val="FootnoteTextChar"/>
    <w:uiPriority w:val="99"/>
    <w:semiHidden/>
    <w:unhideWhenUsed/>
    <w:rsid w:val="009724A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724AE"/>
    <w:rPr>
      <w:rFonts w:eastAsia="Times New Roman" w:cs="Times New Roman"/>
      <w:sz w:val="20"/>
      <w:szCs w:val="20"/>
    </w:rPr>
  </w:style>
  <w:style w:type="character" w:styleId="FootnoteReference">
    <w:name w:val="footnote reference"/>
    <w:uiPriority w:val="99"/>
    <w:semiHidden/>
    <w:unhideWhenUsed/>
    <w:rsid w:val="009724AE"/>
    <w:rPr>
      <w:vertAlign w:val="superscript"/>
    </w:rPr>
  </w:style>
  <w:style w:type="character" w:customStyle="1" w:styleId="normaltextrun1">
    <w:name w:val="normaltextrun1"/>
    <w:basedOn w:val="DefaultParagraphFont"/>
    <w:rsid w:val="004A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3202">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510263698">
      <w:bodyDiv w:val="1"/>
      <w:marLeft w:val="0"/>
      <w:marRight w:val="0"/>
      <w:marTop w:val="0"/>
      <w:marBottom w:val="0"/>
      <w:divBdr>
        <w:top w:val="none" w:sz="0" w:space="0" w:color="auto"/>
        <w:left w:val="none" w:sz="0" w:space="0" w:color="auto"/>
        <w:bottom w:val="none" w:sz="0" w:space="0" w:color="auto"/>
        <w:right w:val="none" w:sz="0" w:space="0" w:color="auto"/>
      </w:divBdr>
    </w:div>
    <w:div w:id="743526555">
      <w:bodyDiv w:val="1"/>
      <w:marLeft w:val="0"/>
      <w:marRight w:val="0"/>
      <w:marTop w:val="0"/>
      <w:marBottom w:val="0"/>
      <w:divBdr>
        <w:top w:val="none" w:sz="0" w:space="0" w:color="auto"/>
        <w:left w:val="none" w:sz="0" w:space="0" w:color="auto"/>
        <w:bottom w:val="none" w:sz="0" w:space="0" w:color="auto"/>
        <w:right w:val="none" w:sz="0" w:space="0" w:color="auto"/>
      </w:divBdr>
    </w:div>
    <w:div w:id="83199493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055082151">
      <w:bodyDiv w:val="1"/>
      <w:marLeft w:val="0"/>
      <w:marRight w:val="0"/>
      <w:marTop w:val="0"/>
      <w:marBottom w:val="0"/>
      <w:divBdr>
        <w:top w:val="none" w:sz="0" w:space="0" w:color="auto"/>
        <w:left w:val="none" w:sz="0" w:space="0" w:color="auto"/>
        <w:bottom w:val="none" w:sz="0" w:space="0" w:color="auto"/>
        <w:right w:val="none" w:sz="0" w:space="0" w:color="auto"/>
      </w:divBdr>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1408697336">
      <w:bodyDiv w:val="1"/>
      <w:marLeft w:val="0"/>
      <w:marRight w:val="0"/>
      <w:marTop w:val="0"/>
      <w:marBottom w:val="0"/>
      <w:divBdr>
        <w:top w:val="none" w:sz="0" w:space="0" w:color="auto"/>
        <w:left w:val="none" w:sz="0" w:space="0" w:color="auto"/>
        <w:bottom w:val="none" w:sz="0" w:space="0" w:color="auto"/>
        <w:right w:val="none" w:sz="0" w:space="0" w:color="auto"/>
      </w:divBdr>
    </w:div>
    <w:div w:id="1427506787">
      <w:bodyDiv w:val="1"/>
      <w:marLeft w:val="0"/>
      <w:marRight w:val="0"/>
      <w:marTop w:val="0"/>
      <w:marBottom w:val="0"/>
      <w:divBdr>
        <w:top w:val="none" w:sz="0" w:space="0" w:color="auto"/>
        <w:left w:val="none" w:sz="0" w:space="0" w:color="auto"/>
        <w:bottom w:val="none" w:sz="0" w:space="0" w:color="auto"/>
        <w:right w:val="none" w:sz="0" w:space="0" w:color="auto"/>
      </w:divBdr>
    </w:div>
    <w:div w:id="1584945679">
      <w:bodyDiv w:val="1"/>
      <w:marLeft w:val="0"/>
      <w:marRight w:val="0"/>
      <w:marTop w:val="0"/>
      <w:marBottom w:val="0"/>
      <w:divBdr>
        <w:top w:val="none" w:sz="0" w:space="0" w:color="auto"/>
        <w:left w:val="none" w:sz="0" w:space="0" w:color="auto"/>
        <w:bottom w:val="none" w:sz="0" w:space="0" w:color="auto"/>
        <w:right w:val="none" w:sz="0" w:space="0" w:color="auto"/>
      </w:divBdr>
      <w:divsChild>
        <w:div w:id="658580610">
          <w:marLeft w:val="0"/>
          <w:marRight w:val="0"/>
          <w:marTop w:val="0"/>
          <w:marBottom w:val="0"/>
          <w:divBdr>
            <w:top w:val="none" w:sz="0" w:space="0" w:color="auto"/>
            <w:left w:val="none" w:sz="0" w:space="0" w:color="auto"/>
            <w:bottom w:val="none" w:sz="0" w:space="0" w:color="auto"/>
            <w:right w:val="none" w:sz="0" w:space="0" w:color="auto"/>
          </w:divBdr>
        </w:div>
        <w:div w:id="663122054">
          <w:marLeft w:val="0"/>
          <w:marRight w:val="0"/>
          <w:marTop w:val="0"/>
          <w:marBottom w:val="0"/>
          <w:divBdr>
            <w:top w:val="none" w:sz="0" w:space="0" w:color="auto"/>
            <w:left w:val="none" w:sz="0" w:space="0" w:color="auto"/>
            <w:bottom w:val="none" w:sz="0" w:space="0" w:color="auto"/>
            <w:right w:val="none" w:sz="0" w:space="0" w:color="auto"/>
          </w:divBdr>
        </w:div>
        <w:div w:id="1660184532">
          <w:marLeft w:val="0"/>
          <w:marRight w:val="0"/>
          <w:marTop w:val="0"/>
          <w:marBottom w:val="0"/>
          <w:divBdr>
            <w:top w:val="none" w:sz="0" w:space="0" w:color="auto"/>
            <w:left w:val="none" w:sz="0" w:space="0" w:color="auto"/>
            <w:bottom w:val="none" w:sz="0" w:space="0" w:color="auto"/>
            <w:right w:val="none" w:sz="0" w:space="0" w:color="auto"/>
          </w:divBdr>
        </w:div>
      </w:divsChild>
    </w:div>
    <w:div w:id="1873572324">
      <w:bodyDiv w:val="1"/>
      <w:marLeft w:val="0"/>
      <w:marRight w:val="0"/>
      <w:marTop w:val="0"/>
      <w:marBottom w:val="0"/>
      <w:divBdr>
        <w:top w:val="none" w:sz="0" w:space="0" w:color="auto"/>
        <w:left w:val="none" w:sz="0" w:space="0" w:color="auto"/>
        <w:bottom w:val="none" w:sz="0" w:space="0" w:color="auto"/>
        <w:right w:val="none" w:sz="0" w:space="0" w:color="auto"/>
      </w:divBdr>
    </w:div>
    <w:div w:id="1962034288">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BB67-48F2-4B82-AABC-D86AF090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7246</Words>
  <Characters>4131</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2020-02-06T12:24:00Z</dcterms:created>
  <dc:creator>Jūratė Peciukonytė</dc:creator>
  <cp:lastModifiedBy>Martynass</cp:lastModifiedBy>
  <cp:lastPrinted>2018-03-29T06:10:00Z</cp:lastPrinted>
  <dcterms:modified xsi:type="dcterms:W3CDTF">2020-04-07T09:15:00Z</dcterms:modified>
  <cp:revision>93</cp:revision>
</cp:coreProperties>
</file>