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8B59D" w14:textId="77777777" w:rsidR="009D08A2" w:rsidRPr="00A53FFB" w:rsidRDefault="009D08A2" w:rsidP="009D08A2">
      <w:pPr>
        <w:jc w:val="center"/>
        <w:rPr>
          <w:b/>
          <w:color w:val="000000"/>
          <w:szCs w:val="24"/>
        </w:rPr>
      </w:pPr>
      <w:r w:rsidRPr="00A53FFB">
        <w:rPr>
          <w:b/>
          <w:color w:val="000000"/>
          <w:szCs w:val="24"/>
        </w:rPr>
        <w:t>NUMATOMO TEISINIO REGULIAVIMO POVEIKIO VERTINIMO PAŽYM</w:t>
      </w:r>
      <w:r w:rsidR="00F83FB6" w:rsidRPr="00A53FFB">
        <w:rPr>
          <w:b/>
          <w:color w:val="000000"/>
          <w:szCs w:val="24"/>
        </w:rPr>
        <w:t>A</w:t>
      </w:r>
    </w:p>
    <w:p w14:paraId="1C0BF1D9" w14:textId="77777777" w:rsidR="009D08A2" w:rsidRPr="00A53FFB" w:rsidRDefault="009D08A2" w:rsidP="009D08A2">
      <w:pPr>
        <w:rPr>
          <w:b/>
          <w:color w:val="0000FF"/>
          <w:szCs w:val="24"/>
        </w:rPr>
      </w:pPr>
    </w:p>
    <w:tbl>
      <w:tblPr>
        <w:tblW w:w="0" w:type="auto"/>
        <w:tblLook w:val="00A0" w:firstRow="1" w:lastRow="0" w:firstColumn="1" w:lastColumn="0" w:noHBand="0" w:noVBand="0"/>
      </w:tblPr>
      <w:tblGrid>
        <w:gridCol w:w="2235"/>
        <w:gridCol w:w="7337"/>
      </w:tblGrid>
      <w:tr w:rsidR="009D08A2" w:rsidRPr="00A53FFB" w14:paraId="066C1301" w14:textId="77777777" w:rsidTr="0014211B">
        <w:tc>
          <w:tcPr>
            <w:tcW w:w="2235" w:type="dxa"/>
            <w:shd w:val="clear" w:color="auto" w:fill="DBE5F1"/>
            <w:hideMark/>
          </w:tcPr>
          <w:p w14:paraId="1149D2F3" w14:textId="77777777" w:rsidR="009D08A2" w:rsidRPr="00A53FFB" w:rsidRDefault="009D08A2" w:rsidP="0014211B">
            <w:pPr>
              <w:rPr>
                <w:szCs w:val="24"/>
                <w:shd w:val="clear" w:color="auto" w:fill="DBE5F1"/>
              </w:rPr>
            </w:pPr>
            <w:r w:rsidRPr="00A53FFB">
              <w:rPr>
                <w:b/>
                <w:szCs w:val="24"/>
                <w:shd w:val="clear" w:color="auto" w:fill="DBE5F1"/>
              </w:rPr>
              <w:t>Projekto pavadinimas</w:t>
            </w:r>
          </w:p>
        </w:tc>
        <w:tc>
          <w:tcPr>
            <w:tcW w:w="7337" w:type="dxa"/>
            <w:shd w:val="clear" w:color="auto" w:fill="DBE5F1"/>
          </w:tcPr>
          <w:p w14:paraId="582E61D5" w14:textId="5250CCC2" w:rsidR="009D08A2" w:rsidRPr="00A53FFB" w:rsidRDefault="00AD367A" w:rsidP="00EF6AB4">
            <w:pPr>
              <w:jc w:val="both"/>
              <w:rPr>
                <w:szCs w:val="24"/>
              </w:rPr>
            </w:pPr>
            <w:r w:rsidRPr="00A53FFB">
              <w:t>Lietuvos Respublikos atsinaujinančių išteklių energetikos įstatymo Nr. XI-1375 1, 2, 3, 4, 5, 6, 11, 13, 14, 16, 17, 18, 20, 20</w:t>
            </w:r>
            <w:r w:rsidRPr="00A53FFB">
              <w:rPr>
                <w:vertAlign w:val="superscript"/>
              </w:rPr>
              <w:t>1</w:t>
            </w:r>
            <w:r w:rsidRPr="00A53FFB">
              <w:t>, 21, 22, 25, 28, 29, 35, 37, 38, 39, 46, 48, 49, 55, 58, 59, 60, 61, 62, 63, 63</w:t>
            </w:r>
            <w:r w:rsidRPr="00A53FFB">
              <w:rPr>
                <w:vertAlign w:val="superscript"/>
              </w:rPr>
              <w:t>1</w:t>
            </w:r>
            <w:r w:rsidRPr="00A53FFB">
              <w:t>, 64 straipsnių, Įstatymo priedo pakeitimo, Įstatymo 11</w:t>
            </w:r>
            <w:r w:rsidRPr="00A53FFB">
              <w:rPr>
                <w:vertAlign w:val="superscript"/>
              </w:rPr>
              <w:t>1</w:t>
            </w:r>
            <w:r w:rsidRPr="00A53FFB">
              <w:t xml:space="preserve"> straipsnio pripažinimo netekusiu galios ir Įstatymo</w:t>
            </w:r>
            <w:r w:rsidR="00F43955" w:rsidRPr="00A53FFB">
              <w:t xml:space="preserve"> </w:t>
            </w:r>
            <w:r w:rsidRPr="00A53FFB">
              <w:t>papildymo 20</w:t>
            </w:r>
            <w:r w:rsidRPr="00A53FFB">
              <w:rPr>
                <w:vertAlign w:val="superscript"/>
              </w:rPr>
              <w:t>2</w:t>
            </w:r>
            <w:r w:rsidRPr="00A53FFB">
              <w:t xml:space="preserve"> straipsniu įstatymo projekt</w:t>
            </w:r>
            <w:r w:rsidR="00F43955" w:rsidRPr="00A53FFB">
              <w:t>as (toliau – AIEĮ projektas)</w:t>
            </w:r>
          </w:p>
        </w:tc>
      </w:tr>
    </w:tbl>
    <w:p w14:paraId="7B21D30B" w14:textId="77777777" w:rsidR="009D08A2" w:rsidRPr="00A53FFB" w:rsidRDefault="009D08A2" w:rsidP="009D08A2">
      <w:pPr>
        <w:rPr>
          <w:szCs w:val="24"/>
        </w:rPr>
      </w:pPr>
    </w:p>
    <w:tbl>
      <w:tblPr>
        <w:tblW w:w="0" w:type="auto"/>
        <w:tblLook w:val="00A0" w:firstRow="1" w:lastRow="0" w:firstColumn="1" w:lastColumn="0" w:noHBand="0" w:noVBand="0"/>
      </w:tblPr>
      <w:tblGrid>
        <w:gridCol w:w="2235"/>
        <w:gridCol w:w="7337"/>
      </w:tblGrid>
      <w:tr w:rsidR="009D08A2" w:rsidRPr="00A53FFB" w14:paraId="4325F8F1" w14:textId="77777777" w:rsidTr="0014211B">
        <w:tc>
          <w:tcPr>
            <w:tcW w:w="2235" w:type="dxa"/>
            <w:shd w:val="clear" w:color="auto" w:fill="DBE5F1"/>
            <w:hideMark/>
          </w:tcPr>
          <w:p w14:paraId="5BAA4A5A" w14:textId="77777777" w:rsidR="009D08A2" w:rsidRPr="00A53FFB" w:rsidRDefault="009D08A2" w:rsidP="0014211B">
            <w:pPr>
              <w:rPr>
                <w:szCs w:val="24"/>
              </w:rPr>
            </w:pPr>
            <w:r w:rsidRPr="00A53FFB">
              <w:rPr>
                <w:b/>
                <w:szCs w:val="24"/>
                <w:shd w:val="clear" w:color="auto" w:fill="DBE5F1"/>
              </w:rPr>
              <w:t>Projekto rengėjas</w:t>
            </w:r>
          </w:p>
        </w:tc>
        <w:tc>
          <w:tcPr>
            <w:tcW w:w="7337" w:type="dxa"/>
            <w:shd w:val="clear" w:color="auto" w:fill="DBE5F1"/>
            <w:hideMark/>
          </w:tcPr>
          <w:p w14:paraId="2EF33431" w14:textId="77777777" w:rsidR="009D08A2" w:rsidRPr="00A53FFB" w:rsidRDefault="009D08A2" w:rsidP="0014211B">
            <w:pPr>
              <w:jc w:val="both"/>
              <w:rPr>
                <w:b/>
                <w:szCs w:val="24"/>
              </w:rPr>
            </w:pPr>
            <w:r w:rsidRPr="00A53FFB">
              <w:rPr>
                <w:szCs w:val="24"/>
              </w:rPr>
              <w:t>Lietuvos Respublikos energetikos ministerija</w:t>
            </w:r>
          </w:p>
        </w:tc>
      </w:tr>
    </w:tbl>
    <w:p w14:paraId="22CC17C9" w14:textId="77777777" w:rsidR="009D08A2" w:rsidRPr="00A53FFB" w:rsidRDefault="009D08A2" w:rsidP="009D08A2">
      <w:pPr>
        <w:rPr>
          <w:szCs w:val="24"/>
        </w:rPr>
      </w:pPr>
    </w:p>
    <w:tbl>
      <w:tblPr>
        <w:tblW w:w="0" w:type="auto"/>
        <w:tblLook w:val="00A0" w:firstRow="1" w:lastRow="0" w:firstColumn="1" w:lastColumn="0" w:noHBand="0" w:noVBand="0"/>
      </w:tblPr>
      <w:tblGrid>
        <w:gridCol w:w="2235"/>
        <w:gridCol w:w="7337"/>
      </w:tblGrid>
      <w:tr w:rsidR="009D08A2" w:rsidRPr="00A53FFB" w14:paraId="40FEBF43" w14:textId="77777777" w:rsidTr="0014211B">
        <w:tc>
          <w:tcPr>
            <w:tcW w:w="2235" w:type="dxa"/>
            <w:shd w:val="clear" w:color="auto" w:fill="DBE5F1"/>
            <w:hideMark/>
          </w:tcPr>
          <w:p w14:paraId="0AB93285" w14:textId="77777777" w:rsidR="009D08A2" w:rsidRPr="00A53FFB" w:rsidRDefault="009D08A2" w:rsidP="0014211B">
            <w:pPr>
              <w:rPr>
                <w:b/>
                <w:szCs w:val="24"/>
              </w:rPr>
            </w:pPr>
            <w:r w:rsidRPr="00A53FFB">
              <w:rPr>
                <w:b/>
                <w:szCs w:val="24"/>
              </w:rPr>
              <w:t>Projekto tikslas</w:t>
            </w:r>
          </w:p>
        </w:tc>
        <w:tc>
          <w:tcPr>
            <w:tcW w:w="7337" w:type="dxa"/>
            <w:shd w:val="clear" w:color="auto" w:fill="DBE5F1"/>
            <w:hideMark/>
          </w:tcPr>
          <w:p w14:paraId="79DA0A73" w14:textId="525CBF01" w:rsidR="006346FC" w:rsidRPr="00A53FFB" w:rsidRDefault="006346FC" w:rsidP="000E0EF3">
            <w:pPr>
              <w:jc w:val="both"/>
              <w:rPr>
                <w:szCs w:val="24"/>
              </w:rPr>
            </w:pPr>
            <w:r w:rsidRPr="00A53FFB">
              <w:rPr>
                <w:szCs w:val="24"/>
              </w:rPr>
              <w:t>AIE</w:t>
            </w:r>
            <w:r w:rsidR="00936C15" w:rsidRPr="00A53FFB">
              <w:rPr>
                <w:szCs w:val="24"/>
              </w:rPr>
              <w:t>Į</w:t>
            </w:r>
            <w:r w:rsidRPr="00A53FFB">
              <w:rPr>
                <w:szCs w:val="24"/>
              </w:rPr>
              <w:t xml:space="preserve"> </w:t>
            </w:r>
            <w:r w:rsidR="00936C15" w:rsidRPr="00A53FFB">
              <w:rPr>
                <w:szCs w:val="24"/>
              </w:rPr>
              <w:t>projekt</w:t>
            </w:r>
            <w:r w:rsidRPr="00A53FFB">
              <w:rPr>
                <w:szCs w:val="24"/>
              </w:rPr>
              <w:t>u siekiama:</w:t>
            </w:r>
          </w:p>
          <w:p w14:paraId="7265B6CE" w14:textId="77777777" w:rsidR="00326E67" w:rsidRDefault="00312A45" w:rsidP="00326E67">
            <w:pPr>
              <w:pStyle w:val="Sraopastraipa"/>
              <w:numPr>
                <w:ilvl w:val="0"/>
                <w:numId w:val="8"/>
              </w:numPr>
              <w:tabs>
                <w:tab w:val="left" w:pos="488"/>
              </w:tabs>
              <w:ind w:left="0" w:firstLine="360"/>
              <w:jc w:val="both"/>
            </w:pPr>
            <w:r>
              <w:rPr>
                <w:color w:val="000000"/>
              </w:rPr>
              <w:t>a</w:t>
            </w:r>
            <w:r w:rsidR="006346FC" w:rsidRPr="00A53FFB">
              <w:rPr>
                <w:color w:val="000000"/>
              </w:rPr>
              <w:t xml:space="preserve">iškiai reglamentuoti atsakomybės sąlygas ir tvarką už perdavimo tinklų plėtrą, kuri bus reikalinga elektrinėms, numatomoms </w:t>
            </w:r>
            <w:r w:rsidR="006346FC" w:rsidRPr="00A53FFB">
              <w:t>įrengti Lietuvos Respublikos teritorinės jūros ir (ar) Lietuvos Respublikos išskirtinės ekonominės zonos Baltijos jūroje dalyse</w:t>
            </w:r>
            <w:r w:rsidR="00AC616B">
              <w:t xml:space="preserve"> (toliau – jūrinė teritorija)</w:t>
            </w:r>
            <w:r w:rsidR="00326E67">
              <w:t>;</w:t>
            </w:r>
          </w:p>
          <w:p w14:paraId="44279FA0" w14:textId="77777777" w:rsidR="00AD183F" w:rsidRDefault="00326E67" w:rsidP="00642440">
            <w:pPr>
              <w:pStyle w:val="Sraopastraipa"/>
              <w:numPr>
                <w:ilvl w:val="0"/>
                <w:numId w:val="8"/>
              </w:numPr>
              <w:tabs>
                <w:tab w:val="left" w:pos="488"/>
              </w:tabs>
              <w:ind w:left="0" w:firstLine="360"/>
              <w:jc w:val="both"/>
            </w:pPr>
            <w:r>
              <w:t>p</w:t>
            </w:r>
            <w:r w:rsidRPr="00326E67">
              <w:t>alengvinti nutolusių energijos iš atsinaujinančių išteklių gamybos įrenginių (saulės šviesos energijos modulių) įsigijimo procedūras gaminantiems vartotojams</w:t>
            </w:r>
            <w:r w:rsidR="00AD183F">
              <w:t>;</w:t>
            </w:r>
          </w:p>
          <w:p w14:paraId="04BBEFDF" w14:textId="715B9DC9" w:rsidR="006346FC" w:rsidRPr="00A53FFB" w:rsidRDefault="0047750F" w:rsidP="00642440">
            <w:pPr>
              <w:pStyle w:val="Sraopastraipa"/>
              <w:numPr>
                <w:ilvl w:val="0"/>
                <w:numId w:val="8"/>
              </w:numPr>
              <w:tabs>
                <w:tab w:val="left" w:pos="488"/>
              </w:tabs>
              <w:ind w:left="0" w:firstLine="360"/>
              <w:jc w:val="both"/>
            </w:pPr>
            <w:r>
              <w:t>reglamentuoti veiklos sąlygas atsinaujinančių išteklių energetikos bendrijoms</w:t>
            </w:r>
            <w:r w:rsidR="006346FC" w:rsidRPr="00A53FFB">
              <w:t>.</w:t>
            </w:r>
          </w:p>
          <w:p w14:paraId="7DD3CA24" w14:textId="3A02306A" w:rsidR="009D08A2" w:rsidRPr="00A53FFB" w:rsidRDefault="009D08A2" w:rsidP="000E0EF3">
            <w:pPr>
              <w:jc w:val="both"/>
              <w:rPr>
                <w:szCs w:val="24"/>
              </w:rPr>
            </w:pPr>
          </w:p>
        </w:tc>
      </w:tr>
    </w:tbl>
    <w:p w14:paraId="07FC54AB" w14:textId="77777777" w:rsidR="009D08A2" w:rsidRPr="00A53FFB" w:rsidRDefault="009D08A2" w:rsidP="009D08A2">
      <w:pPr>
        <w:rPr>
          <w:szCs w:val="24"/>
        </w:rPr>
      </w:pPr>
    </w:p>
    <w:tbl>
      <w:tblPr>
        <w:tblW w:w="0" w:type="auto"/>
        <w:tblLook w:val="00A0" w:firstRow="1" w:lastRow="0" w:firstColumn="1" w:lastColumn="0" w:noHBand="0" w:noVBand="0"/>
      </w:tblPr>
      <w:tblGrid>
        <w:gridCol w:w="2164"/>
        <w:gridCol w:w="7334"/>
      </w:tblGrid>
      <w:tr w:rsidR="009D08A2" w:rsidRPr="00A53FFB" w14:paraId="1BC83B8C" w14:textId="77777777" w:rsidTr="00D40680">
        <w:trPr>
          <w:trHeight w:val="415"/>
        </w:trPr>
        <w:tc>
          <w:tcPr>
            <w:tcW w:w="2164" w:type="dxa"/>
            <w:shd w:val="clear" w:color="auto" w:fill="DBE5F1"/>
          </w:tcPr>
          <w:p w14:paraId="7648EA1A" w14:textId="77777777" w:rsidR="009D08A2" w:rsidRPr="00A53FFB" w:rsidRDefault="009D08A2" w:rsidP="0014211B">
            <w:pPr>
              <w:rPr>
                <w:szCs w:val="24"/>
              </w:rPr>
            </w:pPr>
          </w:p>
        </w:tc>
        <w:tc>
          <w:tcPr>
            <w:tcW w:w="7334" w:type="dxa"/>
            <w:shd w:val="clear" w:color="auto" w:fill="DBE5F1"/>
            <w:hideMark/>
          </w:tcPr>
          <w:p w14:paraId="6649DA4F" w14:textId="77777777" w:rsidR="009D08A2" w:rsidRPr="00A53FFB" w:rsidRDefault="009D08A2" w:rsidP="0014211B">
            <w:pPr>
              <w:jc w:val="center"/>
              <w:rPr>
                <w:b/>
                <w:szCs w:val="24"/>
              </w:rPr>
            </w:pPr>
            <w:r w:rsidRPr="00A53FFB">
              <w:rPr>
                <w:b/>
                <w:szCs w:val="24"/>
              </w:rPr>
              <w:t xml:space="preserve">Siūlomo projekto poveikio įvertinimas </w:t>
            </w:r>
          </w:p>
          <w:p w14:paraId="3A48F412" w14:textId="77777777" w:rsidR="009D08A2" w:rsidRPr="00A53FFB" w:rsidRDefault="009D08A2" w:rsidP="0014211B">
            <w:pPr>
              <w:jc w:val="center"/>
              <w:rPr>
                <w:b/>
                <w:szCs w:val="24"/>
              </w:rPr>
            </w:pPr>
            <w:r w:rsidRPr="00A53FFB">
              <w:rPr>
                <w:b/>
                <w:szCs w:val="24"/>
              </w:rPr>
              <w:t>(</w:t>
            </w:r>
            <w:r w:rsidRPr="00A53FFB">
              <w:rPr>
                <w:b/>
                <w:bCs/>
                <w:szCs w:val="24"/>
              </w:rPr>
              <w:t>teigiamos ir (ar) neigiamos pasekmės)</w:t>
            </w:r>
            <w:r w:rsidR="00770998" w:rsidRPr="00A53FFB" w:rsidDel="00770998">
              <w:rPr>
                <w:b/>
                <w:bCs/>
                <w:szCs w:val="24"/>
              </w:rPr>
              <w:t xml:space="preserve"> </w:t>
            </w:r>
          </w:p>
        </w:tc>
      </w:tr>
    </w:tbl>
    <w:p w14:paraId="6BA117A3" w14:textId="77777777" w:rsidR="009D08A2" w:rsidRPr="00A53FFB" w:rsidRDefault="009D08A2" w:rsidP="009D08A2">
      <w:pPr>
        <w:rPr>
          <w:szCs w:val="24"/>
        </w:rPr>
      </w:pPr>
    </w:p>
    <w:tbl>
      <w:tblPr>
        <w:tblW w:w="0" w:type="auto"/>
        <w:tblLook w:val="00A0" w:firstRow="1" w:lastRow="0" w:firstColumn="1" w:lastColumn="0" w:noHBand="0" w:noVBand="0"/>
      </w:tblPr>
      <w:tblGrid>
        <w:gridCol w:w="1843"/>
        <w:gridCol w:w="7796"/>
      </w:tblGrid>
      <w:tr w:rsidR="009D08A2" w:rsidRPr="00A53FFB" w14:paraId="40AA977D" w14:textId="77777777" w:rsidTr="0079043E">
        <w:tc>
          <w:tcPr>
            <w:tcW w:w="1843" w:type="dxa"/>
            <w:shd w:val="clear" w:color="auto" w:fill="DBE5F1"/>
          </w:tcPr>
          <w:p w14:paraId="1E14C7BF" w14:textId="77777777" w:rsidR="009D08A2" w:rsidRPr="00A53FFB" w:rsidRDefault="009D08A2" w:rsidP="0014211B">
            <w:pPr>
              <w:rPr>
                <w:b/>
                <w:szCs w:val="24"/>
              </w:rPr>
            </w:pPr>
            <w:r w:rsidRPr="00A53FFB">
              <w:rPr>
                <w:b/>
                <w:szCs w:val="24"/>
              </w:rPr>
              <w:t xml:space="preserve">Poveikis atitinkamai </w:t>
            </w:r>
          </w:p>
          <w:p w14:paraId="1E3FA3DC" w14:textId="77777777" w:rsidR="009D08A2" w:rsidRPr="00A53FFB" w:rsidRDefault="009D08A2" w:rsidP="0014211B">
            <w:pPr>
              <w:rPr>
                <w:b/>
                <w:szCs w:val="24"/>
              </w:rPr>
            </w:pPr>
            <w:r w:rsidRPr="00A53FFB">
              <w:rPr>
                <w:b/>
                <w:szCs w:val="24"/>
              </w:rPr>
              <w:t>sričiai</w:t>
            </w:r>
          </w:p>
        </w:tc>
        <w:tc>
          <w:tcPr>
            <w:tcW w:w="7796" w:type="dxa"/>
          </w:tcPr>
          <w:p w14:paraId="0A7DEE9D" w14:textId="4FAD72DF" w:rsidR="009D08A2" w:rsidRPr="00A53FFB" w:rsidRDefault="009D08A2" w:rsidP="004A1CD8">
            <w:pPr>
              <w:ind w:firstLine="596"/>
              <w:jc w:val="both"/>
              <w:rPr>
                <w:szCs w:val="24"/>
              </w:rPr>
            </w:pPr>
            <w:r w:rsidRPr="00A53FFB">
              <w:rPr>
                <w:szCs w:val="24"/>
              </w:rPr>
              <w:t>Sritis: elektros energetikos sektorius.</w:t>
            </w:r>
          </w:p>
          <w:p w14:paraId="5620C08A" w14:textId="50C769CE" w:rsidR="008C707D" w:rsidRPr="002D60AC" w:rsidRDefault="00405656" w:rsidP="004A1CD8">
            <w:pPr>
              <w:ind w:firstLine="596"/>
              <w:jc w:val="both"/>
              <w:rPr>
                <w:szCs w:val="24"/>
              </w:rPr>
            </w:pPr>
            <w:r w:rsidRPr="00A53FFB">
              <w:rPr>
                <w:szCs w:val="24"/>
              </w:rPr>
              <w:t>Šiuo metu Lietuvos Respublikos atsinaujinančių išteklių energetikos įstatyme</w:t>
            </w:r>
            <w:r w:rsidR="00806DFF">
              <w:rPr>
                <w:szCs w:val="24"/>
              </w:rPr>
              <w:t xml:space="preserve"> (toliau – AIE įstatymas)</w:t>
            </w:r>
            <w:r w:rsidR="0019253F" w:rsidRPr="00A53FFB">
              <w:rPr>
                <w:szCs w:val="24"/>
              </w:rPr>
              <w:t xml:space="preserve"> (</w:t>
            </w:r>
            <w:r w:rsidR="00D02FBB" w:rsidRPr="00A53FFB">
              <w:rPr>
                <w:szCs w:val="24"/>
              </w:rPr>
              <w:t xml:space="preserve">14 ir </w:t>
            </w:r>
            <w:r w:rsidR="008A2601" w:rsidRPr="00A53FFB">
              <w:rPr>
                <w:szCs w:val="24"/>
              </w:rPr>
              <w:t xml:space="preserve">21 str.) </w:t>
            </w:r>
            <w:r w:rsidRPr="00A53FFB">
              <w:rPr>
                <w:szCs w:val="24"/>
              </w:rPr>
              <w:t xml:space="preserve">numatyta, kad </w:t>
            </w:r>
            <w:r w:rsidR="008A2601" w:rsidRPr="00A53FFB">
              <w:t>elektrinę pastatęs ar įrengęs asmuo apmoka faktines elektrinių prijungimo prie elektros tinklų išlaidas,</w:t>
            </w:r>
            <w:r w:rsidR="003217BF" w:rsidRPr="00A53FFB">
              <w:t xml:space="preserve"> tarp jų išlaidas, susijusias su elektrinei prijungti būtina tinklų plėtra,</w:t>
            </w:r>
            <w:r w:rsidR="008A2601" w:rsidRPr="00A53FFB">
              <w:t xml:space="preserve"> nediferencijuoja</w:t>
            </w:r>
            <w:r w:rsidR="00A53FFB" w:rsidRPr="00A53FFB">
              <w:t>n</w:t>
            </w:r>
            <w:r w:rsidR="008A2601" w:rsidRPr="00A53FFB">
              <w:t xml:space="preserve">t, ar elektrinė įrengta sausumoje ar jūrinėje teritorijoje. </w:t>
            </w:r>
            <w:r w:rsidR="00806DFF">
              <w:t>Atsižvelgiant į tai, kad kol kas elektrinės jūrinėje dalyje nėra plėtojamos, ir vadovaujantis AIE įstatymu</w:t>
            </w:r>
            <w:r w:rsidR="005E3E3E">
              <w:t xml:space="preserve"> (22 str.) tokia plėtra bus galima tik Lietuvos Respublikos Vyriausybei patvirtinus nutarimą dėl elektrinių </w:t>
            </w:r>
            <w:r w:rsidR="00FD537A">
              <w:t>vystymo teritorijų jūrinėje dalyje vietų bei galių, siūlom</w:t>
            </w:r>
            <w:r w:rsidR="007E666D">
              <w:t xml:space="preserve">omis </w:t>
            </w:r>
            <w:r w:rsidR="00E12E1B">
              <w:t xml:space="preserve">AIEĮ projekto </w:t>
            </w:r>
            <w:r w:rsidR="007E666D">
              <w:t>nuostatomis bus reguliuojama iš esmės nauj</w:t>
            </w:r>
            <w:r w:rsidR="00E12E1B">
              <w:t>a</w:t>
            </w:r>
            <w:r w:rsidR="007E666D">
              <w:t xml:space="preserve"> srit</w:t>
            </w:r>
            <w:r w:rsidR="00E12E1B">
              <w:t>is</w:t>
            </w:r>
            <w:r w:rsidR="007E666D">
              <w:t>.</w:t>
            </w:r>
            <w:r w:rsidR="00E12E1B">
              <w:t xml:space="preserve"> AIEĮ projekt</w:t>
            </w:r>
            <w:r w:rsidR="006D7F87">
              <w:t>u siekiama aiškiai nustatyti</w:t>
            </w:r>
            <w:r w:rsidR="00686836">
              <w:t xml:space="preserve">, kad už tinklų plėtrą, rekonstravimą bei </w:t>
            </w:r>
            <w:r w:rsidR="004B5693">
              <w:t>optimizavimą ir susijusius projektavimo darbus bus atsakingas perdavimo sistemos operatorius ir su tuo susijusi</w:t>
            </w:r>
            <w:r w:rsidR="00A5106D">
              <w:t>o</w:t>
            </w:r>
            <w:r w:rsidR="004B5693">
              <w:t xml:space="preserve">s perdavimo sistemos operatoriaus sąnaudos bus </w:t>
            </w:r>
            <w:r w:rsidR="008C707D">
              <w:t xml:space="preserve">įtraukiamos į </w:t>
            </w:r>
            <w:r w:rsidR="008C707D" w:rsidRPr="008C707D">
              <w:rPr>
                <w:color w:val="000000"/>
                <w:szCs w:val="24"/>
                <w:shd w:val="clear" w:color="auto" w:fill="FFFFFF"/>
              </w:rPr>
              <w:t>perdavimo paslaugų kainą. Šių sąnaudų dalį</w:t>
            </w:r>
            <w:r w:rsidR="00A5106D">
              <w:rPr>
                <w:color w:val="000000"/>
                <w:szCs w:val="24"/>
                <w:shd w:val="clear" w:color="auto" w:fill="FFFFFF"/>
              </w:rPr>
              <w:t xml:space="preserve"> </w:t>
            </w:r>
            <w:r w:rsidR="008C707D" w:rsidRPr="008C707D">
              <w:rPr>
                <w:color w:val="000000"/>
                <w:szCs w:val="24"/>
                <w:shd w:val="clear" w:color="auto" w:fill="FFFFFF"/>
              </w:rPr>
              <w:t>perdavimo sistemos operatorius</w:t>
            </w:r>
            <w:r w:rsidR="00A5106D">
              <w:rPr>
                <w:color w:val="000000"/>
                <w:szCs w:val="24"/>
                <w:shd w:val="clear" w:color="auto" w:fill="FFFFFF"/>
              </w:rPr>
              <w:t xml:space="preserve"> turės teisę</w:t>
            </w:r>
            <w:r w:rsidR="008C707D" w:rsidRPr="008C707D">
              <w:rPr>
                <w:color w:val="000000"/>
                <w:szCs w:val="24"/>
                <w:shd w:val="clear" w:color="auto" w:fill="FFFFFF"/>
              </w:rPr>
              <w:t xml:space="preserve"> maži</w:t>
            </w:r>
            <w:r w:rsidR="00F33E9D">
              <w:rPr>
                <w:color w:val="000000"/>
                <w:szCs w:val="24"/>
                <w:shd w:val="clear" w:color="auto" w:fill="FFFFFF"/>
              </w:rPr>
              <w:t>n</w:t>
            </w:r>
            <w:r w:rsidR="00A5106D">
              <w:rPr>
                <w:color w:val="000000"/>
                <w:szCs w:val="24"/>
                <w:shd w:val="clear" w:color="auto" w:fill="FFFFFF"/>
              </w:rPr>
              <w:t>ti</w:t>
            </w:r>
            <w:r w:rsidR="008C707D" w:rsidRPr="008C707D">
              <w:rPr>
                <w:color w:val="000000"/>
                <w:szCs w:val="24"/>
                <w:shd w:val="clear" w:color="auto" w:fill="FFFFFF"/>
              </w:rPr>
              <w:t xml:space="preserve"> lėšomis, gautomis iš kitų šių priemonių finansavimo šaltinių.</w:t>
            </w:r>
            <w:r w:rsidR="00FE3D66">
              <w:rPr>
                <w:color w:val="000000"/>
                <w:szCs w:val="24"/>
                <w:shd w:val="clear" w:color="auto" w:fill="FFFFFF"/>
              </w:rPr>
              <w:t xml:space="preserve"> Šis pakeitimas</w:t>
            </w:r>
            <w:r w:rsidR="00097AFA">
              <w:rPr>
                <w:color w:val="000000"/>
                <w:szCs w:val="24"/>
                <w:shd w:val="clear" w:color="auto" w:fill="FFFFFF"/>
              </w:rPr>
              <w:t xml:space="preserve"> turės teigiamą poveikį energetikai, suteiks aiškumo </w:t>
            </w:r>
            <w:r w:rsidR="00277795">
              <w:rPr>
                <w:color w:val="000000"/>
                <w:szCs w:val="24"/>
                <w:shd w:val="clear" w:color="auto" w:fill="FFFFFF"/>
              </w:rPr>
              <w:t>jūrinėje teritorijoje elektrines numatantiems plėtoti asmenims</w:t>
            </w:r>
            <w:r w:rsidR="00AF0CE7">
              <w:rPr>
                <w:color w:val="000000"/>
                <w:szCs w:val="24"/>
                <w:shd w:val="clear" w:color="auto" w:fill="FFFFFF"/>
              </w:rPr>
              <w:t xml:space="preserve"> dėl to, kad perdavimo sistema bus parengta elektrinių plėtojimui ir </w:t>
            </w:r>
            <w:r w:rsidR="008B7E95">
              <w:rPr>
                <w:color w:val="000000"/>
                <w:szCs w:val="24"/>
                <w:shd w:val="clear" w:color="auto" w:fill="FFFFFF"/>
              </w:rPr>
              <w:t>su tinklų plėtr</w:t>
            </w:r>
            <w:r w:rsidR="004519AC">
              <w:rPr>
                <w:color w:val="000000"/>
                <w:szCs w:val="24"/>
                <w:shd w:val="clear" w:color="auto" w:fill="FFFFFF"/>
              </w:rPr>
              <w:t xml:space="preserve">a </w:t>
            </w:r>
            <w:r w:rsidR="008B7E95">
              <w:rPr>
                <w:color w:val="000000"/>
                <w:szCs w:val="24"/>
                <w:shd w:val="clear" w:color="auto" w:fill="FFFFFF"/>
              </w:rPr>
              <w:t>s</w:t>
            </w:r>
            <w:r w:rsidR="004519AC">
              <w:rPr>
                <w:color w:val="000000"/>
                <w:szCs w:val="24"/>
                <w:shd w:val="clear" w:color="auto" w:fill="FFFFFF"/>
              </w:rPr>
              <w:t>usijusias</w:t>
            </w:r>
            <w:r w:rsidR="008B7E95">
              <w:rPr>
                <w:color w:val="000000"/>
                <w:szCs w:val="24"/>
                <w:shd w:val="clear" w:color="auto" w:fill="FFFFFF"/>
              </w:rPr>
              <w:t xml:space="preserve"> išlaidas </w:t>
            </w:r>
            <w:r w:rsidR="004519AC">
              <w:rPr>
                <w:color w:val="000000"/>
                <w:szCs w:val="24"/>
                <w:shd w:val="clear" w:color="auto" w:fill="FFFFFF"/>
              </w:rPr>
              <w:t xml:space="preserve">plėtotojai </w:t>
            </w:r>
            <w:r w:rsidR="008B7E95">
              <w:rPr>
                <w:color w:val="000000"/>
                <w:szCs w:val="24"/>
                <w:shd w:val="clear" w:color="auto" w:fill="FFFFFF"/>
              </w:rPr>
              <w:t>neturės</w:t>
            </w:r>
            <w:r w:rsidR="004519AC">
              <w:rPr>
                <w:color w:val="000000"/>
                <w:szCs w:val="24"/>
                <w:shd w:val="clear" w:color="auto" w:fill="FFFFFF"/>
              </w:rPr>
              <w:t xml:space="preserve"> apmokėti</w:t>
            </w:r>
            <w:r w:rsidR="00842104">
              <w:rPr>
                <w:color w:val="000000"/>
                <w:szCs w:val="24"/>
                <w:shd w:val="clear" w:color="auto" w:fill="FFFFFF"/>
              </w:rPr>
              <w:t xml:space="preserve"> ir įskaičiuoti į elektrinės projekto vystymo išlaidas. </w:t>
            </w:r>
            <w:r w:rsidR="004D1331">
              <w:rPr>
                <w:color w:val="000000"/>
                <w:szCs w:val="24"/>
                <w:shd w:val="clear" w:color="auto" w:fill="FFFFFF"/>
              </w:rPr>
              <w:t xml:space="preserve">AIEĮ projekte numatyti pakeitimai </w:t>
            </w:r>
            <w:r w:rsidR="00A070A5">
              <w:rPr>
                <w:color w:val="000000"/>
                <w:szCs w:val="24"/>
                <w:shd w:val="clear" w:color="auto" w:fill="FFFFFF"/>
              </w:rPr>
              <w:t xml:space="preserve">turės ilgalaikį </w:t>
            </w:r>
            <w:r w:rsidR="00EC03DB">
              <w:rPr>
                <w:color w:val="000000"/>
                <w:szCs w:val="24"/>
                <w:shd w:val="clear" w:color="auto" w:fill="FFFFFF"/>
              </w:rPr>
              <w:t>tiesioginį poveikį elektros energijos vartotojų kainai, kadangi visas arba dalį su tinklų plėtra susijusi</w:t>
            </w:r>
            <w:r w:rsidR="00CA7E05">
              <w:rPr>
                <w:color w:val="000000"/>
                <w:szCs w:val="24"/>
                <w:shd w:val="clear" w:color="auto" w:fill="FFFFFF"/>
              </w:rPr>
              <w:t>ų</w:t>
            </w:r>
            <w:r w:rsidR="00EC03DB">
              <w:rPr>
                <w:color w:val="000000"/>
                <w:szCs w:val="24"/>
                <w:shd w:val="clear" w:color="auto" w:fill="FFFFFF"/>
              </w:rPr>
              <w:t xml:space="preserve"> išlaid</w:t>
            </w:r>
            <w:r w:rsidR="00CA7E05">
              <w:rPr>
                <w:color w:val="000000"/>
                <w:szCs w:val="24"/>
                <w:shd w:val="clear" w:color="auto" w:fill="FFFFFF"/>
              </w:rPr>
              <w:t>ų</w:t>
            </w:r>
            <w:r w:rsidR="00EC03DB">
              <w:rPr>
                <w:color w:val="000000"/>
                <w:szCs w:val="24"/>
                <w:shd w:val="clear" w:color="auto" w:fill="FFFFFF"/>
              </w:rPr>
              <w:t xml:space="preserve"> apmokės vartotojai per viešuosius interesus ati</w:t>
            </w:r>
            <w:r w:rsidR="00560559">
              <w:rPr>
                <w:color w:val="000000"/>
                <w:szCs w:val="24"/>
                <w:shd w:val="clear" w:color="auto" w:fill="FFFFFF"/>
              </w:rPr>
              <w:t>tinkančių paslaugų kainą</w:t>
            </w:r>
            <w:r w:rsidR="001A6453">
              <w:rPr>
                <w:color w:val="000000"/>
                <w:szCs w:val="24"/>
                <w:shd w:val="clear" w:color="auto" w:fill="FFFFFF"/>
              </w:rPr>
              <w:t xml:space="preserve"> </w:t>
            </w:r>
            <w:r w:rsidR="001A6453">
              <w:rPr>
                <w:color w:val="000000"/>
                <w:szCs w:val="24"/>
                <w:shd w:val="clear" w:color="auto" w:fill="FFFFFF"/>
              </w:rPr>
              <w:lastRenderedPageBreak/>
              <w:t>(toliau – VIAP)</w:t>
            </w:r>
            <w:r w:rsidR="00560559">
              <w:rPr>
                <w:color w:val="000000"/>
                <w:szCs w:val="24"/>
                <w:shd w:val="clear" w:color="auto" w:fill="FFFFFF"/>
              </w:rPr>
              <w:t>.</w:t>
            </w:r>
            <w:r w:rsidR="00CA7E05">
              <w:rPr>
                <w:color w:val="000000"/>
                <w:szCs w:val="24"/>
                <w:shd w:val="clear" w:color="auto" w:fill="FFFFFF"/>
              </w:rPr>
              <w:t xml:space="preserve"> AIEĮ projekte numatytiems pakeitimams įgyvendinti </w:t>
            </w:r>
            <w:r w:rsidR="002C793A">
              <w:rPr>
                <w:color w:val="000000"/>
                <w:szCs w:val="24"/>
                <w:shd w:val="clear" w:color="auto" w:fill="FFFFFF"/>
              </w:rPr>
              <w:t>perdavimo sistemos operatorius turės skirti finansavimą bei</w:t>
            </w:r>
            <w:r w:rsidR="00BC1E3B">
              <w:rPr>
                <w:color w:val="000000"/>
                <w:szCs w:val="24"/>
                <w:shd w:val="clear" w:color="auto" w:fill="FFFFFF"/>
              </w:rPr>
              <w:t xml:space="preserve"> žmogiškuosius išteklius visam tinklų plėtros procesui valdyti ir administruoti.</w:t>
            </w:r>
          </w:p>
          <w:p w14:paraId="05254AA5" w14:textId="53094931" w:rsidR="004975C3" w:rsidRPr="00046AE4" w:rsidRDefault="004975C3" w:rsidP="004A1CD8">
            <w:pPr>
              <w:pStyle w:val="prastasiniatinklio"/>
              <w:spacing w:before="0" w:beforeAutospacing="0" w:after="0" w:afterAutospacing="0"/>
              <w:ind w:left="68" w:firstLine="596"/>
              <w:jc w:val="both"/>
              <w:rPr>
                <w:rFonts w:eastAsia="Calibri"/>
                <w:color w:val="000000"/>
                <w:kern w:val="24"/>
              </w:rPr>
            </w:pPr>
            <w:r>
              <w:rPr>
                <w:rFonts w:eastAsia="Calibri"/>
                <w:color w:val="000000"/>
                <w:kern w:val="24"/>
              </w:rPr>
              <w:t xml:space="preserve">Šiuo metu </w:t>
            </w:r>
            <w:r w:rsidRPr="00046AE4">
              <w:rPr>
                <w:rFonts w:eastAsia="Calibri"/>
                <w:color w:val="000000"/>
                <w:kern w:val="24"/>
              </w:rPr>
              <w:t>Lietuvos Respublikos statybos įstatym</w:t>
            </w:r>
            <w:r w:rsidR="00D76A64">
              <w:rPr>
                <w:rFonts w:eastAsia="Calibri"/>
                <w:color w:val="000000"/>
                <w:kern w:val="24"/>
              </w:rPr>
              <w:t>e</w:t>
            </w:r>
            <w:r w:rsidRPr="00046AE4">
              <w:rPr>
                <w:rFonts w:eastAsia="Calibri"/>
                <w:color w:val="000000"/>
                <w:kern w:val="24"/>
              </w:rPr>
              <w:t xml:space="preserve"> (toliau – Statybos įstatymas) </w:t>
            </w:r>
            <w:r w:rsidR="00B928DD">
              <w:rPr>
                <w:rFonts w:eastAsia="Calibri"/>
                <w:color w:val="000000"/>
                <w:kern w:val="24"/>
              </w:rPr>
              <w:t>(</w:t>
            </w:r>
            <w:r w:rsidRPr="00046AE4">
              <w:rPr>
                <w:rFonts w:eastAsia="Calibri"/>
                <w:color w:val="000000"/>
                <w:kern w:val="24"/>
              </w:rPr>
              <w:t>2 straipsnio 84 punkt</w:t>
            </w:r>
            <w:r w:rsidR="000A0835">
              <w:rPr>
                <w:rFonts w:eastAsia="Calibri"/>
                <w:color w:val="000000"/>
                <w:kern w:val="24"/>
              </w:rPr>
              <w:t>as</w:t>
            </w:r>
            <w:r w:rsidR="00B928DD">
              <w:rPr>
                <w:rFonts w:eastAsia="Calibri"/>
                <w:color w:val="000000"/>
                <w:kern w:val="24"/>
              </w:rPr>
              <w:t>)</w:t>
            </w:r>
            <w:r w:rsidR="000A0835">
              <w:rPr>
                <w:rFonts w:eastAsia="Calibri"/>
                <w:color w:val="000000"/>
                <w:kern w:val="24"/>
              </w:rPr>
              <w:t xml:space="preserve"> ir </w:t>
            </w:r>
            <w:r>
              <w:rPr>
                <w:rFonts w:eastAsia="Calibri"/>
                <w:color w:val="000000"/>
                <w:kern w:val="24"/>
              </w:rPr>
              <w:t>S</w:t>
            </w:r>
            <w:r w:rsidRPr="0087699A">
              <w:rPr>
                <w:rFonts w:eastAsia="Calibri"/>
                <w:color w:val="000000"/>
                <w:kern w:val="24"/>
              </w:rPr>
              <w:t>tatybos technin</w:t>
            </w:r>
            <w:r w:rsidR="000A0835">
              <w:rPr>
                <w:rFonts w:eastAsia="Calibri"/>
                <w:color w:val="000000"/>
                <w:kern w:val="24"/>
              </w:rPr>
              <w:t>i</w:t>
            </w:r>
            <w:r w:rsidR="00D76A64">
              <w:rPr>
                <w:rFonts w:eastAsia="Calibri"/>
                <w:color w:val="000000"/>
                <w:kern w:val="24"/>
              </w:rPr>
              <w:t>ame</w:t>
            </w:r>
            <w:r w:rsidRPr="0087699A">
              <w:rPr>
                <w:rFonts w:eastAsia="Calibri"/>
                <w:color w:val="000000"/>
                <w:kern w:val="24"/>
              </w:rPr>
              <w:t xml:space="preserve"> reglament</w:t>
            </w:r>
            <w:r w:rsidR="00D76A64">
              <w:rPr>
                <w:rFonts w:eastAsia="Calibri"/>
                <w:color w:val="000000"/>
                <w:kern w:val="24"/>
              </w:rPr>
              <w:t>e</w:t>
            </w:r>
            <w:r w:rsidRPr="0087699A">
              <w:rPr>
                <w:rFonts w:eastAsia="Calibri"/>
                <w:color w:val="000000"/>
                <w:kern w:val="24"/>
              </w:rPr>
              <w:t> STR 1.01.03:2017 „Statinių klasifikavimas“</w:t>
            </w:r>
            <w:r>
              <w:rPr>
                <w:rFonts w:eastAsia="Calibri"/>
                <w:color w:val="000000"/>
                <w:kern w:val="24"/>
              </w:rPr>
              <w:t>, patvirtinto</w:t>
            </w:r>
            <w:r w:rsidRPr="0087699A">
              <w:rPr>
                <w:rFonts w:eastAsia="Calibri"/>
                <w:color w:val="000000"/>
                <w:kern w:val="24"/>
              </w:rPr>
              <w:t xml:space="preserve"> </w:t>
            </w:r>
            <w:r w:rsidRPr="00046AE4">
              <w:rPr>
                <w:rFonts w:eastAsia="Calibri"/>
                <w:color w:val="000000"/>
                <w:kern w:val="24"/>
              </w:rPr>
              <w:t>Lietuvos Respublikos aplinkos ministro 2016 m. spalio 27 d. įsakym</w:t>
            </w:r>
            <w:r>
              <w:rPr>
                <w:rFonts w:eastAsia="Calibri"/>
                <w:color w:val="000000"/>
                <w:kern w:val="24"/>
              </w:rPr>
              <w:t xml:space="preserve">u </w:t>
            </w:r>
            <w:r w:rsidRPr="00046AE4">
              <w:rPr>
                <w:rFonts w:eastAsia="Calibri"/>
                <w:color w:val="000000"/>
                <w:kern w:val="24"/>
              </w:rPr>
              <w:t>Nr. D1-713 „Dėl statybos techninio reglamento STR 1.01.03:2017 „Statinių klasifikavimas“ patvirtinimo“ (toliau – STR)</w:t>
            </w:r>
            <w:r>
              <w:rPr>
                <w:rFonts w:eastAsia="Calibri"/>
                <w:color w:val="000000"/>
                <w:kern w:val="24"/>
              </w:rPr>
              <w:t>,</w:t>
            </w:r>
            <w:r w:rsidRPr="00046AE4">
              <w:rPr>
                <w:rFonts w:eastAsia="Calibri"/>
                <w:color w:val="000000"/>
                <w:kern w:val="24"/>
              </w:rPr>
              <w:t xml:space="preserve"> </w:t>
            </w:r>
            <w:r w:rsidR="004D34FC">
              <w:rPr>
                <w:rFonts w:eastAsia="Calibri"/>
                <w:color w:val="000000"/>
                <w:kern w:val="24"/>
              </w:rPr>
              <w:t>(</w:t>
            </w:r>
            <w:r w:rsidRPr="00046AE4">
              <w:rPr>
                <w:rFonts w:eastAsia="Calibri"/>
                <w:color w:val="000000"/>
                <w:kern w:val="24"/>
              </w:rPr>
              <w:t>VI</w:t>
            </w:r>
            <w:r>
              <w:rPr>
                <w:rFonts w:eastAsia="Calibri"/>
                <w:color w:val="000000"/>
                <w:kern w:val="24"/>
              </w:rPr>
              <w:t> </w:t>
            </w:r>
            <w:r w:rsidRPr="00046AE4">
              <w:rPr>
                <w:rFonts w:eastAsia="Calibri"/>
                <w:color w:val="000000"/>
                <w:kern w:val="24"/>
              </w:rPr>
              <w:t>skyriau</w:t>
            </w:r>
            <w:r w:rsidR="004D34FC">
              <w:rPr>
                <w:rFonts w:eastAsia="Calibri"/>
                <w:color w:val="000000"/>
                <w:kern w:val="24"/>
              </w:rPr>
              <w:t>s</w:t>
            </w:r>
            <w:r w:rsidRPr="00046AE4">
              <w:rPr>
                <w:rFonts w:eastAsia="Calibri"/>
                <w:color w:val="000000"/>
                <w:kern w:val="24"/>
              </w:rPr>
              <w:t xml:space="preserve"> antro skirsnio 3 lentelė</w:t>
            </w:r>
            <w:r w:rsidR="00D76A64">
              <w:rPr>
                <w:rFonts w:eastAsia="Calibri"/>
                <w:color w:val="000000"/>
                <w:kern w:val="24"/>
              </w:rPr>
              <w:t>)</w:t>
            </w:r>
            <w:r w:rsidRPr="00046AE4">
              <w:rPr>
                <w:rFonts w:eastAsia="Calibri"/>
                <w:color w:val="000000"/>
                <w:kern w:val="24"/>
              </w:rPr>
              <w:t xml:space="preserve"> </w:t>
            </w:r>
            <w:r w:rsidR="00E6077B">
              <w:rPr>
                <w:rFonts w:eastAsia="Calibri"/>
                <w:color w:val="000000"/>
                <w:kern w:val="24"/>
              </w:rPr>
              <w:t>numatyta</w:t>
            </w:r>
            <w:r w:rsidRPr="00046AE4">
              <w:rPr>
                <w:rFonts w:eastAsia="Calibri"/>
                <w:color w:val="000000"/>
                <w:kern w:val="24"/>
              </w:rPr>
              <w:t xml:space="preserve">, kad saulės šviesos energijos elektrinės, saulės šilumos energijos kolektoriai, kurių galingumas siekia iki arba yra lygus 30 kW, yra priskiriami II grupės nesudėtingųjų statinių (inžinerinių statinių) kategorijai. Tuo atveju, jeigu </w:t>
            </w:r>
            <w:r>
              <w:rPr>
                <w:rFonts w:eastAsia="Calibri"/>
                <w:color w:val="000000"/>
                <w:kern w:val="24"/>
              </w:rPr>
              <w:t>s</w:t>
            </w:r>
            <w:r w:rsidRPr="00046AE4">
              <w:rPr>
                <w:rFonts w:eastAsia="Calibri"/>
                <w:color w:val="000000"/>
                <w:kern w:val="24"/>
              </w:rPr>
              <w:t>aulės elektrinės galingumas siektų iki 5</w:t>
            </w:r>
            <w:r>
              <w:rPr>
                <w:rFonts w:eastAsia="Calibri"/>
                <w:color w:val="000000"/>
                <w:kern w:val="24"/>
              </w:rPr>
              <w:t> </w:t>
            </w:r>
            <w:r w:rsidRPr="00046AE4">
              <w:rPr>
                <w:rFonts w:eastAsia="Calibri"/>
                <w:color w:val="000000"/>
                <w:kern w:val="24"/>
              </w:rPr>
              <w:t xml:space="preserve">MW galios, tokia elektrinė, vadovaujantis STR būtų laikoma neypatinguoju statiniu. Jeigu </w:t>
            </w:r>
            <w:r>
              <w:rPr>
                <w:rFonts w:eastAsia="Calibri"/>
                <w:color w:val="000000"/>
                <w:kern w:val="24"/>
              </w:rPr>
              <w:t>s</w:t>
            </w:r>
            <w:r w:rsidRPr="00046AE4">
              <w:rPr>
                <w:rFonts w:eastAsia="Calibri"/>
                <w:color w:val="000000"/>
                <w:kern w:val="24"/>
              </w:rPr>
              <w:t xml:space="preserve">aulės elektrinės galingumas būtų 5 MW ir (ar) didesnės galios, tokia elektrinė būtų laikoma ypatinguoju statiniu (STR V skyriaus antro skirsnio 1 lentelė). </w:t>
            </w:r>
          </w:p>
          <w:p w14:paraId="13A82D84" w14:textId="77777777" w:rsidR="00F07612" w:rsidRDefault="004975C3" w:rsidP="004A1CD8">
            <w:pPr>
              <w:pStyle w:val="prastasiniatinklio"/>
              <w:tabs>
                <w:tab w:val="left" w:pos="919"/>
                <w:tab w:val="left" w:pos="1202"/>
              </w:tabs>
              <w:spacing w:before="0" w:beforeAutospacing="0" w:after="0" w:afterAutospacing="0"/>
              <w:ind w:left="68" w:firstLine="596"/>
              <w:jc w:val="both"/>
              <w:rPr>
                <w:rFonts w:eastAsia="Calibri"/>
                <w:color w:val="000000"/>
                <w:kern w:val="24"/>
              </w:rPr>
            </w:pPr>
            <w:r w:rsidRPr="00046AE4">
              <w:rPr>
                <w:rFonts w:eastAsia="Calibri"/>
                <w:color w:val="000000"/>
                <w:kern w:val="24"/>
              </w:rPr>
              <w:t>Vadovaujantis nurodytomis STR ir Statybos įstatymo 2 str</w:t>
            </w:r>
            <w:r>
              <w:rPr>
                <w:rFonts w:eastAsia="Calibri"/>
                <w:color w:val="000000"/>
                <w:kern w:val="24"/>
              </w:rPr>
              <w:t>aipsnio</w:t>
            </w:r>
            <w:r w:rsidRPr="00046AE4">
              <w:rPr>
                <w:rFonts w:eastAsia="Calibri"/>
                <w:color w:val="000000"/>
                <w:kern w:val="24"/>
              </w:rPr>
              <w:t xml:space="preserve"> 84 p</w:t>
            </w:r>
            <w:r>
              <w:rPr>
                <w:rFonts w:eastAsia="Calibri"/>
                <w:color w:val="000000"/>
                <w:kern w:val="24"/>
              </w:rPr>
              <w:t>unkto</w:t>
            </w:r>
            <w:r w:rsidRPr="007A5963">
              <w:rPr>
                <w:rFonts w:eastAsia="Calibri"/>
                <w:color w:val="000000"/>
                <w:kern w:val="24"/>
              </w:rPr>
              <w:t xml:space="preserve"> nuostatomis, laikytina, kad bet kokios galios </w:t>
            </w:r>
            <w:r>
              <w:rPr>
                <w:rFonts w:eastAsia="Calibri"/>
                <w:color w:val="000000"/>
                <w:kern w:val="24"/>
              </w:rPr>
              <w:t>s</w:t>
            </w:r>
            <w:r w:rsidRPr="007A5963">
              <w:rPr>
                <w:rFonts w:eastAsia="Calibri"/>
                <w:color w:val="000000"/>
                <w:kern w:val="24"/>
              </w:rPr>
              <w:t xml:space="preserve">aulės elektrinė yra laikoma nekilnojamuoju daiktu. Tai reiškia, kad </w:t>
            </w:r>
            <w:r w:rsidR="00D93D47">
              <w:rPr>
                <w:rFonts w:eastAsia="Calibri"/>
                <w:color w:val="000000"/>
                <w:kern w:val="24"/>
              </w:rPr>
              <w:t xml:space="preserve">elektros energiją gaminančio vartotojo </w:t>
            </w:r>
            <w:r w:rsidRPr="007A5963">
              <w:rPr>
                <w:rFonts w:eastAsia="Calibri"/>
                <w:color w:val="000000"/>
                <w:kern w:val="24"/>
              </w:rPr>
              <w:t xml:space="preserve">saulės elektrinės dalies pirkimo pardavimo sutarčiai būtų taikoma notarinė sandorio forma (pagal Lietuvos Respublikos civilinio kodekso 1.74 straipsnio 1 dalies 1 punktą). </w:t>
            </w:r>
            <w:r w:rsidR="00F876C8" w:rsidRPr="00F876C8">
              <w:rPr>
                <w:rFonts w:eastAsia="Calibri"/>
                <w:color w:val="000000"/>
                <w:kern w:val="24"/>
              </w:rPr>
              <w:t xml:space="preserve">AIEĮ projektu </w:t>
            </w:r>
            <w:r w:rsidR="00F70A78">
              <w:rPr>
                <w:rFonts w:eastAsia="Calibri"/>
                <w:color w:val="000000"/>
                <w:kern w:val="24"/>
              </w:rPr>
              <w:t xml:space="preserve">siekiama </w:t>
            </w:r>
            <w:r w:rsidR="00F876C8" w:rsidRPr="00F876C8">
              <w:rPr>
                <w:rFonts w:eastAsia="Calibri"/>
                <w:color w:val="000000"/>
                <w:kern w:val="24"/>
              </w:rPr>
              <w:t>nusta</w:t>
            </w:r>
            <w:r w:rsidR="00F70A78">
              <w:rPr>
                <w:rFonts w:eastAsia="Calibri"/>
                <w:color w:val="000000"/>
                <w:kern w:val="24"/>
              </w:rPr>
              <w:t>tyti</w:t>
            </w:r>
            <w:r w:rsidR="00F876C8" w:rsidRPr="00F876C8">
              <w:rPr>
                <w:rFonts w:eastAsia="Calibri"/>
                <w:color w:val="000000"/>
                <w:kern w:val="24"/>
              </w:rPr>
              <w:t>, kad  saulės elektrinėje gaminantiems vartotojams priklausantys energijos iš atsinaujinančių išteklių gamybos įrenginiai (saulės šviesos energijos moduliai) yra kilnojamieji</w:t>
            </w:r>
            <w:r w:rsidR="00131242">
              <w:rPr>
                <w:rFonts w:eastAsia="Calibri"/>
                <w:color w:val="000000"/>
                <w:kern w:val="24"/>
              </w:rPr>
              <w:t xml:space="preserve"> </w:t>
            </w:r>
            <w:r w:rsidR="00F876C8" w:rsidRPr="00F876C8">
              <w:rPr>
                <w:rFonts w:eastAsia="Calibri"/>
                <w:color w:val="000000"/>
                <w:kern w:val="24"/>
              </w:rPr>
              <w:t>daiktai</w:t>
            </w:r>
            <w:r w:rsidR="00D15EE9">
              <w:rPr>
                <w:rFonts w:eastAsia="Calibri"/>
                <w:color w:val="000000"/>
                <w:kern w:val="24"/>
              </w:rPr>
              <w:t xml:space="preserve">. </w:t>
            </w:r>
          </w:p>
          <w:p w14:paraId="02AD526B" w14:textId="39A911FE" w:rsidR="004975C3" w:rsidRDefault="00093E13" w:rsidP="004A1CD8">
            <w:pPr>
              <w:pStyle w:val="prastasiniatinklio"/>
              <w:tabs>
                <w:tab w:val="left" w:pos="919"/>
                <w:tab w:val="left" w:pos="1202"/>
              </w:tabs>
              <w:spacing w:before="0" w:beforeAutospacing="0" w:after="0" w:afterAutospacing="0"/>
              <w:ind w:left="68" w:firstLine="596"/>
              <w:jc w:val="both"/>
              <w:rPr>
                <w:rFonts w:eastAsia="Calibri"/>
                <w:color w:val="000000"/>
                <w:kern w:val="24"/>
              </w:rPr>
            </w:pPr>
            <w:r>
              <w:rPr>
                <w:rFonts w:eastAsia="Calibri"/>
                <w:color w:val="000000"/>
                <w:kern w:val="24"/>
              </w:rPr>
              <w:t>Priimti pakeitimai</w:t>
            </w:r>
            <w:r w:rsidR="00180973">
              <w:rPr>
                <w:rFonts w:eastAsia="Calibri"/>
                <w:color w:val="000000"/>
                <w:kern w:val="24"/>
              </w:rPr>
              <w:t xml:space="preserve"> </w:t>
            </w:r>
            <w:r w:rsidR="001B7D10">
              <w:rPr>
                <w:rFonts w:eastAsia="Calibri"/>
                <w:color w:val="000000"/>
                <w:kern w:val="24"/>
              </w:rPr>
              <w:t>padės</w:t>
            </w:r>
            <w:r w:rsidR="00FE23AB" w:rsidRPr="00FE23AB">
              <w:rPr>
                <w:rFonts w:eastAsia="Calibri"/>
                <w:color w:val="000000"/>
                <w:kern w:val="24"/>
              </w:rPr>
              <w:t xml:space="preserve"> tinkamai įgyvendinti ir pasiekti Lietuvos Respublikos Seimo patvirtintoje Nacionalinėje energetinės nepriklausomybės strategijoje (patvirtinta Lietuvos Respublikos Seimo 2018 m. birželio 21 d. nutarimu Nr. XIII-1288) tikslą - atsinaujinančių energijos išteklių (toliau – AEI) srityje – didinti vartojamos elektros energijos iš AEI dalį, daug dėmesio skiriant decentralizuotos elektros energijos, pagamintos iš AEI, gamybai ir palaipsniui didinti elektros energijos vartotojų, galinčių pasigaminti elektros energiją savo reikmėms, skaičių - iki 2020 metų sukūrus palankią investicijų aplinką, turėti ne mažiau kaip 34 tūkst. elektros energijos vartotojų, naudojančių gaminančio vartotojo schemą.</w:t>
            </w:r>
          </w:p>
          <w:p w14:paraId="3C6DD408" w14:textId="5E09028C" w:rsidR="001E4379" w:rsidRDefault="00000856" w:rsidP="004A1CD8">
            <w:pPr>
              <w:ind w:firstLine="596"/>
              <w:jc w:val="both"/>
              <w:rPr>
                <w:rFonts w:eastAsia="Calibri"/>
                <w:color w:val="000000"/>
                <w:kern w:val="24"/>
              </w:rPr>
            </w:pPr>
            <w:r>
              <w:rPr>
                <w:rFonts w:eastAsia="Calibri"/>
                <w:color w:val="000000"/>
                <w:kern w:val="24"/>
              </w:rPr>
              <w:t xml:space="preserve">Šiuo metu AIE įstatymo </w:t>
            </w:r>
            <w:r w:rsidR="00E611D2">
              <w:rPr>
                <w:rFonts w:eastAsia="Calibri"/>
                <w:color w:val="000000"/>
                <w:kern w:val="24"/>
              </w:rPr>
              <w:t>20</w:t>
            </w:r>
            <w:r w:rsidR="00E611D2" w:rsidRPr="00B971D0">
              <w:rPr>
                <w:rFonts w:eastAsia="Calibri"/>
                <w:color w:val="000000"/>
                <w:kern w:val="24"/>
                <w:vertAlign w:val="superscript"/>
              </w:rPr>
              <w:t>1</w:t>
            </w:r>
            <w:r w:rsidR="00E611D2">
              <w:rPr>
                <w:rFonts w:eastAsia="Calibri"/>
                <w:color w:val="000000"/>
                <w:kern w:val="24"/>
              </w:rPr>
              <w:t xml:space="preserve"> straipsnyje reglamentuota gaminančių vartotojų veiklos plėtra, suteikianti galimybę pavieniams vartotojams gaminti elektros energiją jiems </w:t>
            </w:r>
            <w:r w:rsidR="00C542C6">
              <w:rPr>
                <w:rFonts w:eastAsia="Calibri"/>
                <w:color w:val="000000"/>
                <w:kern w:val="24"/>
              </w:rPr>
              <w:t>priklausančiuose</w:t>
            </w:r>
            <w:r w:rsidR="00E611D2">
              <w:rPr>
                <w:rFonts w:eastAsia="Calibri"/>
                <w:color w:val="000000"/>
                <w:kern w:val="24"/>
              </w:rPr>
              <w:t xml:space="preserve"> elektros energijos</w:t>
            </w:r>
            <w:r w:rsidR="00C542C6">
              <w:rPr>
                <w:rFonts w:eastAsia="Calibri"/>
                <w:color w:val="000000"/>
                <w:kern w:val="24"/>
              </w:rPr>
              <w:t xml:space="preserve"> gamybos</w:t>
            </w:r>
            <w:r w:rsidR="00E611D2">
              <w:rPr>
                <w:rFonts w:eastAsia="Calibri"/>
                <w:color w:val="000000"/>
                <w:kern w:val="24"/>
              </w:rPr>
              <w:t xml:space="preserve"> įrenginiuose ir ją vartoti savo reikmėms ir ūkio poreikiams. </w:t>
            </w:r>
            <w:r w:rsidR="002801B9">
              <w:rPr>
                <w:rFonts w:eastAsia="Calibri"/>
                <w:color w:val="000000"/>
                <w:kern w:val="24"/>
              </w:rPr>
              <w:t>Dabartinė sistema nesuteikia galimybės bendruomen</w:t>
            </w:r>
            <w:r w:rsidR="00C542C6">
              <w:rPr>
                <w:rFonts w:eastAsia="Calibri"/>
                <w:color w:val="000000"/>
                <w:kern w:val="24"/>
              </w:rPr>
              <w:t>ėms ar kitoms grupėms, jungiamoms bendrų interesų,</w:t>
            </w:r>
            <w:r w:rsidR="007402FC">
              <w:rPr>
                <w:rFonts w:eastAsia="Calibri"/>
                <w:color w:val="000000"/>
                <w:kern w:val="24"/>
              </w:rPr>
              <w:t xml:space="preserve"> bendrai gaminti ir naudoti</w:t>
            </w:r>
            <w:r w:rsidR="002801B9">
              <w:rPr>
                <w:rFonts w:eastAsia="Calibri"/>
                <w:color w:val="000000"/>
                <w:kern w:val="24"/>
              </w:rPr>
              <w:t xml:space="preserve"> elektros energi</w:t>
            </w:r>
            <w:r w:rsidR="007402FC">
              <w:rPr>
                <w:rFonts w:eastAsia="Calibri"/>
                <w:color w:val="000000"/>
                <w:kern w:val="24"/>
              </w:rPr>
              <w:t>ją</w:t>
            </w:r>
            <w:r w:rsidR="00EC0382">
              <w:rPr>
                <w:rFonts w:eastAsia="Calibri"/>
                <w:color w:val="000000"/>
                <w:kern w:val="24"/>
              </w:rPr>
              <w:t xml:space="preserve">. AIEĮ projektu reglamentavus atsinaujinančių išteklių energetikos bendrijos veiklą, būtų sukurtos sąlygos </w:t>
            </w:r>
            <w:r w:rsidR="002D5A74">
              <w:rPr>
                <w:rFonts w:eastAsia="Calibri"/>
                <w:color w:val="000000"/>
                <w:kern w:val="24"/>
              </w:rPr>
              <w:t>vietos bendruomenėms, daugiabučių namų bendrijoms, sodų bendrijoms, ar kitiems, bendrus interesus turintiems asmenims,</w:t>
            </w:r>
            <w:r w:rsidR="006D1286">
              <w:rPr>
                <w:rFonts w:eastAsia="Calibri"/>
                <w:color w:val="000000"/>
                <w:kern w:val="24"/>
              </w:rPr>
              <w:t xml:space="preserve"> bendrai įrengti energijos gamybos įrenginiu</w:t>
            </w:r>
            <w:r w:rsidR="00927696">
              <w:rPr>
                <w:rFonts w:eastAsia="Calibri"/>
                <w:color w:val="000000"/>
                <w:kern w:val="24"/>
              </w:rPr>
              <w:t>s</w:t>
            </w:r>
            <w:r w:rsidR="006D1286">
              <w:rPr>
                <w:rFonts w:eastAsia="Calibri"/>
                <w:color w:val="000000"/>
                <w:kern w:val="24"/>
              </w:rPr>
              <w:t xml:space="preserve"> ir </w:t>
            </w:r>
            <w:r w:rsidR="00434A70">
              <w:rPr>
                <w:rFonts w:eastAsia="Calibri"/>
                <w:color w:val="000000"/>
                <w:kern w:val="24"/>
              </w:rPr>
              <w:t xml:space="preserve">juose gaminti elektros energiją, ją vartojant savo reikmėms, arba parduodant kitiems vartotojams. Tokie projektai </w:t>
            </w:r>
            <w:r w:rsidR="007B6003">
              <w:rPr>
                <w:rFonts w:eastAsia="Calibri"/>
                <w:color w:val="000000"/>
                <w:kern w:val="24"/>
              </w:rPr>
              <w:t xml:space="preserve">būtų didesni, todėl jų įgyvendinimas būtų pigesnis, </w:t>
            </w:r>
            <w:r w:rsidR="00272C11">
              <w:rPr>
                <w:rFonts w:eastAsia="Calibri"/>
                <w:color w:val="000000"/>
                <w:kern w:val="24"/>
              </w:rPr>
              <w:t>jie skatintų bendruomeniškumą, prisidėtų prie klimato kaitos mažinimo</w:t>
            </w:r>
            <w:r w:rsidR="00EF7BA4">
              <w:rPr>
                <w:rFonts w:eastAsia="Calibri"/>
                <w:color w:val="000000"/>
                <w:kern w:val="24"/>
              </w:rPr>
              <w:t xml:space="preserve"> bei teiktų naudą atsinaujinančių išteklių </w:t>
            </w:r>
            <w:r w:rsidR="00EF7BA4">
              <w:rPr>
                <w:rFonts w:eastAsia="Calibri"/>
                <w:color w:val="000000"/>
                <w:kern w:val="24"/>
              </w:rPr>
              <w:lastRenderedPageBreak/>
              <w:t>energijos bendrijos dalyviams.</w:t>
            </w:r>
            <w:r w:rsidR="00E26FC1">
              <w:rPr>
                <w:rFonts w:eastAsia="Calibri"/>
                <w:color w:val="000000"/>
                <w:kern w:val="24"/>
              </w:rPr>
              <w:t xml:space="preserve"> Taip pat šios sistemos įteisinimas prisidėtų prie AEI plėtros ir valstybinių tikslų, siekiant 45 proc. AEI tikslo 2030 metais.</w:t>
            </w:r>
          </w:p>
          <w:p w14:paraId="6C45ED21" w14:textId="6A5E37C2" w:rsidR="00B10DED" w:rsidRDefault="0001580D" w:rsidP="004A1CD8">
            <w:pPr>
              <w:ind w:firstLine="596"/>
              <w:jc w:val="both"/>
              <w:rPr>
                <w:szCs w:val="24"/>
              </w:rPr>
            </w:pPr>
            <w:r>
              <w:rPr>
                <w:szCs w:val="24"/>
              </w:rPr>
              <w:t xml:space="preserve">Teisinis reglamentavimas nustato kelias </w:t>
            </w:r>
            <w:r w:rsidR="00B10DED">
              <w:rPr>
                <w:szCs w:val="24"/>
              </w:rPr>
              <w:t>palengvinančias</w:t>
            </w:r>
            <w:r>
              <w:rPr>
                <w:szCs w:val="24"/>
              </w:rPr>
              <w:t xml:space="preserve"> sąlygas atsinaujinančių išteklių energijos bendrijų veikla</w:t>
            </w:r>
            <w:r w:rsidR="00B10DED">
              <w:rPr>
                <w:szCs w:val="24"/>
              </w:rPr>
              <w:t>i:</w:t>
            </w:r>
            <w:r>
              <w:rPr>
                <w:szCs w:val="24"/>
              </w:rPr>
              <w:t xml:space="preserve"> </w:t>
            </w:r>
          </w:p>
          <w:p w14:paraId="1723ED81" w14:textId="1C73544A" w:rsidR="00B10DED" w:rsidRDefault="00B10DED" w:rsidP="00B10DED">
            <w:pPr>
              <w:pStyle w:val="Sraopastraipa"/>
              <w:numPr>
                <w:ilvl w:val="0"/>
                <w:numId w:val="9"/>
              </w:numPr>
              <w:jc w:val="both"/>
              <w:rPr>
                <w:szCs w:val="24"/>
              </w:rPr>
            </w:pPr>
            <w:r w:rsidRPr="00B10DED">
              <w:rPr>
                <w:szCs w:val="24"/>
              </w:rPr>
              <w:t>dalyvauti aukcione</w:t>
            </w:r>
            <w:r>
              <w:rPr>
                <w:szCs w:val="24"/>
              </w:rPr>
              <w:t xml:space="preserve"> neprisiimant įsipareigojimo pagaminti aukcione laimėt</w:t>
            </w:r>
            <w:r w:rsidR="000402C3">
              <w:rPr>
                <w:szCs w:val="24"/>
              </w:rPr>
              <w:t>o</w:t>
            </w:r>
            <w:r>
              <w:rPr>
                <w:szCs w:val="24"/>
              </w:rPr>
              <w:t xml:space="preserve"> elektros energijos kiekio;</w:t>
            </w:r>
          </w:p>
          <w:p w14:paraId="624C132E" w14:textId="77777777" w:rsidR="00252C86" w:rsidRDefault="00252C86" w:rsidP="00B10DED">
            <w:pPr>
              <w:pStyle w:val="Sraopastraipa"/>
              <w:numPr>
                <w:ilvl w:val="0"/>
                <w:numId w:val="9"/>
              </w:numPr>
              <w:jc w:val="both"/>
              <w:rPr>
                <w:szCs w:val="24"/>
              </w:rPr>
            </w:pPr>
            <w:r>
              <w:rPr>
                <w:szCs w:val="24"/>
              </w:rPr>
              <w:t>suteikiama galimybė pirmumo teise persiųsti elektros energiją, nepriklausomai nuo to, ar atsinaujinančių išteklių energijos bendrija laimėjo aukcioną.</w:t>
            </w:r>
          </w:p>
          <w:p w14:paraId="1B69B0A6" w14:textId="556F8FFC" w:rsidR="00B971D0" w:rsidRPr="00252C86" w:rsidRDefault="00927696" w:rsidP="00631C7E">
            <w:pPr>
              <w:ind w:firstLine="596"/>
              <w:jc w:val="both"/>
              <w:rPr>
                <w:szCs w:val="24"/>
              </w:rPr>
            </w:pPr>
            <w:r w:rsidRPr="00252C86">
              <w:rPr>
                <w:szCs w:val="24"/>
              </w:rPr>
              <w:t>Atsižvelgiant į tai, kad atsinaujinančių išteklių energijos bendrij</w:t>
            </w:r>
            <w:r w:rsidR="00631C7E">
              <w:rPr>
                <w:szCs w:val="24"/>
              </w:rPr>
              <w:t xml:space="preserve">a </w:t>
            </w:r>
            <w:r w:rsidR="00C03925">
              <w:rPr>
                <w:szCs w:val="24"/>
              </w:rPr>
              <w:t xml:space="preserve">pagal savo veiklos pobūdį visų pirma orientuota į savo narių poreikių tenkinimą, manome, kad nustatytos sąlygos </w:t>
            </w:r>
            <w:r w:rsidR="007777C5">
              <w:rPr>
                <w:szCs w:val="24"/>
              </w:rPr>
              <w:t xml:space="preserve">tik </w:t>
            </w:r>
            <w:r w:rsidR="008E10EB">
              <w:rPr>
                <w:szCs w:val="24"/>
              </w:rPr>
              <w:t>padės</w:t>
            </w:r>
            <w:r w:rsidR="007777C5">
              <w:rPr>
                <w:szCs w:val="24"/>
              </w:rPr>
              <w:t xml:space="preserve"> užtikrinant pagrindinį bendrijos tikslą – teikti savo nariams ekonominę, socialinę ir aplinkosauginę naud</w:t>
            </w:r>
            <w:r w:rsidR="008E10EB">
              <w:rPr>
                <w:szCs w:val="24"/>
              </w:rPr>
              <w:t>ą</w:t>
            </w:r>
            <w:bookmarkStart w:id="0" w:name="_GoBack"/>
            <w:bookmarkEnd w:id="0"/>
            <w:r w:rsidR="007777C5">
              <w:rPr>
                <w:szCs w:val="24"/>
              </w:rPr>
              <w:t>, tačiau</w:t>
            </w:r>
            <w:r w:rsidRPr="00252C86">
              <w:rPr>
                <w:szCs w:val="24"/>
              </w:rPr>
              <w:t xml:space="preserve"> </w:t>
            </w:r>
            <w:r w:rsidR="0001580D" w:rsidRPr="00252C86">
              <w:rPr>
                <w:szCs w:val="24"/>
              </w:rPr>
              <w:t>įtakos konkurencijai neturės.</w:t>
            </w:r>
          </w:p>
        </w:tc>
      </w:tr>
    </w:tbl>
    <w:p w14:paraId="6B825F50" w14:textId="77777777" w:rsidR="009D08A2" w:rsidRPr="00A53FFB" w:rsidRDefault="009D08A2" w:rsidP="009D08A2">
      <w:pPr>
        <w:rPr>
          <w:szCs w:val="24"/>
        </w:rPr>
      </w:pPr>
    </w:p>
    <w:tbl>
      <w:tblPr>
        <w:tblW w:w="9363" w:type="dxa"/>
        <w:tblLayout w:type="fixed"/>
        <w:tblLook w:val="00A0" w:firstRow="1" w:lastRow="0" w:firstColumn="1" w:lastColumn="0" w:noHBand="0" w:noVBand="0"/>
      </w:tblPr>
      <w:tblGrid>
        <w:gridCol w:w="1843"/>
        <w:gridCol w:w="7520"/>
      </w:tblGrid>
      <w:tr w:rsidR="009D08A2" w:rsidRPr="00A53FFB" w14:paraId="6152CE91" w14:textId="77777777" w:rsidTr="004B02AB">
        <w:tc>
          <w:tcPr>
            <w:tcW w:w="1843" w:type="dxa"/>
            <w:shd w:val="clear" w:color="auto" w:fill="DBE5F1"/>
            <w:hideMark/>
          </w:tcPr>
          <w:p w14:paraId="038F7627" w14:textId="77777777" w:rsidR="009D08A2" w:rsidRPr="00A53FFB" w:rsidRDefault="009D08A2" w:rsidP="0014211B">
            <w:pPr>
              <w:rPr>
                <w:b/>
                <w:szCs w:val="24"/>
              </w:rPr>
            </w:pPr>
            <w:r w:rsidRPr="00A53FFB">
              <w:rPr>
                <w:b/>
                <w:szCs w:val="24"/>
              </w:rPr>
              <w:t xml:space="preserve">Poveikis </w:t>
            </w:r>
          </w:p>
          <w:p w14:paraId="31B473D6" w14:textId="77777777" w:rsidR="009D08A2" w:rsidRPr="00A53FFB" w:rsidRDefault="009D08A2" w:rsidP="0014211B">
            <w:pPr>
              <w:rPr>
                <w:b/>
                <w:szCs w:val="24"/>
              </w:rPr>
            </w:pPr>
            <w:r w:rsidRPr="00A53FFB">
              <w:rPr>
                <w:b/>
                <w:szCs w:val="24"/>
              </w:rPr>
              <w:t>valstybės finansams</w:t>
            </w:r>
          </w:p>
        </w:tc>
        <w:tc>
          <w:tcPr>
            <w:tcW w:w="7520" w:type="dxa"/>
            <w:hideMark/>
          </w:tcPr>
          <w:p w14:paraId="76B6E3EC" w14:textId="6A7F2A5F" w:rsidR="00042479" w:rsidRPr="00A53FFB" w:rsidRDefault="005B3816" w:rsidP="00C8657F">
            <w:pPr>
              <w:jc w:val="both"/>
              <w:rPr>
                <w:szCs w:val="24"/>
              </w:rPr>
            </w:pPr>
            <w:r w:rsidRPr="00A53FFB">
              <w:rPr>
                <w:szCs w:val="24"/>
              </w:rPr>
              <w:t xml:space="preserve">Papildomų biudžetų ir kitų valstybės įsteigtų fondų lėšų </w:t>
            </w:r>
            <w:r w:rsidR="00966E64">
              <w:rPr>
                <w:szCs w:val="24"/>
              </w:rPr>
              <w:t>AIE</w:t>
            </w:r>
            <w:r w:rsidRPr="00A53FFB">
              <w:rPr>
                <w:szCs w:val="24"/>
              </w:rPr>
              <w:t>Į</w:t>
            </w:r>
            <w:r w:rsidR="00966E64">
              <w:rPr>
                <w:szCs w:val="24"/>
              </w:rPr>
              <w:t xml:space="preserve"> </w:t>
            </w:r>
            <w:r w:rsidRPr="00A53FFB">
              <w:rPr>
                <w:szCs w:val="24"/>
              </w:rPr>
              <w:t>projekto įgyvendinimas nepareikalaus.</w:t>
            </w:r>
          </w:p>
        </w:tc>
      </w:tr>
    </w:tbl>
    <w:p w14:paraId="58C78458" w14:textId="2EC2E121" w:rsidR="00FA32AE" w:rsidRPr="00A53FFB" w:rsidRDefault="00FA32AE" w:rsidP="009D08A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796"/>
      </w:tblGrid>
      <w:tr w:rsidR="009D08A2" w:rsidRPr="00A53FFB" w14:paraId="4563F93B" w14:textId="77777777" w:rsidTr="004B02AB">
        <w:tc>
          <w:tcPr>
            <w:tcW w:w="1843" w:type="dxa"/>
            <w:tcBorders>
              <w:top w:val="nil"/>
              <w:left w:val="nil"/>
              <w:bottom w:val="nil"/>
              <w:right w:val="nil"/>
            </w:tcBorders>
            <w:shd w:val="clear" w:color="auto" w:fill="DBE5F1"/>
          </w:tcPr>
          <w:p w14:paraId="51D1D4AD" w14:textId="4DDBF366" w:rsidR="009D08A2" w:rsidRPr="00A53FFB" w:rsidRDefault="009D08A2" w:rsidP="00015E53">
            <w:pPr>
              <w:shd w:val="clear" w:color="auto" w:fill="DBE5F1"/>
              <w:rPr>
                <w:szCs w:val="24"/>
              </w:rPr>
            </w:pPr>
            <w:r w:rsidRPr="00A53FFB">
              <w:rPr>
                <w:b/>
                <w:szCs w:val="24"/>
              </w:rPr>
              <w:t>Poveikis administracinei naštai</w:t>
            </w:r>
          </w:p>
        </w:tc>
        <w:tc>
          <w:tcPr>
            <w:tcW w:w="7796" w:type="dxa"/>
            <w:tcBorders>
              <w:top w:val="nil"/>
              <w:left w:val="nil"/>
              <w:bottom w:val="nil"/>
              <w:right w:val="nil"/>
            </w:tcBorders>
            <w:hideMark/>
          </w:tcPr>
          <w:p w14:paraId="61423E7C" w14:textId="5EDD4A7B" w:rsidR="009D08A2" w:rsidRPr="00A53FFB" w:rsidRDefault="00966E64" w:rsidP="00AA372B">
            <w:pPr>
              <w:jc w:val="both"/>
              <w:rPr>
                <w:szCs w:val="24"/>
              </w:rPr>
            </w:pPr>
            <w:r>
              <w:rPr>
                <w:szCs w:val="24"/>
              </w:rPr>
              <w:t>AIE</w:t>
            </w:r>
            <w:r w:rsidR="007B7647" w:rsidRPr="00A53FFB">
              <w:rPr>
                <w:szCs w:val="24"/>
              </w:rPr>
              <w:t>Į</w:t>
            </w:r>
            <w:r>
              <w:rPr>
                <w:szCs w:val="24"/>
              </w:rPr>
              <w:t xml:space="preserve"> </w:t>
            </w:r>
            <w:r w:rsidR="007B7647" w:rsidRPr="00A53FFB">
              <w:rPr>
                <w:szCs w:val="24"/>
              </w:rPr>
              <w:t xml:space="preserve">projekte </w:t>
            </w:r>
            <w:r w:rsidR="00797844" w:rsidRPr="00A53FFB">
              <w:rPr>
                <w:szCs w:val="24"/>
              </w:rPr>
              <w:t>ne</w:t>
            </w:r>
            <w:r w:rsidR="007B7647" w:rsidRPr="00A53FFB">
              <w:rPr>
                <w:szCs w:val="24"/>
              </w:rPr>
              <w:t>nustatomi informaciniai įpareigojimai</w:t>
            </w:r>
            <w:r w:rsidR="00797844" w:rsidRPr="00A53FFB">
              <w:rPr>
                <w:szCs w:val="24"/>
              </w:rPr>
              <w:t>.</w:t>
            </w:r>
          </w:p>
        </w:tc>
      </w:tr>
      <w:tr w:rsidR="00015E53" w:rsidRPr="00A53FFB" w14:paraId="14C93085" w14:textId="77777777" w:rsidTr="004B02AB">
        <w:tc>
          <w:tcPr>
            <w:tcW w:w="1843" w:type="dxa"/>
            <w:tcBorders>
              <w:top w:val="nil"/>
              <w:left w:val="nil"/>
              <w:bottom w:val="nil"/>
              <w:right w:val="nil"/>
            </w:tcBorders>
            <w:shd w:val="clear" w:color="auto" w:fill="DBE5F1"/>
          </w:tcPr>
          <w:p w14:paraId="2D243666" w14:textId="77777777" w:rsidR="00015E53" w:rsidRPr="00A53FFB" w:rsidRDefault="00015E53" w:rsidP="0014211B">
            <w:pPr>
              <w:shd w:val="clear" w:color="auto" w:fill="DBE5F1"/>
              <w:rPr>
                <w:b/>
                <w:szCs w:val="24"/>
              </w:rPr>
            </w:pPr>
          </w:p>
        </w:tc>
        <w:tc>
          <w:tcPr>
            <w:tcW w:w="7796" w:type="dxa"/>
            <w:tcBorders>
              <w:top w:val="nil"/>
              <w:left w:val="nil"/>
              <w:bottom w:val="nil"/>
              <w:right w:val="nil"/>
            </w:tcBorders>
          </w:tcPr>
          <w:p w14:paraId="6147A671" w14:textId="77777777" w:rsidR="00015E53" w:rsidRPr="00A53FFB" w:rsidRDefault="00015E53" w:rsidP="00AA372B">
            <w:pPr>
              <w:jc w:val="both"/>
              <w:rPr>
                <w:szCs w:val="24"/>
              </w:rPr>
            </w:pPr>
          </w:p>
        </w:tc>
      </w:tr>
    </w:tbl>
    <w:p w14:paraId="275D32A3" w14:textId="4E64723A" w:rsidR="009D08A2" w:rsidRDefault="009D08A2" w:rsidP="009D08A2">
      <w:pPr>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796"/>
      </w:tblGrid>
      <w:tr w:rsidR="00015E53" w:rsidRPr="00A53FFB" w14:paraId="180BC6A0" w14:textId="77777777" w:rsidTr="00C36533">
        <w:tc>
          <w:tcPr>
            <w:tcW w:w="1843" w:type="dxa"/>
            <w:tcBorders>
              <w:top w:val="nil"/>
              <w:left w:val="nil"/>
              <w:bottom w:val="nil"/>
              <w:right w:val="nil"/>
            </w:tcBorders>
            <w:shd w:val="clear" w:color="auto" w:fill="DBE5F1"/>
          </w:tcPr>
          <w:p w14:paraId="72C9C682" w14:textId="2C1C345D" w:rsidR="00015E53" w:rsidRPr="00A53FFB" w:rsidRDefault="00015E53" w:rsidP="00C36533">
            <w:pPr>
              <w:shd w:val="clear" w:color="auto" w:fill="DBE5F1"/>
              <w:rPr>
                <w:szCs w:val="24"/>
              </w:rPr>
            </w:pPr>
            <w:r w:rsidRPr="00A53FFB">
              <w:rPr>
                <w:b/>
                <w:szCs w:val="24"/>
              </w:rPr>
              <w:t xml:space="preserve">Poveikis </w:t>
            </w:r>
            <w:r>
              <w:rPr>
                <w:b/>
                <w:szCs w:val="24"/>
              </w:rPr>
              <w:t>ekonomikai</w:t>
            </w:r>
          </w:p>
        </w:tc>
        <w:tc>
          <w:tcPr>
            <w:tcW w:w="7796" w:type="dxa"/>
            <w:tcBorders>
              <w:top w:val="nil"/>
              <w:left w:val="nil"/>
              <w:bottom w:val="nil"/>
              <w:right w:val="nil"/>
            </w:tcBorders>
            <w:hideMark/>
          </w:tcPr>
          <w:p w14:paraId="1D8C0892" w14:textId="29625C68" w:rsidR="001A6453" w:rsidRDefault="004C7D44" w:rsidP="004A1CD8">
            <w:pPr>
              <w:ind w:firstLine="596"/>
              <w:jc w:val="both"/>
              <w:rPr>
                <w:color w:val="000000"/>
                <w:szCs w:val="24"/>
                <w:shd w:val="clear" w:color="auto" w:fill="FFFFFF"/>
              </w:rPr>
            </w:pPr>
            <w:r>
              <w:rPr>
                <w:color w:val="000000"/>
                <w:szCs w:val="24"/>
                <w:shd w:val="clear" w:color="auto" w:fill="FFFFFF"/>
              </w:rPr>
              <w:t xml:space="preserve">AIEĮ projekte numatyti pakeitimai </w:t>
            </w:r>
            <w:r w:rsidR="001A6453">
              <w:rPr>
                <w:color w:val="000000"/>
                <w:szCs w:val="24"/>
                <w:shd w:val="clear" w:color="auto" w:fill="FFFFFF"/>
              </w:rPr>
              <w:t>turės ilgalaikį tiesioginį poveikį elektros energijos vartotojų kainai, kadangi visas arba dalį su tinklų plėtra susijusių išlaidų apmokės vartotojai per VIAP.</w:t>
            </w:r>
          </w:p>
          <w:p w14:paraId="7360F34C" w14:textId="77777777" w:rsidR="00015E53" w:rsidRDefault="00F87F50" w:rsidP="004A1CD8">
            <w:pPr>
              <w:ind w:firstLine="596"/>
              <w:jc w:val="both"/>
              <w:rPr>
                <w:color w:val="000000"/>
                <w:szCs w:val="24"/>
                <w:shd w:val="clear" w:color="auto" w:fill="FFFFFF"/>
              </w:rPr>
            </w:pPr>
            <w:r>
              <w:rPr>
                <w:color w:val="000000"/>
                <w:szCs w:val="24"/>
                <w:shd w:val="clear" w:color="auto" w:fill="FFFFFF"/>
              </w:rPr>
              <w:t>Numatyti pakeitimai turės t</w:t>
            </w:r>
            <w:r w:rsidR="004C7D44">
              <w:rPr>
                <w:color w:val="000000"/>
                <w:szCs w:val="24"/>
                <w:shd w:val="clear" w:color="auto" w:fill="FFFFFF"/>
              </w:rPr>
              <w:t xml:space="preserve">eigiamą poveikį </w:t>
            </w:r>
            <w:r>
              <w:rPr>
                <w:color w:val="000000"/>
                <w:szCs w:val="24"/>
                <w:shd w:val="clear" w:color="auto" w:fill="FFFFFF"/>
              </w:rPr>
              <w:t>v</w:t>
            </w:r>
            <w:r w:rsidR="00525514">
              <w:rPr>
                <w:color w:val="000000"/>
                <w:szCs w:val="24"/>
                <w:shd w:val="clear" w:color="auto" w:fill="FFFFFF"/>
              </w:rPr>
              <w:t xml:space="preserve">erslo sąlygoms, kadangi už tinklų </w:t>
            </w:r>
            <w:r w:rsidR="009000BD">
              <w:rPr>
                <w:color w:val="000000"/>
                <w:szCs w:val="24"/>
                <w:shd w:val="clear" w:color="auto" w:fill="FFFFFF"/>
              </w:rPr>
              <w:t>plėtrą bus atsakingas perdavimo sistemos operatorius ir asmenims, numatantiems vystyti elektrines jūrinėje teritorijoje nereikės</w:t>
            </w:r>
            <w:r w:rsidR="0083240F">
              <w:rPr>
                <w:color w:val="000000"/>
                <w:szCs w:val="24"/>
                <w:shd w:val="clear" w:color="auto" w:fill="FFFFFF"/>
              </w:rPr>
              <w:t xml:space="preserve"> patirti su tuo susijusių išlaidų</w:t>
            </w:r>
            <w:r w:rsidR="00B515FC">
              <w:rPr>
                <w:color w:val="000000"/>
                <w:szCs w:val="24"/>
                <w:shd w:val="clear" w:color="auto" w:fill="FFFFFF"/>
              </w:rPr>
              <w:t>. Bus užtikrinta subalansuota tinklų plėtra, t.y.</w:t>
            </w:r>
            <w:r w:rsidR="001C273F">
              <w:rPr>
                <w:color w:val="000000"/>
                <w:szCs w:val="24"/>
                <w:shd w:val="clear" w:color="auto" w:fill="FFFFFF"/>
              </w:rPr>
              <w:t xml:space="preserve"> </w:t>
            </w:r>
            <w:r w:rsidR="00B515FC">
              <w:rPr>
                <w:color w:val="000000"/>
                <w:szCs w:val="24"/>
                <w:shd w:val="clear" w:color="auto" w:fill="FFFFFF"/>
              </w:rPr>
              <w:t xml:space="preserve"> </w:t>
            </w:r>
            <w:r w:rsidR="00F60836">
              <w:rPr>
                <w:color w:val="000000"/>
                <w:szCs w:val="24"/>
                <w:shd w:val="clear" w:color="auto" w:fill="FFFFFF"/>
              </w:rPr>
              <w:t xml:space="preserve">esant atskiriems </w:t>
            </w:r>
            <w:r w:rsidR="00B10B6A">
              <w:rPr>
                <w:color w:val="000000"/>
                <w:szCs w:val="24"/>
                <w:shd w:val="clear" w:color="auto" w:fill="FFFFFF"/>
              </w:rPr>
              <w:t xml:space="preserve">skirtingų galių </w:t>
            </w:r>
            <w:r w:rsidR="00F60836">
              <w:rPr>
                <w:color w:val="000000"/>
                <w:szCs w:val="24"/>
                <w:shd w:val="clear" w:color="auto" w:fill="FFFFFF"/>
              </w:rPr>
              <w:t>elektrinių vystytojams</w:t>
            </w:r>
            <w:r w:rsidR="001C273F">
              <w:rPr>
                <w:color w:val="000000"/>
                <w:szCs w:val="24"/>
                <w:shd w:val="clear" w:color="auto" w:fill="FFFFFF"/>
              </w:rPr>
              <w:t xml:space="preserve"> nesusidarys situacija, kad atskiri vystytojai pasirenka skirtingas prisijungimo prie elektros tink</w:t>
            </w:r>
            <w:r w:rsidR="00E40765">
              <w:rPr>
                <w:color w:val="000000"/>
                <w:szCs w:val="24"/>
                <w:shd w:val="clear" w:color="auto" w:fill="FFFFFF"/>
              </w:rPr>
              <w:t xml:space="preserve">lų vietas bei atitinkamai </w:t>
            </w:r>
            <w:r w:rsidR="00F002B8">
              <w:rPr>
                <w:color w:val="000000"/>
                <w:szCs w:val="24"/>
                <w:shd w:val="clear" w:color="auto" w:fill="FFFFFF"/>
              </w:rPr>
              <w:t xml:space="preserve">skirtingai plėtoja tinklus. </w:t>
            </w:r>
            <w:r w:rsidR="008B749D">
              <w:rPr>
                <w:color w:val="000000"/>
                <w:szCs w:val="24"/>
                <w:shd w:val="clear" w:color="auto" w:fill="FFFFFF"/>
              </w:rPr>
              <w:t xml:space="preserve">Įvertinant tai, kad be paramos </w:t>
            </w:r>
            <w:r w:rsidR="002A4B67">
              <w:rPr>
                <w:color w:val="000000"/>
                <w:szCs w:val="24"/>
                <w:shd w:val="clear" w:color="auto" w:fill="FFFFFF"/>
              </w:rPr>
              <w:t xml:space="preserve">elektrinių projektų vystymas </w:t>
            </w:r>
            <w:r w:rsidR="005A6CAE">
              <w:rPr>
                <w:color w:val="000000"/>
                <w:szCs w:val="24"/>
                <w:shd w:val="clear" w:color="auto" w:fill="FFFFFF"/>
              </w:rPr>
              <w:t>jūrinėje teritorijoje</w:t>
            </w:r>
            <w:r w:rsidR="00AD3D82">
              <w:rPr>
                <w:color w:val="000000"/>
                <w:szCs w:val="24"/>
                <w:shd w:val="clear" w:color="auto" w:fill="FFFFFF"/>
              </w:rPr>
              <w:t xml:space="preserve"> kol kas dar </w:t>
            </w:r>
            <w:r w:rsidR="008B749D">
              <w:rPr>
                <w:color w:val="000000"/>
                <w:szCs w:val="24"/>
                <w:shd w:val="clear" w:color="auto" w:fill="FFFFFF"/>
              </w:rPr>
              <w:t>nėra ekonomiškai patraukl</w:t>
            </w:r>
            <w:r w:rsidR="005A6CAE">
              <w:rPr>
                <w:color w:val="000000"/>
                <w:szCs w:val="24"/>
                <w:shd w:val="clear" w:color="auto" w:fill="FFFFFF"/>
              </w:rPr>
              <w:t>us</w:t>
            </w:r>
            <w:r w:rsidR="008B749D">
              <w:rPr>
                <w:color w:val="000000"/>
                <w:szCs w:val="24"/>
                <w:shd w:val="clear" w:color="auto" w:fill="FFFFFF"/>
              </w:rPr>
              <w:t>,</w:t>
            </w:r>
            <w:r w:rsidR="00AD3D82">
              <w:rPr>
                <w:color w:val="000000"/>
                <w:szCs w:val="24"/>
                <w:shd w:val="clear" w:color="auto" w:fill="FFFFFF"/>
              </w:rPr>
              <w:t xml:space="preserve"> būtina </w:t>
            </w:r>
            <w:r w:rsidR="00277873">
              <w:rPr>
                <w:color w:val="000000"/>
                <w:szCs w:val="24"/>
                <w:shd w:val="clear" w:color="auto" w:fill="FFFFFF"/>
              </w:rPr>
              <w:t>nustatyti palankesnes sąlygas elektrinių prijungimui, tokiu būdu sumažinant paramos por</w:t>
            </w:r>
            <w:r w:rsidR="00B8170D">
              <w:rPr>
                <w:color w:val="000000"/>
                <w:szCs w:val="24"/>
                <w:shd w:val="clear" w:color="auto" w:fill="FFFFFF"/>
              </w:rPr>
              <w:t>eikio</w:t>
            </w:r>
            <w:r w:rsidR="008B749D">
              <w:rPr>
                <w:color w:val="000000"/>
                <w:szCs w:val="24"/>
                <w:shd w:val="clear" w:color="auto" w:fill="FFFFFF"/>
              </w:rPr>
              <w:t xml:space="preserve"> </w:t>
            </w:r>
            <w:r w:rsidR="00B8170D">
              <w:rPr>
                <w:color w:val="000000"/>
                <w:szCs w:val="24"/>
                <w:shd w:val="clear" w:color="auto" w:fill="FFFFFF"/>
              </w:rPr>
              <w:t>dydį</w:t>
            </w:r>
            <w:r w:rsidR="00FB10E3">
              <w:rPr>
                <w:color w:val="000000"/>
                <w:szCs w:val="24"/>
                <w:shd w:val="clear" w:color="auto" w:fill="FFFFFF"/>
              </w:rPr>
              <w:t>.</w:t>
            </w:r>
          </w:p>
          <w:p w14:paraId="500321CE" w14:textId="4B785BDD" w:rsidR="004E0E04" w:rsidRDefault="004E0E04" w:rsidP="004A1CD8">
            <w:pPr>
              <w:tabs>
                <w:tab w:val="left" w:pos="284"/>
                <w:tab w:val="left" w:pos="851"/>
                <w:tab w:val="left" w:pos="993"/>
              </w:tabs>
              <w:spacing w:line="252" w:lineRule="auto"/>
              <w:ind w:firstLine="596"/>
              <w:jc w:val="both"/>
              <w:rPr>
                <w:szCs w:val="24"/>
                <w:lang w:eastAsia="lt-LT"/>
              </w:rPr>
            </w:pPr>
            <w:r w:rsidRPr="004E0E04">
              <w:rPr>
                <w:szCs w:val="24"/>
                <w:lang w:eastAsia="lt-LT"/>
              </w:rPr>
              <w:t xml:space="preserve">AIEĮ projekte </w:t>
            </w:r>
            <w:r w:rsidR="004B27F7">
              <w:rPr>
                <w:szCs w:val="24"/>
                <w:lang w:eastAsia="lt-LT"/>
              </w:rPr>
              <w:t>numatyti pakeitimai</w:t>
            </w:r>
            <w:r w:rsidRPr="004E0E04">
              <w:rPr>
                <w:szCs w:val="24"/>
                <w:lang w:eastAsia="lt-LT"/>
              </w:rPr>
              <w:t xml:space="preserve"> dėl</w:t>
            </w:r>
            <w:r w:rsidRPr="004E0E04">
              <w:rPr>
                <w:b/>
                <w:bCs/>
                <w:szCs w:val="24"/>
                <w:lang w:eastAsia="lt-LT"/>
              </w:rPr>
              <w:t xml:space="preserve"> </w:t>
            </w:r>
            <w:r w:rsidRPr="004E0E04">
              <w:rPr>
                <w:color w:val="000000"/>
                <w:szCs w:val="24"/>
                <w:lang w:eastAsia="lt-LT"/>
              </w:rPr>
              <w:t xml:space="preserve">saulės elektrinėje gaminantiems vartotojams priklausančių energijos iš atsinaujinančių išteklių gamybos įrenginių (saulės šviesos energijos modulių) pripažinimo kilnojamaisiais daiktais, sąlygos </w:t>
            </w:r>
            <w:r w:rsidRPr="004E0E04">
              <w:rPr>
                <w:szCs w:val="24"/>
                <w:lang w:eastAsia="lt-LT"/>
              </w:rPr>
              <w:t>greitesnes nutolusių energijos iš atsinaujinančių išteklių gamybos įrenginių (saulės šviesos energijos modulių) įsigijimo procedūros, kurios planuojama priklausomai nuo aplinkybių sutrumpės 1–3 savaitėmis. Šie pakeitimai taip pat leistų gaminantiems vartotojams sutaupyti lėšas, kurios būtų patirtos notarinio sandorio sudarymui. Įvertinus šiuo metu galiojančius įkainius ir būtinas atlikti energijos iš atsinaujinančių išteklių gamybos įrenginių (saulės šviesos energijos modulių) įsigijimo procedūras, atsisakius notarinio sandorio sudarymo, vienas gaminantis vartotojas vidutiniškai sutaupytų apie 100 Eur.</w:t>
            </w:r>
          </w:p>
          <w:p w14:paraId="63690373" w14:textId="3158C1C6" w:rsidR="00271D3C" w:rsidRPr="004A1CD8" w:rsidRDefault="00271D3C" w:rsidP="004A1CD8">
            <w:pPr>
              <w:tabs>
                <w:tab w:val="left" w:pos="284"/>
                <w:tab w:val="left" w:pos="851"/>
                <w:tab w:val="left" w:pos="993"/>
              </w:tabs>
              <w:spacing w:line="252" w:lineRule="auto"/>
              <w:ind w:firstLine="596"/>
              <w:jc w:val="both"/>
              <w:rPr>
                <w:color w:val="000000"/>
                <w:szCs w:val="24"/>
                <w:lang w:eastAsia="lt-LT"/>
              </w:rPr>
            </w:pPr>
            <w:r>
              <w:rPr>
                <w:color w:val="000000"/>
                <w:szCs w:val="24"/>
                <w:lang w:eastAsia="lt-LT"/>
              </w:rPr>
              <w:lastRenderedPageBreak/>
              <w:t xml:space="preserve">AEI projekte numatyti pakeitimai dėl atsinaujinančių išteklių energijos bendrijų turės teigiamą poveikį ekonomikai, kadangi tai skatins </w:t>
            </w:r>
            <w:r w:rsidR="00945374">
              <w:rPr>
                <w:color w:val="000000"/>
                <w:szCs w:val="24"/>
                <w:lang w:eastAsia="lt-LT"/>
              </w:rPr>
              <w:t xml:space="preserve">naujų projektų </w:t>
            </w:r>
            <w:r w:rsidR="00C213FD">
              <w:rPr>
                <w:color w:val="000000"/>
                <w:szCs w:val="24"/>
                <w:lang w:eastAsia="lt-LT"/>
              </w:rPr>
              <w:t>kūrimą</w:t>
            </w:r>
            <w:r w:rsidR="00CA257E">
              <w:rPr>
                <w:color w:val="000000"/>
                <w:szCs w:val="24"/>
                <w:lang w:eastAsia="lt-LT"/>
              </w:rPr>
              <w:t>, kas prisidės prie konkrečios bendruomenės, kuriančios atsinaujinančių išteklių energijos bendriją, ekonominės, socialinės ir aplinkosauginės gerovės.</w:t>
            </w:r>
          </w:p>
          <w:p w14:paraId="41D15DE4" w14:textId="43D23C52" w:rsidR="008D0DE9" w:rsidRPr="00A53FFB" w:rsidRDefault="008D0DE9" w:rsidP="0080248D">
            <w:pPr>
              <w:jc w:val="both"/>
              <w:rPr>
                <w:szCs w:val="24"/>
              </w:rPr>
            </w:pPr>
          </w:p>
        </w:tc>
      </w:tr>
      <w:tr w:rsidR="00015E53" w:rsidRPr="00A53FFB" w14:paraId="590164E1" w14:textId="77777777" w:rsidTr="00C36533">
        <w:tc>
          <w:tcPr>
            <w:tcW w:w="1843" w:type="dxa"/>
            <w:tcBorders>
              <w:top w:val="nil"/>
              <w:left w:val="nil"/>
              <w:bottom w:val="nil"/>
              <w:right w:val="nil"/>
            </w:tcBorders>
            <w:shd w:val="clear" w:color="auto" w:fill="DBE5F1"/>
          </w:tcPr>
          <w:p w14:paraId="16CFB6F4" w14:textId="77777777" w:rsidR="00015E53" w:rsidRPr="00A53FFB" w:rsidRDefault="00015E53" w:rsidP="00C36533">
            <w:pPr>
              <w:shd w:val="clear" w:color="auto" w:fill="DBE5F1"/>
              <w:rPr>
                <w:b/>
                <w:szCs w:val="24"/>
              </w:rPr>
            </w:pPr>
          </w:p>
        </w:tc>
        <w:tc>
          <w:tcPr>
            <w:tcW w:w="7796" w:type="dxa"/>
            <w:tcBorders>
              <w:top w:val="nil"/>
              <w:left w:val="nil"/>
              <w:bottom w:val="nil"/>
              <w:right w:val="nil"/>
            </w:tcBorders>
          </w:tcPr>
          <w:p w14:paraId="39AA656A" w14:textId="77777777" w:rsidR="00015E53" w:rsidRPr="00A53FFB" w:rsidRDefault="00015E53" w:rsidP="00C36533">
            <w:pPr>
              <w:jc w:val="both"/>
              <w:rPr>
                <w:szCs w:val="24"/>
              </w:rPr>
            </w:pPr>
          </w:p>
        </w:tc>
      </w:tr>
    </w:tbl>
    <w:p w14:paraId="7E7EFEA6" w14:textId="68FC0F80" w:rsidR="00015E53" w:rsidRDefault="00015E53" w:rsidP="009D08A2">
      <w:pPr>
        <w:rPr>
          <w:i/>
          <w:szCs w:val="24"/>
        </w:rPr>
      </w:pPr>
    </w:p>
    <w:p w14:paraId="28EBA29A" w14:textId="77777777" w:rsidR="00015E53" w:rsidRPr="00A53FFB" w:rsidRDefault="00015E53" w:rsidP="009D08A2">
      <w:pPr>
        <w:rPr>
          <w:i/>
          <w:szCs w:val="24"/>
        </w:rPr>
      </w:pPr>
    </w:p>
    <w:tbl>
      <w:tblPr>
        <w:tblW w:w="9639" w:type="dxa"/>
        <w:tblLook w:val="00A0" w:firstRow="1" w:lastRow="0" w:firstColumn="1" w:lastColumn="0" w:noHBand="0" w:noVBand="0"/>
      </w:tblPr>
      <w:tblGrid>
        <w:gridCol w:w="9639"/>
      </w:tblGrid>
      <w:tr w:rsidR="009D08A2" w:rsidRPr="00A53FFB" w14:paraId="54C75C6C" w14:textId="77777777" w:rsidTr="004B02AB">
        <w:trPr>
          <w:trHeight w:val="458"/>
        </w:trPr>
        <w:tc>
          <w:tcPr>
            <w:tcW w:w="9639" w:type="dxa"/>
            <w:vMerge w:val="restart"/>
            <w:shd w:val="clear" w:color="auto" w:fill="DBE5F1"/>
            <w:hideMark/>
          </w:tcPr>
          <w:p w14:paraId="3D6C67C3" w14:textId="77777777" w:rsidR="009D08A2" w:rsidRPr="00A53FFB" w:rsidRDefault="009D08A2" w:rsidP="0014211B">
            <w:pPr>
              <w:rPr>
                <w:b/>
                <w:szCs w:val="24"/>
              </w:rPr>
            </w:pPr>
            <w:r w:rsidRPr="00A53FFB">
              <w:rPr>
                <w:b/>
                <w:szCs w:val="24"/>
              </w:rPr>
              <w:t>Kita svarbi informacija</w:t>
            </w:r>
          </w:p>
          <w:p w14:paraId="02D587CC" w14:textId="5E09D86D" w:rsidR="009D08A2" w:rsidRPr="00A53FFB" w:rsidRDefault="00E62A4B">
            <w:pPr>
              <w:jc w:val="both"/>
              <w:rPr>
                <w:b/>
                <w:szCs w:val="24"/>
              </w:rPr>
            </w:pPr>
            <w:r>
              <w:rPr>
                <w:szCs w:val="24"/>
              </w:rPr>
              <w:t>AIE</w:t>
            </w:r>
            <w:r w:rsidR="00293664">
              <w:rPr>
                <w:szCs w:val="24"/>
              </w:rPr>
              <w:t xml:space="preserve"> įstatymo pakeitimai</w:t>
            </w:r>
            <w:r w:rsidR="002C507F">
              <w:rPr>
                <w:szCs w:val="24"/>
              </w:rPr>
              <w:t>, susiję su tinklų plėtra, reikalinga jūrinėje teritorijoje numatomų įrengti elektrinių prijungimui</w:t>
            </w:r>
            <w:r w:rsidR="00300DC3">
              <w:rPr>
                <w:szCs w:val="24"/>
              </w:rPr>
              <w:t>, bei susijusių išlaidų padengimu</w:t>
            </w:r>
            <w:r w:rsidR="00293664">
              <w:rPr>
                <w:szCs w:val="24"/>
              </w:rPr>
              <w:t xml:space="preserve"> paremti kitų šalių </w:t>
            </w:r>
            <w:r w:rsidR="008A2A08">
              <w:rPr>
                <w:szCs w:val="24"/>
              </w:rPr>
              <w:t xml:space="preserve">taikoma </w:t>
            </w:r>
            <w:r w:rsidR="00293664">
              <w:rPr>
                <w:szCs w:val="24"/>
              </w:rPr>
              <w:t>praktika</w:t>
            </w:r>
            <w:r w:rsidR="004505E8">
              <w:rPr>
                <w:szCs w:val="24"/>
              </w:rPr>
              <w:t xml:space="preserve"> (Danija, Švedija, Vokietija, Nyderlandai)</w:t>
            </w:r>
            <w:r w:rsidR="002C507F">
              <w:rPr>
                <w:szCs w:val="24"/>
              </w:rPr>
              <w:t>.</w:t>
            </w:r>
          </w:p>
        </w:tc>
      </w:tr>
      <w:tr w:rsidR="009D08A2" w:rsidRPr="00A53FFB" w14:paraId="2A310260" w14:textId="77777777" w:rsidTr="004B02AB">
        <w:trPr>
          <w:trHeight w:val="458"/>
        </w:trPr>
        <w:tc>
          <w:tcPr>
            <w:tcW w:w="9639" w:type="dxa"/>
            <w:vMerge/>
            <w:vAlign w:val="center"/>
            <w:hideMark/>
          </w:tcPr>
          <w:p w14:paraId="7F3187BB" w14:textId="77777777" w:rsidR="009D08A2" w:rsidRPr="00A53FFB" w:rsidRDefault="009D08A2" w:rsidP="0014211B">
            <w:pPr>
              <w:rPr>
                <w:b/>
                <w:szCs w:val="24"/>
              </w:rPr>
            </w:pPr>
          </w:p>
        </w:tc>
      </w:tr>
      <w:tr w:rsidR="009D08A2" w:rsidRPr="00A53FFB" w14:paraId="4BF51BA2" w14:textId="77777777" w:rsidTr="004B02AB">
        <w:trPr>
          <w:trHeight w:val="458"/>
        </w:trPr>
        <w:tc>
          <w:tcPr>
            <w:tcW w:w="9639" w:type="dxa"/>
            <w:vMerge/>
            <w:vAlign w:val="center"/>
            <w:hideMark/>
          </w:tcPr>
          <w:p w14:paraId="3534F704" w14:textId="77777777" w:rsidR="009D08A2" w:rsidRPr="00A53FFB" w:rsidRDefault="009D08A2" w:rsidP="0014211B">
            <w:pPr>
              <w:rPr>
                <w:b/>
                <w:szCs w:val="24"/>
              </w:rPr>
            </w:pPr>
          </w:p>
        </w:tc>
      </w:tr>
    </w:tbl>
    <w:p w14:paraId="328B9B46" w14:textId="77777777" w:rsidR="000045CB" w:rsidRDefault="000045CB" w:rsidP="009D08A2">
      <w:pPr>
        <w:pStyle w:val="ListParagraph1"/>
        <w:ind w:left="0"/>
        <w:contextualSpacing/>
        <w:jc w:val="both"/>
        <w:rPr>
          <w:b/>
          <w:szCs w:val="24"/>
        </w:rPr>
      </w:pPr>
    </w:p>
    <w:p w14:paraId="1532051F" w14:textId="77777777" w:rsidR="009D08A2" w:rsidRPr="00A53FFB" w:rsidRDefault="009D08A2" w:rsidP="009D08A2">
      <w:pPr>
        <w:pStyle w:val="ListParagraph1"/>
        <w:ind w:left="0"/>
        <w:contextualSpacing/>
        <w:jc w:val="both"/>
        <w:rPr>
          <w:b/>
          <w:szCs w:val="24"/>
        </w:rPr>
      </w:pPr>
      <w:r w:rsidRPr="00A53FFB">
        <w:rPr>
          <w:b/>
          <w:szCs w:val="24"/>
        </w:rPr>
        <w:t>Informacija apie asmenį ir instituciją, atsakingą už poveikio vertinimą</w:t>
      </w:r>
    </w:p>
    <w:p w14:paraId="3AFB45FC" w14:textId="77777777" w:rsidR="009D08A2" w:rsidRPr="00A53FFB" w:rsidRDefault="009D08A2" w:rsidP="009D08A2">
      <w:pPr>
        <w:pStyle w:val="ListParagraph1"/>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3"/>
        <w:gridCol w:w="6895"/>
      </w:tblGrid>
      <w:tr w:rsidR="009D08A2" w:rsidRPr="00A53FFB" w14:paraId="53D9D0BC"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4B8B893" w14:textId="77777777" w:rsidR="009D08A2" w:rsidRPr="00A53FFB" w:rsidRDefault="009D08A2" w:rsidP="0014211B">
            <w:pPr>
              <w:pStyle w:val="ListParagraph1"/>
              <w:ind w:left="0"/>
              <w:rPr>
                <w:szCs w:val="24"/>
              </w:rPr>
            </w:pPr>
            <w:r w:rsidRPr="00A53FFB">
              <w:rPr>
                <w:szCs w:val="24"/>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44E57509" w14:textId="77777777" w:rsidR="0075281E" w:rsidRDefault="00806CB2" w:rsidP="00C73D95">
            <w:pPr>
              <w:pStyle w:val="ListParagraph1"/>
              <w:ind w:left="0"/>
              <w:rPr>
                <w:szCs w:val="24"/>
              </w:rPr>
            </w:pPr>
            <w:r>
              <w:rPr>
                <w:szCs w:val="24"/>
              </w:rPr>
              <w:t>Jevgenija Jankevič</w:t>
            </w:r>
            <w:r w:rsidR="00D57409">
              <w:rPr>
                <w:szCs w:val="24"/>
              </w:rPr>
              <w:t xml:space="preserve">, </w:t>
            </w:r>
          </w:p>
          <w:p w14:paraId="4D8DCC0C" w14:textId="3EFE829C" w:rsidR="00F44FCA" w:rsidRPr="00A53FFB" w:rsidRDefault="00D57409" w:rsidP="00C73D95">
            <w:pPr>
              <w:pStyle w:val="ListParagraph1"/>
              <w:ind w:left="0"/>
              <w:rPr>
                <w:szCs w:val="24"/>
              </w:rPr>
            </w:pPr>
            <w:r>
              <w:rPr>
                <w:szCs w:val="24"/>
              </w:rPr>
              <w:t>Lina Sveklaitė</w:t>
            </w:r>
          </w:p>
        </w:tc>
      </w:tr>
      <w:tr w:rsidR="009D08A2" w:rsidRPr="00A53FFB" w14:paraId="0D03A5F0"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629971C" w14:textId="77777777" w:rsidR="009D08A2" w:rsidRPr="00A53FFB" w:rsidRDefault="009D08A2" w:rsidP="0014211B">
            <w:pPr>
              <w:pStyle w:val="ListParagraph1"/>
              <w:ind w:left="0"/>
              <w:rPr>
                <w:b/>
                <w:szCs w:val="24"/>
              </w:rPr>
            </w:pPr>
            <w:r w:rsidRPr="00A53FFB">
              <w:rPr>
                <w:szCs w:val="24"/>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55ABA3F7" w14:textId="66129D3B" w:rsidR="00F44FCA" w:rsidRDefault="00806CB2" w:rsidP="00806CB2">
            <w:pPr>
              <w:pStyle w:val="ListParagraph1"/>
              <w:ind w:left="0"/>
              <w:jc w:val="both"/>
              <w:rPr>
                <w:szCs w:val="24"/>
              </w:rPr>
            </w:pPr>
            <w:r>
              <w:rPr>
                <w:szCs w:val="24"/>
              </w:rPr>
              <w:t>Klimato kaitos valdymo</w:t>
            </w:r>
            <w:r w:rsidR="003B7320" w:rsidRPr="00A53FFB">
              <w:rPr>
                <w:szCs w:val="24"/>
              </w:rPr>
              <w:t xml:space="preserve"> grupės </w:t>
            </w:r>
            <w:r>
              <w:rPr>
                <w:szCs w:val="24"/>
              </w:rPr>
              <w:t>vyr.</w:t>
            </w:r>
            <w:r w:rsidR="0075281E">
              <w:rPr>
                <w:szCs w:val="24"/>
              </w:rPr>
              <w:t xml:space="preserve"> </w:t>
            </w:r>
            <w:r>
              <w:rPr>
                <w:szCs w:val="24"/>
              </w:rPr>
              <w:t>specialistė</w:t>
            </w:r>
          </w:p>
          <w:p w14:paraId="6496ECB4" w14:textId="374B7D4C" w:rsidR="0075281E" w:rsidRPr="00A53FFB" w:rsidRDefault="0075281E" w:rsidP="00806CB2">
            <w:pPr>
              <w:pStyle w:val="ListParagraph1"/>
              <w:ind w:left="0"/>
              <w:jc w:val="both"/>
              <w:rPr>
                <w:szCs w:val="24"/>
              </w:rPr>
            </w:pPr>
            <w:r>
              <w:rPr>
                <w:szCs w:val="24"/>
              </w:rPr>
              <w:t>Klimato kaitos valdymo grupės patarėja</w:t>
            </w:r>
          </w:p>
        </w:tc>
      </w:tr>
      <w:tr w:rsidR="009D08A2" w:rsidRPr="00A53FFB" w14:paraId="18190D32"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00194EB" w14:textId="77777777" w:rsidR="009D08A2" w:rsidRPr="00A53FFB" w:rsidRDefault="009D08A2" w:rsidP="0014211B">
            <w:pPr>
              <w:pStyle w:val="ListParagraph1"/>
              <w:ind w:left="0"/>
              <w:rPr>
                <w:b/>
                <w:szCs w:val="24"/>
              </w:rPr>
            </w:pPr>
            <w:r w:rsidRPr="00A53FFB">
              <w:rPr>
                <w:szCs w:val="24"/>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7BAE612" w14:textId="77777777" w:rsidR="009D08A2" w:rsidRPr="00A53FFB" w:rsidRDefault="00731029" w:rsidP="0014211B">
            <w:pPr>
              <w:pStyle w:val="ListParagraph1"/>
              <w:ind w:left="0"/>
              <w:jc w:val="both"/>
              <w:rPr>
                <w:szCs w:val="24"/>
              </w:rPr>
            </w:pPr>
            <w:r w:rsidRPr="00A53FFB">
              <w:rPr>
                <w:szCs w:val="24"/>
              </w:rPr>
              <w:t>E</w:t>
            </w:r>
            <w:r w:rsidR="00C73D95" w:rsidRPr="00A53FFB">
              <w:rPr>
                <w:szCs w:val="24"/>
              </w:rPr>
              <w:t>nergetikos ministerija</w:t>
            </w:r>
          </w:p>
        </w:tc>
      </w:tr>
      <w:tr w:rsidR="009D08A2" w:rsidRPr="00A53FFB" w14:paraId="70C263CE"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41BE3AD" w14:textId="77777777" w:rsidR="009D08A2" w:rsidRPr="00A53FFB" w:rsidRDefault="009D08A2" w:rsidP="0014211B">
            <w:pPr>
              <w:pStyle w:val="ListParagraph1"/>
              <w:ind w:left="0"/>
              <w:rPr>
                <w:szCs w:val="24"/>
              </w:rPr>
            </w:pPr>
            <w:r w:rsidRPr="00A53FFB">
              <w:rPr>
                <w:szCs w:val="24"/>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254439E" w14:textId="79C55962" w:rsidR="00F44FCA" w:rsidRDefault="0067572B" w:rsidP="0014211B">
            <w:pPr>
              <w:pStyle w:val="ListParagraph1"/>
              <w:ind w:left="0"/>
              <w:jc w:val="both"/>
            </w:pPr>
            <w:r w:rsidRPr="00A53FFB">
              <w:rPr>
                <w:szCs w:val="24"/>
              </w:rPr>
              <w:t>(8 5) 203 4</w:t>
            </w:r>
            <w:r w:rsidR="003B21BF">
              <w:rPr>
                <w:szCs w:val="24"/>
              </w:rPr>
              <w:t>667</w:t>
            </w:r>
            <w:r w:rsidRPr="00A53FFB">
              <w:rPr>
                <w:szCs w:val="24"/>
              </w:rPr>
              <w:t xml:space="preserve">, papild. </w:t>
            </w:r>
            <w:r w:rsidR="003B21BF">
              <w:rPr>
                <w:szCs w:val="24"/>
              </w:rPr>
              <w:t>6</w:t>
            </w:r>
            <w:r w:rsidRPr="00A53FFB">
              <w:rPr>
                <w:szCs w:val="24"/>
              </w:rPr>
              <w:t>,</w:t>
            </w:r>
            <w:r w:rsidR="00EF0070" w:rsidRPr="00A53FFB">
              <w:rPr>
                <w:szCs w:val="24"/>
              </w:rPr>
              <w:t xml:space="preserve"> el. p.</w:t>
            </w:r>
            <w:r w:rsidR="009A4200" w:rsidRPr="00A53FFB">
              <w:rPr>
                <w:szCs w:val="24"/>
              </w:rPr>
              <w:t xml:space="preserve"> </w:t>
            </w:r>
            <w:r w:rsidR="0075281E" w:rsidRPr="004A1CD8">
              <w:t>jevgenija.jankevic@enmin.lt</w:t>
            </w:r>
          </w:p>
          <w:p w14:paraId="0CFA1348" w14:textId="141969FD" w:rsidR="0075281E" w:rsidRPr="00A53FFB" w:rsidRDefault="0075281E" w:rsidP="0014211B">
            <w:pPr>
              <w:pStyle w:val="ListParagraph1"/>
              <w:ind w:left="0"/>
              <w:jc w:val="both"/>
              <w:rPr>
                <w:szCs w:val="24"/>
              </w:rPr>
            </w:pPr>
            <w:r>
              <w:t>(8 5) 203 4667, papild. 2, el. p. lina.sveklaite@enmin.lt</w:t>
            </w:r>
          </w:p>
        </w:tc>
      </w:tr>
    </w:tbl>
    <w:p w14:paraId="6C7BCDF2" w14:textId="6905CF51" w:rsidR="002C598E" w:rsidRPr="00A53FFB" w:rsidRDefault="002C598E">
      <w:pPr>
        <w:rPr>
          <w:szCs w:val="24"/>
        </w:rPr>
      </w:pPr>
    </w:p>
    <w:p w14:paraId="5DCA1C72" w14:textId="77777777" w:rsidR="00981B69" w:rsidRPr="00A53FFB" w:rsidRDefault="00981B69" w:rsidP="00981B69">
      <w:pPr>
        <w:jc w:val="both"/>
        <w:rPr>
          <w:szCs w:val="24"/>
        </w:rPr>
      </w:pPr>
    </w:p>
    <w:p w14:paraId="1EEF4F83" w14:textId="15FC3D62" w:rsidR="00981B69" w:rsidRPr="00A53FFB" w:rsidRDefault="00981B69" w:rsidP="00A96BA7">
      <w:pPr>
        <w:pStyle w:val="Antrats"/>
        <w:tabs>
          <w:tab w:val="left" w:pos="6237"/>
        </w:tabs>
        <w:jc w:val="center"/>
        <w:rPr>
          <w:szCs w:val="24"/>
        </w:rPr>
      </w:pPr>
      <w:r w:rsidRPr="00A53FFB">
        <w:rPr>
          <w:szCs w:val="24"/>
        </w:rPr>
        <w:t>__________________</w:t>
      </w:r>
    </w:p>
    <w:sectPr w:rsidR="00981B69" w:rsidRPr="00A53FFB" w:rsidSect="004B02AB">
      <w:headerReference w:type="default" r:id="rId11"/>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3BC3C" w14:textId="77777777" w:rsidR="00473D3A" w:rsidRDefault="00473D3A" w:rsidP="006D5EA5">
      <w:r>
        <w:separator/>
      </w:r>
    </w:p>
  </w:endnote>
  <w:endnote w:type="continuationSeparator" w:id="0">
    <w:p w14:paraId="18617EDF" w14:textId="77777777" w:rsidR="00473D3A" w:rsidRDefault="00473D3A" w:rsidP="006D5EA5">
      <w:r>
        <w:continuationSeparator/>
      </w:r>
    </w:p>
  </w:endnote>
  <w:endnote w:type="continuationNotice" w:id="1">
    <w:p w14:paraId="08EF9566" w14:textId="77777777" w:rsidR="00F83417" w:rsidRDefault="00F83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CC59D" w14:textId="77777777" w:rsidR="00473D3A" w:rsidRDefault="00473D3A" w:rsidP="006D5EA5">
      <w:r>
        <w:separator/>
      </w:r>
    </w:p>
  </w:footnote>
  <w:footnote w:type="continuationSeparator" w:id="0">
    <w:p w14:paraId="621E3FD3" w14:textId="77777777" w:rsidR="00473D3A" w:rsidRDefault="00473D3A" w:rsidP="006D5EA5">
      <w:r>
        <w:continuationSeparator/>
      </w:r>
    </w:p>
  </w:footnote>
  <w:footnote w:type="continuationNotice" w:id="1">
    <w:p w14:paraId="1EA320D8" w14:textId="77777777" w:rsidR="00F83417" w:rsidRDefault="00F834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8020"/>
      <w:docPartObj>
        <w:docPartGallery w:val="Page Numbers (Top of Page)"/>
        <w:docPartUnique/>
      </w:docPartObj>
    </w:sdtPr>
    <w:sdtEndPr/>
    <w:sdtContent>
      <w:p w14:paraId="610B6EAF" w14:textId="55CCABB2" w:rsidR="00D56F01" w:rsidRDefault="00D56F01">
        <w:pPr>
          <w:pStyle w:val="Antrats"/>
          <w:jc w:val="center"/>
        </w:pPr>
        <w:r>
          <w:fldChar w:fldCharType="begin"/>
        </w:r>
        <w:r>
          <w:instrText>PAGE   \* MERGEFORMAT</w:instrText>
        </w:r>
        <w:r>
          <w:fldChar w:fldCharType="separate"/>
        </w:r>
        <w:r w:rsidR="00691805">
          <w:rPr>
            <w:noProof/>
          </w:rPr>
          <w:t>3</w:t>
        </w:r>
        <w:r>
          <w:fldChar w:fldCharType="end"/>
        </w:r>
      </w:p>
    </w:sdtContent>
  </w:sdt>
  <w:p w14:paraId="0EA22CDC" w14:textId="77777777" w:rsidR="00D56F01" w:rsidRDefault="00D56F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CFE"/>
    <w:multiLevelType w:val="hybridMultilevel"/>
    <w:tmpl w:val="4468DD94"/>
    <w:lvl w:ilvl="0" w:tplc="7AD489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43B5B"/>
    <w:multiLevelType w:val="hybridMultilevel"/>
    <w:tmpl w:val="4F26BFDC"/>
    <w:lvl w:ilvl="0" w:tplc="3A7E4B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912149B"/>
    <w:multiLevelType w:val="hybridMultilevel"/>
    <w:tmpl w:val="403EE276"/>
    <w:lvl w:ilvl="0" w:tplc="E7F431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9303B7"/>
    <w:multiLevelType w:val="hybridMultilevel"/>
    <w:tmpl w:val="7812D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8F1CCC"/>
    <w:multiLevelType w:val="hybridMultilevel"/>
    <w:tmpl w:val="742C317E"/>
    <w:lvl w:ilvl="0" w:tplc="2F309850">
      <w:start w:val="1"/>
      <w:numFmt w:val="decimal"/>
      <w:lvlText w:val="%1)"/>
      <w:lvlJc w:val="left"/>
      <w:pPr>
        <w:ind w:left="840" w:hanging="360"/>
      </w:pPr>
      <w:rPr>
        <w:b w:val="0"/>
      </w:rPr>
    </w:lvl>
    <w:lvl w:ilvl="1" w:tplc="04270019">
      <w:start w:val="1"/>
      <w:numFmt w:val="lowerLetter"/>
      <w:lvlText w:val="%2."/>
      <w:lvlJc w:val="left"/>
      <w:pPr>
        <w:ind w:left="1560" w:hanging="360"/>
      </w:pPr>
    </w:lvl>
    <w:lvl w:ilvl="2" w:tplc="0427001B">
      <w:start w:val="1"/>
      <w:numFmt w:val="lowerRoman"/>
      <w:lvlText w:val="%3."/>
      <w:lvlJc w:val="right"/>
      <w:pPr>
        <w:ind w:left="2280" w:hanging="180"/>
      </w:pPr>
    </w:lvl>
    <w:lvl w:ilvl="3" w:tplc="0427000F">
      <w:start w:val="1"/>
      <w:numFmt w:val="decimal"/>
      <w:lvlText w:val="%4."/>
      <w:lvlJc w:val="left"/>
      <w:pPr>
        <w:ind w:left="3000" w:hanging="360"/>
      </w:pPr>
    </w:lvl>
    <w:lvl w:ilvl="4" w:tplc="04270019">
      <w:start w:val="1"/>
      <w:numFmt w:val="lowerLetter"/>
      <w:lvlText w:val="%5."/>
      <w:lvlJc w:val="left"/>
      <w:pPr>
        <w:ind w:left="3720" w:hanging="360"/>
      </w:pPr>
    </w:lvl>
    <w:lvl w:ilvl="5" w:tplc="0427001B">
      <w:start w:val="1"/>
      <w:numFmt w:val="lowerRoman"/>
      <w:lvlText w:val="%6."/>
      <w:lvlJc w:val="right"/>
      <w:pPr>
        <w:ind w:left="4440" w:hanging="180"/>
      </w:pPr>
    </w:lvl>
    <w:lvl w:ilvl="6" w:tplc="0427000F">
      <w:start w:val="1"/>
      <w:numFmt w:val="decimal"/>
      <w:lvlText w:val="%7."/>
      <w:lvlJc w:val="left"/>
      <w:pPr>
        <w:ind w:left="5160" w:hanging="360"/>
      </w:pPr>
    </w:lvl>
    <w:lvl w:ilvl="7" w:tplc="04270019">
      <w:start w:val="1"/>
      <w:numFmt w:val="lowerLetter"/>
      <w:lvlText w:val="%8."/>
      <w:lvlJc w:val="left"/>
      <w:pPr>
        <w:ind w:left="5880" w:hanging="360"/>
      </w:pPr>
    </w:lvl>
    <w:lvl w:ilvl="8" w:tplc="0427001B">
      <w:start w:val="1"/>
      <w:numFmt w:val="lowerRoman"/>
      <w:lvlText w:val="%9."/>
      <w:lvlJc w:val="right"/>
      <w:pPr>
        <w:ind w:left="6600" w:hanging="180"/>
      </w:pPr>
    </w:lvl>
  </w:abstractNum>
  <w:abstractNum w:abstractNumId="5" w15:restartNumberingAfterBreak="0">
    <w:nsid w:val="439A1CB0"/>
    <w:multiLevelType w:val="hybridMultilevel"/>
    <w:tmpl w:val="0FFC9D2C"/>
    <w:lvl w:ilvl="0" w:tplc="DC6831FC">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092128"/>
    <w:multiLevelType w:val="hybridMultilevel"/>
    <w:tmpl w:val="49FE2A7C"/>
    <w:lvl w:ilvl="0" w:tplc="C3EA7CE8">
      <w:start w:val="101"/>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5764D0"/>
    <w:multiLevelType w:val="hybridMultilevel"/>
    <w:tmpl w:val="402EB0BE"/>
    <w:lvl w:ilvl="0" w:tplc="04270011">
      <w:start w:val="1"/>
      <w:numFmt w:val="decimal"/>
      <w:lvlText w:val="%1)"/>
      <w:lvlJc w:val="left"/>
      <w:pPr>
        <w:ind w:left="928"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4129B5"/>
    <w:multiLevelType w:val="hybridMultilevel"/>
    <w:tmpl w:val="9BFECAC6"/>
    <w:lvl w:ilvl="0" w:tplc="D26E7204">
      <w:start w:val="1"/>
      <w:numFmt w:val="decimal"/>
      <w:lvlText w:val="(%1)"/>
      <w:lvlJc w:val="left"/>
      <w:pPr>
        <w:ind w:left="956" w:hanging="360"/>
      </w:pPr>
      <w:rPr>
        <w:rFonts w:hint="default"/>
      </w:rPr>
    </w:lvl>
    <w:lvl w:ilvl="1" w:tplc="04270019" w:tentative="1">
      <w:start w:val="1"/>
      <w:numFmt w:val="lowerLetter"/>
      <w:lvlText w:val="%2."/>
      <w:lvlJc w:val="left"/>
      <w:pPr>
        <w:ind w:left="1676" w:hanging="360"/>
      </w:pPr>
    </w:lvl>
    <w:lvl w:ilvl="2" w:tplc="0427001B" w:tentative="1">
      <w:start w:val="1"/>
      <w:numFmt w:val="lowerRoman"/>
      <w:lvlText w:val="%3."/>
      <w:lvlJc w:val="right"/>
      <w:pPr>
        <w:ind w:left="2396" w:hanging="180"/>
      </w:pPr>
    </w:lvl>
    <w:lvl w:ilvl="3" w:tplc="0427000F" w:tentative="1">
      <w:start w:val="1"/>
      <w:numFmt w:val="decimal"/>
      <w:lvlText w:val="%4."/>
      <w:lvlJc w:val="left"/>
      <w:pPr>
        <w:ind w:left="3116" w:hanging="360"/>
      </w:pPr>
    </w:lvl>
    <w:lvl w:ilvl="4" w:tplc="04270019" w:tentative="1">
      <w:start w:val="1"/>
      <w:numFmt w:val="lowerLetter"/>
      <w:lvlText w:val="%5."/>
      <w:lvlJc w:val="left"/>
      <w:pPr>
        <w:ind w:left="3836" w:hanging="360"/>
      </w:pPr>
    </w:lvl>
    <w:lvl w:ilvl="5" w:tplc="0427001B" w:tentative="1">
      <w:start w:val="1"/>
      <w:numFmt w:val="lowerRoman"/>
      <w:lvlText w:val="%6."/>
      <w:lvlJc w:val="right"/>
      <w:pPr>
        <w:ind w:left="4556" w:hanging="180"/>
      </w:pPr>
    </w:lvl>
    <w:lvl w:ilvl="6" w:tplc="0427000F" w:tentative="1">
      <w:start w:val="1"/>
      <w:numFmt w:val="decimal"/>
      <w:lvlText w:val="%7."/>
      <w:lvlJc w:val="left"/>
      <w:pPr>
        <w:ind w:left="5276" w:hanging="360"/>
      </w:pPr>
    </w:lvl>
    <w:lvl w:ilvl="7" w:tplc="04270019" w:tentative="1">
      <w:start w:val="1"/>
      <w:numFmt w:val="lowerLetter"/>
      <w:lvlText w:val="%8."/>
      <w:lvlJc w:val="left"/>
      <w:pPr>
        <w:ind w:left="5996" w:hanging="360"/>
      </w:pPr>
    </w:lvl>
    <w:lvl w:ilvl="8" w:tplc="0427001B" w:tentative="1">
      <w:start w:val="1"/>
      <w:numFmt w:val="lowerRoman"/>
      <w:lvlText w:val="%9."/>
      <w:lvlJc w:val="right"/>
      <w:pPr>
        <w:ind w:left="6716" w:hanging="180"/>
      </w:p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B04"/>
    <w:rsid w:val="00000856"/>
    <w:rsid w:val="000045CB"/>
    <w:rsid w:val="00014684"/>
    <w:rsid w:val="0001480A"/>
    <w:rsid w:val="0001580D"/>
    <w:rsid w:val="000158CB"/>
    <w:rsid w:val="0001598D"/>
    <w:rsid w:val="00015E53"/>
    <w:rsid w:val="0002087D"/>
    <w:rsid w:val="0002432B"/>
    <w:rsid w:val="0002566F"/>
    <w:rsid w:val="00025A4D"/>
    <w:rsid w:val="0003286A"/>
    <w:rsid w:val="00033731"/>
    <w:rsid w:val="00036FF2"/>
    <w:rsid w:val="000402C3"/>
    <w:rsid w:val="00042479"/>
    <w:rsid w:val="00046F51"/>
    <w:rsid w:val="00047665"/>
    <w:rsid w:val="000574BF"/>
    <w:rsid w:val="00061E59"/>
    <w:rsid w:val="000648B0"/>
    <w:rsid w:val="0006497C"/>
    <w:rsid w:val="0007162F"/>
    <w:rsid w:val="00073B41"/>
    <w:rsid w:val="00073F22"/>
    <w:rsid w:val="000865B0"/>
    <w:rsid w:val="00090062"/>
    <w:rsid w:val="00090DEF"/>
    <w:rsid w:val="00093E13"/>
    <w:rsid w:val="00094EB8"/>
    <w:rsid w:val="00097AFA"/>
    <w:rsid w:val="000A0835"/>
    <w:rsid w:val="000B0C85"/>
    <w:rsid w:val="000B5212"/>
    <w:rsid w:val="000C69F4"/>
    <w:rsid w:val="000D25DA"/>
    <w:rsid w:val="000D7612"/>
    <w:rsid w:val="000E0EF3"/>
    <w:rsid w:val="000E224A"/>
    <w:rsid w:val="000F301E"/>
    <w:rsid w:val="000F6011"/>
    <w:rsid w:val="001071CC"/>
    <w:rsid w:val="00110CAE"/>
    <w:rsid w:val="00131242"/>
    <w:rsid w:val="001328B5"/>
    <w:rsid w:val="00135B0C"/>
    <w:rsid w:val="0013713A"/>
    <w:rsid w:val="0014313E"/>
    <w:rsid w:val="00145C39"/>
    <w:rsid w:val="00156C2A"/>
    <w:rsid w:val="001641FA"/>
    <w:rsid w:val="001722B6"/>
    <w:rsid w:val="00172D39"/>
    <w:rsid w:val="001737F3"/>
    <w:rsid w:val="00174B73"/>
    <w:rsid w:val="00180973"/>
    <w:rsid w:val="001816C2"/>
    <w:rsid w:val="00183594"/>
    <w:rsid w:val="00190F0D"/>
    <w:rsid w:val="0019253F"/>
    <w:rsid w:val="001939F9"/>
    <w:rsid w:val="001952AC"/>
    <w:rsid w:val="00197170"/>
    <w:rsid w:val="001A207E"/>
    <w:rsid w:val="001A6453"/>
    <w:rsid w:val="001A6AF1"/>
    <w:rsid w:val="001B0061"/>
    <w:rsid w:val="001B22A8"/>
    <w:rsid w:val="001B7D10"/>
    <w:rsid w:val="001C037C"/>
    <w:rsid w:val="001C273F"/>
    <w:rsid w:val="001D0096"/>
    <w:rsid w:val="001D4D78"/>
    <w:rsid w:val="001E4379"/>
    <w:rsid w:val="001E56E4"/>
    <w:rsid w:val="001F6384"/>
    <w:rsid w:val="00201195"/>
    <w:rsid w:val="002152BA"/>
    <w:rsid w:val="00217D21"/>
    <w:rsid w:val="00223EB5"/>
    <w:rsid w:val="00241A36"/>
    <w:rsid w:val="0024292C"/>
    <w:rsid w:val="00252C86"/>
    <w:rsid w:val="00252D20"/>
    <w:rsid w:val="00257699"/>
    <w:rsid w:val="00261148"/>
    <w:rsid w:val="00267F4D"/>
    <w:rsid w:val="00271D3C"/>
    <w:rsid w:val="00272C11"/>
    <w:rsid w:val="00276050"/>
    <w:rsid w:val="00277795"/>
    <w:rsid w:val="00277873"/>
    <w:rsid w:val="002801B9"/>
    <w:rsid w:val="00280CDA"/>
    <w:rsid w:val="00286E15"/>
    <w:rsid w:val="00287CD6"/>
    <w:rsid w:val="00293664"/>
    <w:rsid w:val="002A2EAC"/>
    <w:rsid w:val="002A4B67"/>
    <w:rsid w:val="002A61A6"/>
    <w:rsid w:val="002A7798"/>
    <w:rsid w:val="002B1072"/>
    <w:rsid w:val="002B4A5D"/>
    <w:rsid w:val="002C44DC"/>
    <w:rsid w:val="002C507F"/>
    <w:rsid w:val="002C598E"/>
    <w:rsid w:val="002C793A"/>
    <w:rsid w:val="002D5A74"/>
    <w:rsid w:val="002E4F12"/>
    <w:rsid w:val="002E70EF"/>
    <w:rsid w:val="002F30E6"/>
    <w:rsid w:val="00300DC3"/>
    <w:rsid w:val="003016A7"/>
    <w:rsid w:val="00305278"/>
    <w:rsid w:val="0031223D"/>
    <w:rsid w:val="00312A45"/>
    <w:rsid w:val="003217BF"/>
    <w:rsid w:val="00326E67"/>
    <w:rsid w:val="0033309F"/>
    <w:rsid w:val="00334EE7"/>
    <w:rsid w:val="00343109"/>
    <w:rsid w:val="003564FC"/>
    <w:rsid w:val="003630B7"/>
    <w:rsid w:val="00366FE5"/>
    <w:rsid w:val="00370677"/>
    <w:rsid w:val="00374EC0"/>
    <w:rsid w:val="00396152"/>
    <w:rsid w:val="00397D8A"/>
    <w:rsid w:val="003A1ED8"/>
    <w:rsid w:val="003B21BF"/>
    <w:rsid w:val="003B7320"/>
    <w:rsid w:val="003D2524"/>
    <w:rsid w:val="003D4661"/>
    <w:rsid w:val="003E186A"/>
    <w:rsid w:val="003E6328"/>
    <w:rsid w:val="003F7516"/>
    <w:rsid w:val="00400BC0"/>
    <w:rsid w:val="00403A0F"/>
    <w:rsid w:val="00405656"/>
    <w:rsid w:val="00406A16"/>
    <w:rsid w:val="00412677"/>
    <w:rsid w:val="00416147"/>
    <w:rsid w:val="00422221"/>
    <w:rsid w:val="00423D14"/>
    <w:rsid w:val="0042553A"/>
    <w:rsid w:val="00434A70"/>
    <w:rsid w:val="004429C5"/>
    <w:rsid w:val="00444AEA"/>
    <w:rsid w:val="004505E8"/>
    <w:rsid w:val="00450D51"/>
    <w:rsid w:val="004519AC"/>
    <w:rsid w:val="00455338"/>
    <w:rsid w:val="0045627C"/>
    <w:rsid w:val="00473D3A"/>
    <w:rsid w:val="0047750F"/>
    <w:rsid w:val="004805C9"/>
    <w:rsid w:val="00481245"/>
    <w:rsid w:val="00487E4E"/>
    <w:rsid w:val="00494548"/>
    <w:rsid w:val="00494A26"/>
    <w:rsid w:val="00495D78"/>
    <w:rsid w:val="004975C3"/>
    <w:rsid w:val="004A1CD8"/>
    <w:rsid w:val="004B02AB"/>
    <w:rsid w:val="004B27F7"/>
    <w:rsid w:val="004B5693"/>
    <w:rsid w:val="004C7D44"/>
    <w:rsid w:val="004D1331"/>
    <w:rsid w:val="004D1EE6"/>
    <w:rsid w:val="004D34FC"/>
    <w:rsid w:val="004D7C24"/>
    <w:rsid w:val="004E0E04"/>
    <w:rsid w:val="004E752C"/>
    <w:rsid w:val="0050056D"/>
    <w:rsid w:val="0050188E"/>
    <w:rsid w:val="00513962"/>
    <w:rsid w:val="00515979"/>
    <w:rsid w:val="005216F4"/>
    <w:rsid w:val="00522BDD"/>
    <w:rsid w:val="00522DF2"/>
    <w:rsid w:val="005232AF"/>
    <w:rsid w:val="00525514"/>
    <w:rsid w:val="00535759"/>
    <w:rsid w:val="00560559"/>
    <w:rsid w:val="00573A09"/>
    <w:rsid w:val="00594EB6"/>
    <w:rsid w:val="005A4F44"/>
    <w:rsid w:val="005A6CAE"/>
    <w:rsid w:val="005B0F63"/>
    <w:rsid w:val="005B3816"/>
    <w:rsid w:val="005B3ED4"/>
    <w:rsid w:val="005C5001"/>
    <w:rsid w:val="005C759E"/>
    <w:rsid w:val="005D2A0D"/>
    <w:rsid w:val="005E2D1F"/>
    <w:rsid w:val="005E3B26"/>
    <w:rsid w:val="005E3E3E"/>
    <w:rsid w:val="005E755F"/>
    <w:rsid w:val="005F02E7"/>
    <w:rsid w:val="005F2C7A"/>
    <w:rsid w:val="005F6828"/>
    <w:rsid w:val="0060303F"/>
    <w:rsid w:val="00610352"/>
    <w:rsid w:val="0061222F"/>
    <w:rsid w:val="006124E1"/>
    <w:rsid w:val="006158EC"/>
    <w:rsid w:val="00617844"/>
    <w:rsid w:val="00617CDD"/>
    <w:rsid w:val="00621D61"/>
    <w:rsid w:val="00624F60"/>
    <w:rsid w:val="006250CF"/>
    <w:rsid w:val="00631C7E"/>
    <w:rsid w:val="006346FC"/>
    <w:rsid w:val="00635D1C"/>
    <w:rsid w:val="00642440"/>
    <w:rsid w:val="0064412D"/>
    <w:rsid w:val="0064506B"/>
    <w:rsid w:val="0064686C"/>
    <w:rsid w:val="00663F3F"/>
    <w:rsid w:val="00664EE1"/>
    <w:rsid w:val="00667D2A"/>
    <w:rsid w:val="00667FEE"/>
    <w:rsid w:val="0067572B"/>
    <w:rsid w:val="00681675"/>
    <w:rsid w:val="00686836"/>
    <w:rsid w:val="00691805"/>
    <w:rsid w:val="006A300B"/>
    <w:rsid w:val="006A5429"/>
    <w:rsid w:val="006A6B43"/>
    <w:rsid w:val="006A6EB9"/>
    <w:rsid w:val="006B4F0F"/>
    <w:rsid w:val="006B6CD7"/>
    <w:rsid w:val="006B7C35"/>
    <w:rsid w:val="006C5044"/>
    <w:rsid w:val="006C585A"/>
    <w:rsid w:val="006D1286"/>
    <w:rsid w:val="006D2AF2"/>
    <w:rsid w:val="006D5EA5"/>
    <w:rsid w:val="006D7F87"/>
    <w:rsid w:val="006E3AAB"/>
    <w:rsid w:val="007015DC"/>
    <w:rsid w:val="007029D5"/>
    <w:rsid w:val="0072017A"/>
    <w:rsid w:val="00720B24"/>
    <w:rsid w:val="007222B5"/>
    <w:rsid w:val="00725512"/>
    <w:rsid w:val="00731029"/>
    <w:rsid w:val="007402FC"/>
    <w:rsid w:val="00743D90"/>
    <w:rsid w:val="0075197F"/>
    <w:rsid w:val="0075281E"/>
    <w:rsid w:val="00760CA2"/>
    <w:rsid w:val="007670C7"/>
    <w:rsid w:val="00770998"/>
    <w:rsid w:val="007777C5"/>
    <w:rsid w:val="007834F3"/>
    <w:rsid w:val="0079043E"/>
    <w:rsid w:val="00796DBC"/>
    <w:rsid w:val="00797844"/>
    <w:rsid w:val="007B2EE2"/>
    <w:rsid w:val="007B6003"/>
    <w:rsid w:val="007B7122"/>
    <w:rsid w:val="007B7647"/>
    <w:rsid w:val="007C6C0F"/>
    <w:rsid w:val="007D4881"/>
    <w:rsid w:val="007D560B"/>
    <w:rsid w:val="007E666D"/>
    <w:rsid w:val="007F382B"/>
    <w:rsid w:val="007F6D00"/>
    <w:rsid w:val="0080248D"/>
    <w:rsid w:val="0080587F"/>
    <w:rsid w:val="00806CB2"/>
    <w:rsid w:val="00806DFF"/>
    <w:rsid w:val="00807EF9"/>
    <w:rsid w:val="0083240F"/>
    <w:rsid w:val="00833892"/>
    <w:rsid w:val="00842104"/>
    <w:rsid w:val="00842257"/>
    <w:rsid w:val="00845F56"/>
    <w:rsid w:val="00853D0E"/>
    <w:rsid w:val="008542A5"/>
    <w:rsid w:val="00875E99"/>
    <w:rsid w:val="00884A14"/>
    <w:rsid w:val="00890953"/>
    <w:rsid w:val="00893682"/>
    <w:rsid w:val="008A2601"/>
    <w:rsid w:val="008A2A08"/>
    <w:rsid w:val="008A6A23"/>
    <w:rsid w:val="008A7E21"/>
    <w:rsid w:val="008B360D"/>
    <w:rsid w:val="008B749D"/>
    <w:rsid w:val="008B7E95"/>
    <w:rsid w:val="008C00B5"/>
    <w:rsid w:val="008C02F6"/>
    <w:rsid w:val="008C707D"/>
    <w:rsid w:val="008C791D"/>
    <w:rsid w:val="008D0893"/>
    <w:rsid w:val="008D0DE9"/>
    <w:rsid w:val="008D4BF2"/>
    <w:rsid w:val="008D79EF"/>
    <w:rsid w:val="008E10EB"/>
    <w:rsid w:val="008E475C"/>
    <w:rsid w:val="008E4F18"/>
    <w:rsid w:val="008F1307"/>
    <w:rsid w:val="008F20D3"/>
    <w:rsid w:val="009000BD"/>
    <w:rsid w:val="00901B35"/>
    <w:rsid w:val="00903A17"/>
    <w:rsid w:val="00910B56"/>
    <w:rsid w:val="00927696"/>
    <w:rsid w:val="009305C0"/>
    <w:rsid w:val="00934C63"/>
    <w:rsid w:val="00936C15"/>
    <w:rsid w:val="00937ABC"/>
    <w:rsid w:val="00945374"/>
    <w:rsid w:val="00946E62"/>
    <w:rsid w:val="00947B81"/>
    <w:rsid w:val="0095145B"/>
    <w:rsid w:val="00951CF6"/>
    <w:rsid w:val="0096093A"/>
    <w:rsid w:val="00965549"/>
    <w:rsid w:val="00966E64"/>
    <w:rsid w:val="00972406"/>
    <w:rsid w:val="00981B69"/>
    <w:rsid w:val="00983EB4"/>
    <w:rsid w:val="00992129"/>
    <w:rsid w:val="009927DC"/>
    <w:rsid w:val="009A4200"/>
    <w:rsid w:val="009B4660"/>
    <w:rsid w:val="009B5418"/>
    <w:rsid w:val="009B596B"/>
    <w:rsid w:val="009C14D1"/>
    <w:rsid w:val="009C6B95"/>
    <w:rsid w:val="009D08A2"/>
    <w:rsid w:val="009D23BE"/>
    <w:rsid w:val="009D575A"/>
    <w:rsid w:val="009D58A0"/>
    <w:rsid w:val="009E5634"/>
    <w:rsid w:val="009F2BB0"/>
    <w:rsid w:val="009F6D54"/>
    <w:rsid w:val="00A002BF"/>
    <w:rsid w:val="00A0613E"/>
    <w:rsid w:val="00A070A5"/>
    <w:rsid w:val="00A14376"/>
    <w:rsid w:val="00A1678A"/>
    <w:rsid w:val="00A2141D"/>
    <w:rsid w:val="00A32929"/>
    <w:rsid w:val="00A36A16"/>
    <w:rsid w:val="00A45B5D"/>
    <w:rsid w:val="00A501F9"/>
    <w:rsid w:val="00A5106D"/>
    <w:rsid w:val="00A510C8"/>
    <w:rsid w:val="00A5285C"/>
    <w:rsid w:val="00A53FFB"/>
    <w:rsid w:val="00A556B3"/>
    <w:rsid w:val="00A62EC6"/>
    <w:rsid w:val="00A63BC6"/>
    <w:rsid w:val="00A724F2"/>
    <w:rsid w:val="00A73C71"/>
    <w:rsid w:val="00A765FD"/>
    <w:rsid w:val="00A82DA1"/>
    <w:rsid w:val="00A8476F"/>
    <w:rsid w:val="00A93BB6"/>
    <w:rsid w:val="00A96BA7"/>
    <w:rsid w:val="00AA0E34"/>
    <w:rsid w:val="00AA2DDE"/>
    <w:rsid w:val="00AA372B"/>
    <w:rsid w:val="00AA4832"/>
    <w:rsid w:val="00AA4FD5"/>
    <w:rsid w:val="00AA5819"/>
    <w:rsid w:val="00AC616B"/>
    <w:rsid w:val="00AC7152"/>
    <w:rsid w:val="00AD183F"/>
    <w:rsid w:val="00AD367A"/>
    <w:rsid w:val="00AD3937"/>
    <w:rsid w:val="00AD3D82"/>
    <w:rsid w:val="00AD43E2"/>
    <w:rsid w:val="00AF05BA"/>
    <w:rsid w:val="00AF0CE7"/>
    <w:rsid w:val="00AF1B4E"/>
    <w:rsid w:val="00AF31AE"/>
    <w:rsid w:val="00B043AE"/>
    <w:rsid w:val="00B04632"/>
    <w:rsid w:val="00B059CF"/>
    <w:rsid w:val="00B06A95"/>
    <w:rsid w:val="00B06FBD"/>
    <w:rsid w:val="00B07A7B"/>
    <w:rsid w:val="00B10B6A"/>
    <w:rsid w:val="00B10DED"/>
    <w:rsid w:val="00B14B49"/>
    <w:rsid w:val="00B1581C"/>
    <w:rsid w:val="00B204B0"/>
    <w:rsid w:val="00B245C4"/>
    <w:rsid w:val="00B33D00"/>
    <w:rsid w:val="00B41B03"/>
    <w:rsid w:val="00B515FC"/>
    <w:rsid w:val="00B51C82"/>
    <w:rsid w:val="00B52FC7"/>
    <w:rsid w:val="00B5677E"/>
    <w:rsid w:val="00B77139"/>
    <w:rsid w:val="00B8170D"/>
    <w:rsid w:val="00B83139"/>
    <w:rsid w:val="00B918FE"/>
    <w:rsid w:val="00B922FA"/>
    <w:rsid w:val="00B928DD"/>
    <w:rsid w:val="00B93B09"/>
    <w:rsid w:val="00B959A6"/>
    <w:rsid w:val="00B971D0"/>
    <w:rsid w:val="00BA328B"/>
    <w:rsid w:val="00BC1E3B"/>
    <w:rsid w:val="00BC24D5"/>
    <w:rsid w:val="00BD3438"/>
    <w:rsid w:val="00BF1D72"/>
    <w:rsid w:val="00BF4221"/>
    <w:rsid w:val="00C0172A"/>
    <w:rsid w:val="00C03925"/>
    <w:rsid w:val="00C0668D"/>
    <w:rsid w:val="00C06D2E"/>
    <w:rsid w:val="00C109D1"/>
    <w:rsid w:val="00C1695B"/>
    <w:rsid w:val="00C16DEE"/>
    <w:rsid w:val="00C213FD"/>
    <w:rsid w:val="00C336C0"/>
    <w:rsid w:val="00C3535A"/>
    <w:rsid w:val="00C37C7D"/>
    <w:rsid w:val="00C40FAF"/>
    <w:rsid w:val="00C415AE"/>
    <w:rsid w:val="00C41952"/>
    <w:rsid w:val="00C42C3A"/>
    <w:rsid w:val="00C522D3"/>
    <w:rsid w:val="00C542C6"/>
    <w:rsid w:val="00C57DFE"/>
    <w:rsid w:val="00C73D95"/>
    <w:rsid w:val="00C8657F"/>
    <w:rsid w:val="00C8747B"/>
    <w:rsid w:val="00C875EF"/>
    <w:rsid w:val="00C906A7"/>
    <w:rsid w:val="00C9642D"/>
    <w:rsid w:val="00CA257E"/>
    <w:rsid w:val="00CA59CE"/>
    <w:rsid w:val="00CA7E05"/>
    <w:rsid w:val="00CB5324"/>
    <w:rsid w:val="00CB7F46"/>
    <w:rsid w:val="00CC2A06"/>
    <w:rsid w:val="00CC5EEF"/>
    <w:rsid w:val="00CD6100"/>
    <w:rsid w:val="00CD6A74"/>
    <w:rsid w:val="00CE1CCC"/>
    <w:rsid w:val="00CF08E8"/>
    <w:rsid w:val="00CF2E92"/>
    <w:rsid w:val="00CF5E8C"/>
    <w:rsid w:val="00CF6688"/>
    <w:rsid w:val="00D02FBB"/>
    <w:rsid w:val="00D1290B"/>
    <w:rsid w:val="00D15EE9"/>
    <w:rsid w:val="00D20CD0"/>
    <w:rsid w:val="00D24B80"/>
    <w:rsid w:val="00D27164"/>
    <w:rsid w:val="00D36B9D"/>
    <w:rsid w:val="00D40411"/>
    <w:rsid w:val="00D40680"/>
    <w:rsid w:val="00D4684B"/>
    <w:rsid w:val="00D473F1"/>
    <w:rsid w:val="00D520CA"/>
    <w:rsid w:val="00D52F14"/>
    <w:rsid w:val="00D5385D"/>
    <w:rsid w:val="00D56F01"/>
    <w:rsid w:val="00D57409"/>
    <w:rsid w:val="00D61EEC"/>
    <w:rsid w:val="00D76A64"/>
    <w:rsid w:val="00D93558"/>
    <w:rsid w:val="00D93D47"/>
    <w:rsid w:val="00DA72DA"/>
    <w:rsid w:val="00DB3311"/>
    <w:rsid w:val="00DB5F95"/>
    <w:rsid w:val="00DB715B"/>
    <w:rsid w:val="00DC3801"/>
    <w:rsid w:val="00DC3C2E"/>
    <w:rsid w:val="00DE0067"/>
    <w:rsid w:val="00DE0410"/>
    <w:rsid w:val="00DE49BC"/>
    <w:rsid w:val="00DE4B72"/>
    <w:rsid w:val="00DE7EDC"/>
    <w:rsid w:val="00DF3FA2"/>
    <w:rsid w:val="00E01902"/>
    <w:rsid w:val="00E12E1B"/>
    <w:rsid w:val="00E17361"/>
    <w:rsid w:val="00E21456"/>
    <w:rsid w:val="00E26FC1"/>
    <w:rsid w:val="00E365E6"/>
    <w:rsid w:val="00E40765"/>
    <w:rsid w:val="00E4080F"/>
    <w:rsid w:val="00E600DA"/>
    <w:rsid w:val="00E6077B"/>
    <w:rsid w:val="00E611D2"/>
    <w:rsid w:val="00E62A4B"/>
    <w:rsid w:val="00E62E34"/>
    <w:rsid w:val="00E71FEE"/>
    <w:rsid w:val="00E816E8"/>
    <w:rsid w:val="00E8518D"/>
    <w:rsid w:val="00E8580D"/>
    <w:rsid w:val="00E868DA"/>
    <w:rsid w:val="00E87AA1"/>
    <w:rsid w:val="00E96C04"/>
    <w:rsid w:val="00EA2740"/>
    <w:rsid w:val="00EA6BCA"/>
    <w:rsid w:val="00EA7F50"/>
    <w:rsid w:val="00EB5166"/>
    <w:rsid w:val="00EC0382"/>
    <w:rsid w:val="00EC03DB"/>
    <w:rsid w:val="00EC20E8"/>
    <w:rsid w:val="00EC75AB"/>
    <w:rsid w:val="00ED2D6F"/>
    <w:rsid w:val="00EE011B"/>
    <w:rsid w:val="00EE322B"/>
    <w:rsid w:val="00EE4F92"/>
    <w:rsid w:val="00EE64EB"/>
    <w:rsid w:val="00EF0070"/>
    <w:rsid w:val="00EF6AB4"/>
    <w:rsid w:val="00EF7BA4"/>
    <w:rsid w:val="00F002B8"/>
    <w:rsid w:val="00F00B9F"/>
    <w:rsid w:val="00F05B72"/>
    <w:rsid w:val="00F07612"/>
    <w:rsid w:val="00F157E3"/>
    <w:rsid w:val="00F21B10"/>
    <w:rsid w:val="00F258ED"/>
    <w:rsid w:val="00F33E9D"/>
    <w:rsid w:val="00F35B04"/>
    <w:rsid w:val="00F415CC"/>
    <w:rsid w:val="00F43955"/>
    <w:rsid w:val="00F44FCA"/>
    <w:rsid w:val="00F45141"/>
    <w:rsid w:val="00F5758C"/>
    <w:rsid w:val="00F606D0"/>
    <w:rsid w:val="00F60836"/>
    <w:rsid w:val="00F65F52"/>
    <w:rsid w:val="00F704FC"/>
    <w:rsid w:val="00F70A78"/>
    <w:rsid w:val="00F741A9"/>
    <w:rsid w:val="00F75562"/>
    <w:rsid w:val="00F767FC"/>
    <w:rsid w:val="00F83417"/>
    <w:rsid w:val="00F83FB6"/>
    <w:rsid w:val="00F856FF"/>
    <w:rsid w:val="00F8673F"/>
    <w:rsid w:val="00F876C8"/>
    <w:rsid w:val="00F87F50"/>
    <w:rsid w:val="00F90044"/>
    <w:rsid w:val="00FA32AE"/>
    <w:rsid w:val="00FA3593"/>
    <w:rsid w:val="00FB0BCC"/>
    <w:rsid w:val="00FB10E3"/>
    <w:rsid w:val="00FB17AA"/>
    <w:rsid w:val="00FB307E"/>
    <w:rsid w:val="00FC054A"/>
    <w:rsid w:val="00FC2F3E"/>
    <w:rsid w:val="00FC7E7B"/>
    <w:rsid w:val="00FD232F"/>
    <w:rsid w:val="00FD2ABB"/>
    <w:rsid w:val="00FD537A"/>
    <w:rsid w:val="00FE0E56"/>
    <w:rsid w:val="00FE0EB4"/>
    <w:rsid w:val="00FE10CE"/>
    <w:rsid w:val="00FE23AB"/>
    <w:rsid w:val="00FE3D66"/>
    <w:rsid w:val="00FE638C"/>
    <w:rsid w:val="00FE6647"/>
    <w:rsid w:val="00FF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D877"/>
  <w15:chartTrackingRefBased/>
  <w15:docId w15:val="{855E5300-065E-42AD-ABD8-D7ADA4A3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9D08A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qFormat/>
    <w:rsid w:val="009D08A2"/>
    <w:pPr>
      <w:ind w:left="1296"/>
    </w:pPr>
  </w:style>
  <w:style w:type="table" w:styleId="Lentelstinklelis">
    <w:name w:val="Table Grid"/>
    <w:basedOn w:val="prastojilentel"/>
    <w:uiPriority w:val="39"/>
    <w:rsid w:val="009D0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223EB5"/>
    <w:rPr>
      <w:sz w:val="16"/>
      <w:szCs w:val="16"/>
    </w:rPr>
  </w:style>
  <w:style w:type="paragraph" w:styleId="Komentarotekstas">
    <w:name w:val="annotation text"/>
    <w:basedOn w:val="prastasis"/>
    <w:link w:val="KomentarotekstasDiagrama"/>
    <w:unhideWhenUsed/>
    <w:rsid w:val="00223EB5"/>
    <w:rPr>
      <w:sz w:val="20"/>
    </w:rPr>
  </w:style>
  <w:style w:type="character" w:customStyle="1" w:styleId="KomentarotekstasDiagrama">
    <w:name w:val="Komentaro tekstas Diagrama"/>
    <w:basedOn w:val="Numatytasispastraiposriftas"/>
    <w:link w:val="Komentarotekstas"/>
    <w:rsid w:val="00223EB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23EB5"/>
    <w:rPr>
      <w:b/>
      <w:bCs/>
    </w:rPr>
  </w:style>
  <w:style w:type="character" w:customStyle="1" w:styleId="KomentarotemaDiagrama">
    <w:name w:val="Komentaro tema Diagrama"/>
    <w:basedOn w:val="KomentarotekstasDiagrama"/>
    <w:link w:val="Komentarotema"/>
    <w:uiPriority w:val="99"/>
    <w:semiHidden/>
    <w:rsid w:val="00223EB5"/>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223E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3EB5"/>
    <w:rPr>
      <w:rFonts w:ascii="Segoe UI" w:eastAsia="Times New Roman" w:hAnsi="Segoe UI" w:cs="Segoe UI"/>
      <w:sz w:val="18"/>
      <w:szCs w:val="18"/>
      <w:lang w:val="lt-LT"/>
    </w:rPr>
  </w:style>
  <w:style w:type="paragraph" w:styleId="Sraopastraipa">
    <w:name w:val="List Paragraph"/>
    <w:basedOn w:val="prastasis"/>
    <w:uiPriority w:val="34"/>
    <w:qFormat/>
    <w:rsid w:val="0064686C"/>
    <w:pPr>
      <w:ind w:left="720"/>
      <w:contextualSpacing/>
    </w:pPr>
  </w:style>
  <w:style w:type="paragraph" w:styleId="Puslapioinaostekstas">
    <w:name w:val="footnote text"/>
    <w:basedOn w:val="prastasis"/>
    <w:link w:val="PuslapioinaostekstasDiagrama"/>
    <w:uiPriority w:val="99"/>
    <w:semiHidden/>
    <w:unhideWhenUsed/>
    <w:rsid w:val="006D5EA5"/>
    <w:rPr>
      <w:sz w:val="20"/>
    </w:rPr>
  </w:style>
  <w:style w:type="character" w:customStyle="1" w:styleId="PuslapioinaostekstasDiagrama">
    <w:name w:val="Puslapio išnašos tekstas Diagrama"/>
    <w:basedOn w:val="Numatytasispastraiposriftas"/>
    <w:link w:val="Puslapioinaostekstas"/>
    <w:uiPriority w:val="99"/>
    <w:semiHidden/>
    <w:rsid w:val="006D5EA5"/>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6D5EA5"/>
    <w:rPr>
      <w:vertAlign w:val="superscript"/>
    </w:rPr>
  </w:style>
  <w:style w:type="paragraph" w:styleId="Antrats">
    <w:name w:val="header"/>
    <w:aliases w:val="Char,Diagrama"/>
    <w:basedOn w:val="prastasis"/>
    <w:link w:val="AntratsDiagrama"/>
    <w:uiPriority w:val="99"/>
    <w:unhideWhenUsed/>
    <w:rsid w:val="00D56F01"/>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D56F01"/>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D56F01"/>
    <w:pPr>
      <w:tabs>
        <w:tab w:val="center" w:pos="4819"/>
        <w:tab w:val="right" w:pos="9638"/>
      </w:tabs>
    </w:pPr>
  </w:style>
  <w:style w:type="character" w:customStyle="1" w:styleId="PoratDiagrama">
    <w:name w:val="Poraštė Diagrama"/>
    <w:basedOn w:val="Numatytasispastraiposriftas"/>
    <w:link w:val="Porat"/>
    <w:uiPriority w:val="99"/>
    <w:rsid w:val="00D56F01"/>
    <w:rPr>
      <w:rFonts w:ascii="Times New Roman" w:eastAsia="Times New Roman" w:hAnsi="Times New Roman" w:cs="Times New Roman"/>
      <w:sz w:val="24"/>
      <w:szCs w:val="20"/>
      <w:lang w:val="lt-LT"/>
    </w:rPr>
  </w:style>
  <w:style w:type="character" w:customStyle="1" w:styleId="FontStyle53">
    <w:name w:val="Font Style53"/>
    <w:rsid w:val="006C5044"/>
    <w:rPr>
      <w:rFonts w:ascii="Times New Roman" w:hAnsi="Times New Roman" w:cs="Times New Roman"/>
      <w:b/>
      <w:bCs/>
      <w:sz w:val="22"/>
      <w:szCs w:val="22"/>
    </w:rPr>
  </w:style>
  <w:style w:type="paragraph" w:customStyle="1" w:styleId="Default">
    <w:name w:val="Default"/>
    <w:rsid w:val="00C9642D"/>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F44FCA"/>
    <w:rPr>
      <w:color w:val="0563C1" w:themeColor="hyperlink"/>
      <w:u w:val="single"/>
    </w:rPr>
  </w:style>
  <w:style w:type="character" w:styleId="Neapdorotaspaminjimas">
    <w:name w:val="Unresolved Mention"/>
    <w:basedOn w:val="Numatytasispastraiposriftas"/>
    <w:uiPriority w:val="99"/>
    <w:semiHidden/>
    <w:unhideWhenUsed/>
    <w:rsid w:val="00F44FCA"/>
    <w:rPr>
      <w:color w:val="605E5C"/>
      <w:shd w:val="clear" w:color="auto" w:fill="E1DFDD"/>
    </w:rPr>
  </w:style>
  <w:style w:type="paragraph" w:styleId="prastasiniatinklio">
    <w:name w:val="Normal (Web)"/>
    <w:basedOn w:val="prastasis"/>
    <w:uiPriority w:val="99"/>
    <w:unhideWhenUsed/>
    <w:rsid w:val="004975C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604866">
      <w:bodyDiv w:val="1"/>
      <w:marLeft w:val="0"/>
      <w:marRight w:val="0"/>
      <w:marTop w:val="0"/>
      <w:marBottom w:val="0"/>
      <w:divBdr>
        <w:top w:val="none" w:sz="0" w:space="0" w:color="auto"/>
        <w:left w:val="none" w:sz="0" w:space="0" w:color="auto"/>
        <w:bottom w:val="none" w:sz="0" w:space="0" w:color="auto"/>
        <w:right w:val="none" w:sz="0" w:space="0" w:color="auto"/>
      </w:divBdr>
    </w:div>
    <w:div w:id="1850561576">
      <w:bodyDiv w:val="1"/>
      <w:marLeft w:val="0"/>
      <w:marRight w:val="0"/>
      <w:marTop w:val="0"/>
      <w:marBottom w:val="0"/>
      <w:divBdr>
        <w:top w:val="none" w:sz="0" w:space="0" w:color="auto"/>
        <w:left w:val="none" w:sz="0" w:space="0" w:color="auto"/>
        <w:bottom w:val="none" w:sz="0" w:space="0" w:color="auto"/>
        <w:right w:val="none" w:sz="0" w:space="0" w:color="auto"/>
      </w:divBdr>
    </w:div>
    <w:div w:id="19415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5" ma:contentTypeDescription="Kurkite naują dokumentą." ma:contentTypeScope="" ma:versionID="855ea751026b097cd2dea721a380069e">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c8cc16cc16a8ba2e10d8037ef64686f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3655-48EB-4087-8415-B29DFEE8C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09C04-BD53-4B28-8370-B0559201F9EF}">
  <ds:schemaRefs>
    <ds:schemaRef ds:uri="http://schemas.microsoft.com/sharepoint/v3/contenttype/forms"/>
  </ds:schemaRefs>
</ds:datastoreItem>
</file>

<file path=customXml/itemProps3.xml><?xml version="1.0" encoding="utf-8"?>
<ds:datastoreItem xmlns:ds="http://schemas.openxmlformats.org/officeDocument/2006/customXml" ds:itemID="{DD833F16-25AB-4FBB-9E8F-53D1697FC018}">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66af4d0a-6674-47fb-9139-f13fcb70dbc4"/>
    <ds:schemaRef ds:uri="http://purl.org/dc/terms/"/>
    <ds:schemaRef ds:uri="http://purl.org/dc/elements/1.1/"/>
    <ds:schemaRef ds:uri="01b67f5c-2d3d-4e26-9104-860f284410e8"/>
    <ds:schemaRef ds:uri="http://schemas.microsoft.com/office/2006/metadata/properties"/>
  </ds:schemaRefs>
</ds:datastoreItem>
</file>

<file path=customXml/itemProps4.xml><?xml version="1.0" encoding="utf-8"?>
<ds:datastoreItem xmlns:ds="http://schemas.openxmlformats.org/officeDocument/2006/customXml" ds:itemID="{1FA6C9A3-B774-4968-9B84-C35B0D97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6578</Words>
  <Characters>3751</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2019-10-24T12:14:00Z</dcterms:created>
  <dc:creator>Aurimas Salapėta</dc:creator>
  <cp:lastModifiedBy>Lina Sveklaite</cp:lastModifiedBy>
  <cp:lastPrinted>2019-10-24T12:13:00Z</cp:lastPrinted>
  <dcterms:modified xsi:type="dcterms:W3CDTF">2019-10-29T10:49:00Z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