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5D0D8" w14:textId="77777777" w:rsidR="00551AFF" w:rsidRDefault="00551AFF">
      <w:pPr>
        <w:pStyle w:val="Antrats"/>
      </w:pPr>
    </w:p>
    <w:p w14:paraId="3E85D0D9" w14:textId="77777777" w:rsidR="00551AFF" w:rsidRDefault="00551AFF">
      <w:pPr>
        <w:pStyle w:val="Antrats"/>
      </w:pPr>
    </w:p>
    <w:tbl>
      <w:tblPr>
        <w:tblW w:w="9732" w:type="dxa"/>
        <w:tblInd w:w="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12"/>
      </w:tblGrid>
      <w:tr w:rsidR="00551AFF" w14:paraId="3E85D0DC" w14:textId="77777777">
        <w:tblPrEx>
          <w:tblCellMar>
            <w:top w:w="0" w:type="dxa"/>
            <w:bottom w:w="0" w:type="dxa"/>
          </w:tblCellMar>
        </w:tblPrEx>
        <w:tc>
          <w:tcPr>
            <w:tcW w:w="4820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3E85D0DA" w14:textId="77777777" w:rsidR="00551AFF" w:rsidRDefault="00427E79">
            <w:pPr>
              <w:pStyle w:val="Antrats"/>
            </w:pPr>
            <w:r>
              <w:t xml:space="preserve">Lietuvos Respublikos </w:t>
            </w:r>
            <w:r>
              <w:rPr>
                <w:sz w:val="24"/>
                <w:lang w:eastAsia="en-US"/>
              </w:rPr>
              <w:t>vidaus reikalų ministerijai</w:t>
            </w:r>
          </w:p>
        </w:tc>
        <w:tc>
          <w:tcPr>
            <w:tcW w:w="4912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3E85D0DB" w14:textId="77777777" w:rsidR="00551AFF" w:rsidRDefault="00427E79">
            <w:pPr>
              <w:ind w:left="914"/>
            </w:pPr>
            <w:r>
              <w:t>2019-10-       Nr. 17.2.-</w:t>
            </w:r>
          </w:p>
        </w:tc>
      </w:tr>
    </w:tbl>
    <w:p w14:paraId="3E85D0DD" w14:textId="77777777" w:rsidR="00551AFF" w:rsidRDefault="00551AFF">
      <w:pPr>
        <w:pStyle w:val="Antrats"/>
        <w:ind w:firstLine="1122"/>
        <w:jc w:val="both"/>
      </w:pPr>
    </w:p>
    <w:p w14:paraId="3E85D0DE" w14:textId="77777777" w:rsidR="00551AFF" w:rsidRDefault="00551AFF">
      <w:pPr>
        <w:pStyle w:val="Antrats"/>
        <w:ind w:firstLine="1122"/>
        <w:jc w:val="both"/>
      </w:pPr>
    </w:p>
    <w:tbl>
      <w:tblPr>
        <w:tblW w:w="97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24"/>
      </w:tblGrid>
      <w:tr w:rsidR="00551AFF" w14:paraId="3E85D0E0" w14:textId="77777777">
        <w:tblPrEx>
          <w:tblCellMar>
            <w:top w:w="0" w:type="dxa"/>
            <w:bottom w:w="0" w:type="dxa"/>
          </w:tblCellMar>
        </w:tblPrEx>
        <w:tc>
          <w:tcPr>
            <w:tcW w:w="97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5D0DF" w14:textId="77777777" w:rsidR="00551AFF" w:rsidRDefault="00427E79">
            <w:pPr>
              <w:pStyle w:val="Antrats"/>
              <w:tabs>
                <w:tab w:val="left" w:pos="4260"/>
              </w:tabs>
            </w:pPr>
            <w:r>
              <w:rPr>
                <w:b/>
              </w:rPr>
              <w:t xml:space="preserve">DĖL TEISĖS AKTŲ </w:t>
            </w:r>
            <w:r>
              <w:rPr>
                <w:b/>
                <w:color w:val="212121"/>
                <w:sz w:val="24"/>
                <w:lang w:eastAsia="en-US"/>
              </w:rPr>
              <w:t>PROJEKTŲ NR. 19-11982, 19-11983</w:t>
            </w:r>
          </w:p>
        </w:tc>
      </w:tr>
    </w:tbl>
    <w:p w14:paraId="3E85D0E1" w14:textId="77777777" w:rsidR="00551AFF" w:rsidRDefault="00551AFF">
      <w:pPr>
        <w:tabs>
          <w:tab w:val="left" w:pos="8245"/>
        </w:tabs>
        <w:overflowPunct w:val="0"/>
        <w:autoSpaceDE w:val="0"/>
        <w:ind w:firstLine="720"/>
        <w:jc w:val="both"/>
        <w:rPr>
          <w:szCs w:val="24"/>
          <w:lang w:val="pt-BR"/>
        </w:rPr>
      </w:pPr>
    </w:p>
    <w:p w14:paraId="3E85D0E2" w14:textId="77777777" w:rsidR="00551AFF" w:rsidRDefault="00551AFF"/>
    <w:p w14:paraId="3E85D0E3" w14:textId="77777777" w:rsidR="00551AFF" w:rsidRDefault="00427E79">
      <w:pPr>
        <w:pStyle w:val="Antrats"/>
        <w:suppressAutoHyphens/>
        <w:ind w:firstLine="737"/>
        <w:jc w:val="both"/>
      </w:pPr>
      <w:r>
        <w:rPr>
          <w:lang w:val="pt-BR" w:eastAsia="en-US"/>
        </w:rPr>
        <w:t>Lietuvos Respublikos generalinė prokuratūra, susipažinusi su pateiktais derinti Lietuvos Respublikos Vyriausybės nutarimo “Dėl Lietuvos Respublikos Vyriausybės 2019 m. liepos</w:t>
      </w:r>
      <w:r>
        <w:rPr>
          <w:lang w:val="pt-BR" w:eastAsia="en-US"/>
        </w:rPr>
        <w:t xml:space="preserve"> 31 d. nutarimo Nr. 808 “Dėl įgaliojimų suteikimo įgyvendinant Lietuvos Respublikos ginklų ir šaudmenų kontrolės įstatymą” pakeitimo” projektu Nr. 19-11983 ir Lietuvos Respublikos Vyriausybės nutarimo “Dėl Lietuvos Respublikos Vyriausybės 2003 m. balandžio</w:t>
      </w:r>
      <w:r>
        <w:rPr>
          <w:lang w:val="pt-BR" w:eastAsia="en-US"/>
        </w:rPr>
        <w:t xml:space="preserve"> 29 d. nutarimo Nr. 551 “Dėl ekspertų komisijos daiktų, įrenginių modelaims, ginklams bei konkrečiai jų kategorijai prisikriti sudarymo ir jos nuostatų patvirtinimo” pripažinimo netekusiu galios” projektu Nr. 19-11982, šiems projektams pritaria ir pastabų </w:t>
      </w:r>
      <w:r>
        <w:rPr>
          <w:lang w:val="pt-BR" w:eastAsia="en-US"/>
        </w:rPr>
        <w:t>pagal kompetenciją neteikia.</w:t>
      </w:r>
    </w:p>
    <w:p w14:paraId="3E85D0E4" w14:textId="77777777" w:rsidR="00551AFF" w:rsidRDefault="00427E79">
      <w:pPr>
        <w:pStyle w:val="Antrats"/>
        <w:suppressAutoHyphens/>
        <w:ind w:firstLine="737"/>
        <w:jc w:val="both"/>
      </w:pPr>
      <w:r>
        <w:rPr>
          <w:lang w:val="pt-BR" w:eastAsia="en-US"/>
        </w:rPr>
        <w:t>Taip pat informuojame, kad Ginklų ir šaudmenų kontrolės įstatymo 1 straipsnio 4 dalyje numatytos ekspertų komisijos institucin</w:t>
      </w:r>
      <w:r>
        <w:t>ės sudėties nenurodymas neužkirs kelio deleguoti prokuratūros atstovus į komisiją Policijos departam</w:t>
      </w:r>
      <w:r>
        <w:t>ento prie Vidaus reikalų ministerijos prašymu.</w:t>
      </w:r>
    </w:p>
    <w:p w14:paraId="3E85D0E5" w14:textId="77777777" w:rsidR="00551AFF" w:rsidRDefault="00551AFF">
      <w:pPr>
        <w:pStyle w:val="Antrats"/>
        <w:suppressAutoHyphens/>
        <w:ind w:firstLine="737"/>
        <w:jc w:val="both"/>
      </w:pPr>
    </w:p>
    <w:p w14:paraId="3E85D0E6" w14:textId="77777777" w:rsidR="00551AFF" w:rsidRDefault="00551AFF">
      <w:pPr>
        <w:pStyle w:val="Antrats"/>
        <w:tabs>
          <w:tab w:val="right" w:pos="8640"/>
        </w:tabs>
        <w:ind w:firstLine="709"/>
        <w:jc w:val="both"/>
      </w:pPr>
    </w:p>
    <w:p w14:paraId="3E85D0E7" w14:textId="77777777" w:rsidR="00551AFF" w:rsidRDefault="00551AFF">
      <w:pPr>
        <w:pStyle w:val="Antrats"/>
        <w:tabs>
          <w:tab w:val="right" w:pos="8640"/>
        </w:tabs>
        <w:ind w:firstLine="709"/>
        <w:jc w:val="both"/>
      </w:pPr>
    </w:p>
    <w:p w14:paraId="3E85D0E8" w14:textId="77777777" w:rsidR="00551AFF" w:rsidRDefault="00427E79">
      <w:pPr>
        <w:pStyle w:val="Antrats"/>
        <w:jc w:val="both"/>
      </w:pPr>
      <w:r>
        <w:t>Generalini</w:t>
      </w:r>
      <w:r>
        <w:rPr>
          <w:sz w:val="24"/>
          <w:lang w:eastAsia="en-US"/>
        </w:rPr>
        <w:t xml:space="preserve">s </w:t>
      </w:r>
      <w:r>
        <w:t>prok</w:t>
      </w:r>
      <w:r>
        <w:t>uror</w:t>
      </w:r>
      <w:r>
        <w:rPr>
          <w:sz w:val="24"/>
          <w:lang w:eastAsia="en-US"/>
        </w:rPr>
        <w:t>as</w:t>
      </w:r>
      <w:r>
        <w:t xml:space="preserve"> </w:t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rPr>
          <w:sz w:val="24"/>
          <w:lang w:eastAsia="en-US"/>
        </w:rPr>
        <w:t>Evaldas Pašilis</w:t>
      </w:r>
    </w:p>
    <w:p w14:paraId="3E85D0E9" w14:textId="77777777" w:rsidR="00551AFF" w:rsidRDefault="00551AFF">
      <w:pPr>
        <w:pStyle w:val="Antrats"/>
        <w:jc w:val="both"/>
      </w:pPr>
    </w:p>
    <w:p w14:paraId="3E85D0EA" w14:textId="77777777" w:rsidR="00551AFF" w:rsidRDefault="00551AFF">
      <w:pPr>
        <w:pStyle w:val="Antrats"/>
        <w:jc w:val="both"/>
      </w:pPr>
    </w:p>
    <w:p w14:paraId="3E85D0EB" w14:textId="77777777" w:rsidR="00551AFF" w:rsidRDefault="00551AFF">
      <w:pPr>
        <w:pStyle w:val="Antrats"/>
        <w:jc w:val="both"/>
      </w:pPr>
    </w:p>
    <w:p w14:paraId="3E85D0EC" w14:textId="77777777" w:rsidR="00551AFF" w:rsidRDefault="00551AFF">
      <w:pPr>
        <w:pStyle w:val="Antrats"/>
        <w:jc w:val="both"/>
      </w:pPr>
    </w:p>
    <w:p w14:paraId="3E85D0ED" w14:textId="77777777" w:rsidR="00551AFF" w:rsidRDefault="00551AFF">
      <w:pPr>
        <w:pStyle w:val="Antrats"/>
        <w:jc w:val="both"/>
      </w:pPr>
    </w:p>
    <w:p w14:paraId="3E85D0EE" w14:textId="77777777" w:rsidR="00551AFF" w:rsidRDefault="00551AFF">
      <w:pPr>
        <w:pStyle w:val="Antrats"/>
        <w:jc w:val="both"/>
      </w:pPr>
    </w:p>
    <w:p w14:paraId="3E85D0EF" w14:textId="77777777" w:rsidR="00551AFF" w:rsidRDefault="00551AFF">
      <w:pPr>
        <w:pStyle w:val="Antrats"/>
        <w:jc w:val="both"/>
      </w:pPr>
    </w:p>
    <w:p w14:paraId="3E85D0F0" w14:textId="77777777" w:rsidR="00551AFF" w:rsidRDefault="00551AFF">
      <w:pPr>
        <w:pStyle w:val="Antrats"/>
        <w:jc w:val="both"/>
      </w:pPr>
    </w:p>
    <w:p w14:paraId="3E85D0F1" w14:textId="77777777" w:rsidR="00551AFF" w:rsidRDefault="00551AFF">
      <w:pPr>
        <w:pStyle w:val="Antrats"/>
        <w:jc w:val="both"/>
      </w:pPr>
    </w:p>
    <w:p w14:paraId="3E85D0F2" w14:textId="77777777" w:rsidR="00551AFF" w:rsidRDefault="00551AFF">
      <w:pPr>
        <w:pStyle w:val="Antrats"/>
        <w:jc w:val="both"/>
      </w:pPr>
    </w:p>
    <w:p w14:paraId="3E85D0F3" w14:textId="77777777" w:rsidR="00551AFF" w:rsidRDefault="00551AFF">
      <w:pPr>
        <w:pStyle w:val="Antrats"/>
        <w:jc w:val="both"/>
      </w:pPr>
    </w:p>
    <w:p w14:paraId="3E85D0F4" w14:textId="77777777" w:rsidR="00551AFF" w:rsidRDefault="00551AFF">
      <w:pPr>
        <w:pStyle w:val="Antrats"/>
        <w:jc w:val="both"/>
      </w:pPr>
    </w:p>
    <w:p w14:paraId="3E85D0F5" w14:textId="77777777" w:rsidR="00551AFF" w:rsidRDefault="00551AFF">
      <w:pPr>
        <w:pStyle w:val="Antrats"/>
        <w:jc w:val="both"/>
      </w:pPr>
    </w:p>
    <w:p w14:paraId="3E85D0F6" w14:textId="77777777" w:rsidR="00551AFF" w:rsidRDefault="00551AFF">
      <w:pPr>
        <w:pStyle w:val="Antrats"/>
        <w:jc w:val="both"/>
      </w:pPr>
    </w:p>
    <w:p w14:paraId="3E85D0F7" w14:textId="77777777" w:rsidR="00551AFF" w:rsidRDefault="00551AFF">
      <w:pPr>
        <w:pStyle w:val="Antrats"/>
        <w:jc w:val="both"/>
      </w:pPr>
    </w:p>
    <w:p w14:paraId="3E85D0F8" w14:textId="77777777" w:rsidR="00551AFF" w:rsidRDefault="00551AFF">
      <w:pPr>
        <w:pStyle w:val="Antrats"/>
        <w:jc w:val="both"/>
      </w:pPr>
    </w:p>
    <w:p w14:paraId="3E85D0F9" w14:textId="77777777" w:rsidR="00551AFF" w:rsidRDefault="00551AFF">
      <w:pPr>
        <w:pStyle w:val="Antrats"/>
        <w:jc w:val="both"/>
      </w:pPr>
    </w:p>
    <w:p w14:paraId="3E85D0FA" w14:textId="77777777" w:rsidR="00551AFF" w:rsidRDefault="00551AFF">
      <w:pPr>
        <w:pStyle w:val="Antrats"/>
        <w:jc w:val="both"/>
      </w:pPr>
    </w:p>
    <w:p w14:paraId="3E85D0FB" w14:textId="77777777" w:rsidR="00551AFF" w:rsidRDefault="00551AFF">
      <w:pPr>
        <w:pStyle w:val="Antrats"/>
        <w:jc w:val="both"/>
      </w:pPr>
      <w:bookmarkStart w:id="0" w:name="_GoBack"/>
      <w:bookmarkEnd w:id="0"/>
    </w:p>
    <w:p w14:paraId="3E85D0FC" w14:textId="77777777" w:rsidR="00551AFF" w:rsidRDefault="00551AFF">
      <w:pPr>
        <w:pStyle w:val="Antrats"/>
        <w:jc w:val="both"/>
      </w:pPr>
    </w:p>
    <w:p w14:paraId="3E85D0FD" w14:textId="77777777" w:rsidR="00551AFF" w:rsidRDefault="00551AFF">
      <w:pPr>
        <w:pStyle w:val="Antrats"/>
        <w:jc w:val="both"/>
      </w:pPr>
    </w:p>
    <w:p w14:paraId="3E85D0FE" w14:textId="77777777" w:rsidR="00551AFF" w:rsidRDefault="00551AFF">
      <w:pPr>
        <w:pStyle w:val="Antrats"/>
        <w:jc w:val="both"/>
      </w:pPr>
    </w:p>
    <w:p w14:paraId="3E85D0FF" w14:textId="77777777" w:rsidR="00551AFF" w:rsidRDefault="00551AFF">
      <w:pPr>
        <w:pStyle w:val="Antrats"/>
        <w:jc w:val="both"/>
      </w:pPr>
    </w:p>
    <w:p w14:paraId="3E85D100" w14:textId="77777777" w:rsidR="00551AFF" w:rsidRDefault="00427E79">
      <w:pPr>
        <w:pStyle w:val="Antrats"/>
        <w:jc w:val="both"/>
      </w:pPr>
      <w:r>
        <w:t>Greta Bruzgienė, tel. (8 5) 266 2310, el. p. greta.bruzgiene@prokuraturos.lt</w:t>
      </w:r>
    </w:p>
    <w:sectPr w:rsidR="00551AFF">
      <w:headerReference w:type="default" r:id="rId6"/>
      <w:headerReference w:type="first" r:id="rId7"/>
      <w:footerReference w:type="first" r:id="rId8"/>
      <w:pgSz w:w="11907" w:h="16840"/>
      <w:pgMar w:top="1134" w:right="567" w:bottom="1134" w:left="1701" w:header="68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85D0DC" w14:textId="77777777" w:rsidR="00000000" w:rsidRDefault="00427E79">
      <w:r>
        <w:separator/>
      </w:r>
    </w:p>
  </w:endnote>
  <w:endnote w:type="continuationSeparator" w:id="0">
    <w:p w14:paraId="3E85D0DE" w14:textId="77777777" w:rsidR="00000000" w:rsidRDefault="00427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Symbol">
    <w:charset w:val="02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639"/>
    </w:tblGrid>
    <w:tr w:rsidR="00FC22AB" w14:paraId="3E85D0EA" w14:textId="77777777">
      <w:tblPrEx>
        <w:tblCellMar>
          <w:top w:w="0" w:type="dxa"/>
          <w:bottom w:w="0" w:type="dxa"/>
        </w:tblCellMar>
      </w:tblPrEx>
      <w:trPr>
        <w:cantSplit/>
        <w:trHeight w:val="885"/>
      </w:trPr>
      <w:tc>
        <w:tcPr>
          <w:tcW w:w="9639" w:type="dxa"/>
          <w:tcBorders>
            <w:top w:val="single" w:sz="4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E85D0E6" w14:textId="77777777" w:rsidR="00FC22AB" w:rsidRDefault="00427E79">
          <w:pPr>
            <w:pStyle w:val="Footnoteuser"/>
            <w:jc w:val="center"/>
            <w:rPr>
              <w:szCs w:val="18"/>
            </w:rPr>
          </w:pPr>
          <w:r>
            <w:rPr>
              <w:szCs w:val="18"/>
            </w:rPr>
            <w:t>Biudžetinė įstaiga, Rinktinės g. 5A, LT-01515 Vilnius, tel</w:t>
          </w:r>
          <w:r>
            <w:rPr>
              <w:szCs w:val="18"/>
            </w:rPr>
            <w:t>. (8 5) 266 2304, f</w:t>
          </w:r>
          <w:r>
            <w:rPr>
              <w:szCs w:val="18"/>
            </w:rPr>
            <w:t>aks. (8 5) 266 2317,</w:t>
          </w:r>
        </w:p>
        <w:p w14:paraId="3E85D0E7" w14:textId="77777777" w:rsidR="00FC22AB" w:rsidRDefault="00427E79">
          <w:pPr>
            <w:pStyle w:val="Footnoteuser"/>
            <w:ind w:left="57"/>
            <w:jc w:val="center"/>
            <w:rPr>
              <w:szCs w:val="18"/>
            </w:rPr>
          </w:pPr>
          <w:r>
            <w:rPr>
              <w:szCs w:val="18"/>
            </w:rPr>
            <w:t xml:space="preserve">el. p. </w:t>
          </w:r>
          <w:r>
            <w:rPr>
              <w:szCs w:val="18"/>
            </w:rPr>
            <w:t>generaline.prokuratura</w:t>
          </w:r>
          <w:r>
            <w:rPr>
              <w:szCs w:val="18"/>
              <w:lang w:val="en-US"/>
            </w:rPr>
            <w:t>@prokuraturos.lt.</w:t>
          </w:r>
        </w:p>
        <w:p w14:paraId="3E85D0E8" w14:textId="77777777" w:rsidR="00FC22AB" w:rsidRDefault="00427E79">
          <w:pPr>
            <w:pStyle w:val="Footnoteuser"/>
            <w:ind w:left="57"/>
            <w:jc w:val="center"/>
          </w:pPr>
          <w:r>
            <w:t xml:space="preserve"> Duome</w:t>
          </w:r>
          <w:r>
            <w:t>nys kaupiami ir saugomi Juridinių asmenų registre, kodas 288603320</w:t>
          </w:r>
        </w:p>
        <w:p w14:paraId="3E85D0E9" w14:textId="77777777" w:rsidR="00FC22AB" w:rsidRDefault="00427E79">
          <w:pPr>
            <w:pStyle w:val="Footnote"/>
            <w:ind w:left="57"/>
            <w:rPr>
              <w:szCs w:val="18"/>
            </w:rPr>
          </w:pPr>
        </w:p>
      </w:tc>
    </w:tr>
  </w:tbl>
  <w:p w14:paraId="3E85D0EB" w14:textId="77777777" w:rsidR="00FC22AB" w:rsidRDefault="00427E7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5D0D8" w14:textId="77777777" w:rsidR="00000000" w:rsidRDefault="00427E79">
      <w:r>
        <w:rPr>
          <w:color w:val="000000"/>
        </w:rPr>
        <w:separator/>
      </w:r>
    </w:p>
  </w:footnote>
  <w:footnote w:type="continuationSeparator" w:id="0">
    <w:p w14:paraId="3E85D0DA" w14:textId="77777777" w:rsidR="00000000" w:rsidRDefault="00427E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5D0E0" w14:textId="77777777" w:rsidR="00FC22AB" w:rsidRDefault="00427E79">
    <w:pPr>
      <w:pStyle w:val="Antrat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85D0D8" wp14:editId="3E85D0D9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Kadras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E85D0DB" w14:textId="77777777" w:rsidR="00FC22AB" w:rsidRDefault="00427E79">
                          <w:pPr>
                            <w:pStyle w:val="Antrats"/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</w:rPr>
                            <w:t>2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85D0D8" id="_x0000_t202" coordsize="21600,21600" o:spt="202" path="m,l,21600r21600,l21600,xe">
              <v:stroke joinstyle="miter"/>
              <v:path gradientshapeok="t" o:connecttype="rect"/>
            </v:shapetype>
            <v:shape id="Kadras1" o:spid="_x0000_s1026" type="#_x0000_t202" style="position:absolute;margin-left:0;margin-top:.05pt;width:1.15pt;height:1.1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" filled="f" stroked="f">
              <v:textbox style="mso-fit-shape-to-text:t" inset="0,0,0,0">
                <w:txbxContent>
                  <w:p w14:paraId="3E85D0DB" w14:textId="77777777" w:rsidR="00FC22AB" w:rsidRDefault="00427E79">
                    <w:pPr>
                      <w:pStyle w:val="Antrats"/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rPr>
                        <w:rStyle w:val="Puslapionumeris"/>
                      </w:rPr>
                      <w:instrText xml:space="preserve"> PAGE </w:instrText>
                    </w:r>
                    <w:r>
                      <w:rPr>
                        <w:rStyle w:val="Puslapionumeris"/>
                      </w:rPr>
                      <w:fldChar w:fldCharType="separate"/>
                    </w:r>
                    <w:r>
                      <w:rPr>
                        <w:rStyle w:val="Puslapionumeris"/>
                      </w:rPr>
                      <w:t>2</w:t>
                    </w:r>
                    <w:r>
                      <w:rPr>
                        <w:rStyle w:val="Puslapionumeris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5D0E2" w14:textId="77777777" w:rsidR="00FC22AB" w:rsidRDefault="00427E79">
    <w:pPr>
      <w:pStyle w:val="Antrats"/>
      <w:spacing w:line="360" w:lineRule="auto"/>
      <w:jc w:val="center"/>
      <w:rPr>
        <w:lang w:eastAsia="en-US"/>
      </w:rPr>
    </w:pPr>
    <w:r>
      <w:rPr>
        <w:lang w:eastAsia="en-US"/>
      </w:rPr>
      <w:object w:dxaOrig="765" w:dyaOrig="780" w14:anchorId="3E85D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38.25pt;height:39pt;visibility:visible;mso-wrap-style:square" o:ole="">
          <v:imagedata r:id="rId1" o:title=""/>
        </v:shape>
        <o:OLEObject Type="Embed" ProgID="Word.Picture.8" ShapeID="Picture 1" DrawAspect="Content" ObjectID="_1634700485" r:id="rId2"/>
      </w:object>
    </w:r>
  </w:p>
  <w:p w14:paraId="3E85D0E3" w14:textId="77777777" w:rsidR="00FC22AB" w:rsidRDefault="00427E79">
    <w:pPr>
      <w:tabs>
        <w:tab w:val="left" w:pos="8222"/>
      </w:tabs>
      <w:jc w:val="center"/>
      <w:rPr>
        <w:b/>
        <w:spacing w:val="14"/>
      </w:rPr>
    </w:pPr>
    <w:r>
      <w:rPr>
        <w:b/>
        <w:spacing w:val="14"/>
      </w:rPr>
      <w:t>LIETUVOS RESPUBLIKOS</w:t>
    </w:r>
  </w:p>
  <w:p w14:paraId="3E85D0E4" w14:textId="77777777" w:rsidR="00FC22AB" w:rsidRDefault="00427E79">
    <w:pPr>
      <w:pStyle w:val="Antrats"/>
      <w:jc w:val="center"/>
    </w:pPr>
    <w:r>
      <w:rPr>
        <w:b/>
        <w:spacing w:val="14"/>
      </w:rPr>
      <w:t>GENERALINĖ PROKURATŪRA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revisionView w:inkAnnotations="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51AFF"/>
    <w:rsid w:val="00427E79"/>
    <w:rsid w:val="0055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85D0D8"/>
  <w15:docId w15:val="{D199C0FA-98E6-41C3-9040-81FA3968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Puslapioinaostekstas"/>
    <w:rPr>
      <w:sz w:val="18"/>
    </w:rPr>
  </w:style>
  <w:style w:type="paragraph" w:styleId="Puslapioinaostekstas">
    <w:name w:val="footnote text"/>
    <w:basedOn w:val="prastasis"/>
    <w:rPr>
      <w:sz w:val="20"/>
    </w:rPr>
  </w:style>
  <w:style w:type="paragraph" w:styleId="Debesliotekstas">
    <w:name w:val="Balloon Text"/>
    <w:basedOn w:val="prastasis"/>
    <w:rPr>
      <w:rFonts w:ascii="Tahoma" w:eastAsia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100" w:line="360" w:lineRule="auto"/>
      <w:jc w:val="center"/>
    </w:pPr>
    <w:rPr>
      <w:szCs w:val="24"/>
      <w:lang w:eastAsia="lt-LT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extbody">
    <w:name w:val="Text body"/>
    <w:basedOn w:val="Standard"/>
    <w:pPr>
      <w:spacing w:after="283" w:line="276" w:lineRule="auto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user">
    <w:name w:val="Footnote (user)"/>
    <w:basedOn w:val="Footnote"/>
    <w:rPr>
      <w:lang w:eastAsia="lt-LT"/>
    </w:r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AppData/Local/Microsoft/Windows/INetCache/IE/2018/2017-04-20%20ats%20TM%20del%20Bendrojo%20egzamino%20istatymo%20proejkto.odt/b100f003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b100f003</Template>
  <TotalTime>1</TotalTime>
  <Pages>3</Pages>
  <Words>810</Words>
  <Characters>463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Loreta</dc:creator>
  <cp:lastModifiedBy>Alvydas Tumasonis</cp:lastModifiedBy>
  <cp:revision>2</cp:revision>
  <cp:lastPrinted>2019-01-30T15:16:00Z</cp:lastPrinted>
  <dcterms:created xsi:type="dcterms:W3CDTF">2019-11-08T04:42:00Z</dcterms:created>
  <dcterms:modified xsi:type="dcterms:W3CDTF">2019-11-08T04:42:00Z</dcterms:modified>
</cp:coreProperties>
</file>