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8A1" w:rsidRDefault="00EE4F2C" w:rsidP="009E650C">
      <w:pPr>
        <w:jc w:val="center"/>
        <w:rPr>
          <w:b/>
        </w:rPr>
      </w:pPr>
      <w:r w:rsidRPr="00EE4F2C">
        <w:rPr>
          <w:b/>
        </w:rPr>
        <w:t xml:space="preserve">LIETUVOS RESPUBLIKOS JURIDINIŲ ASMENŲ NEMOKUMO ĮSTATYMO NR. XIII-2221  </w:t>
      </w:r>
    </w:p>
    <w:p w:rsidR="00EE4F2C" w:rsidRDefault="00EE4F2C" w:rsidP="009E650C">
      <w:pPr>
        <w:jc w:val="center"/>
        <w:rPr>
          <w:b/>
        </w:rPr>
      </w:pPr>
      <w:r w:rsidRPr="00EE4F2C">
        <w:rPr>
          <w:b/>
        </w:rPr>
        <w:t>29 STRAIPSNIO PAKEITIMO ĮSTATYMO PROJEKTO</w:t>
      </w:r>
    </w:p>
    <w:p w:rsidR="00A318D4" w:rsidRDefault="00A318D4" w:rsidP="009E650C">
      <w:pPr>
        <w:jc w:val="center"/>
      </w:pPr>
      <w:r w:rsidRPr="00A31CEF">
        <w:rPr>
          <w:b/>
        </w:rPr>
        <w:t>DERINIMO PAŽYMA</w:t>
      </w:r>
    </w:p>
    <w:p w:rsidR="00A318D4" w:rsidRDefault="00A318D4" w:rsidP="009E650C"/>
    <w:p w:rsidR="00A31CEF" w:rsidRDefault="00A31CEF" w:rsidP="009E650C"/>
    <w:tbl>
      <w:tblPr>
        <w:tblStyle w:val="Lentelstinklelis"/>
        <w:tblW w:w="14992" w:type="dxa"/>
        <w:tblLook w:val="04A0" w:firstRow="1" w:lastRow="0" w:firstColumn="1" w:lastColumn="0" w:noHBand="0" w:noVBand="1"/>
      </w:tblPr>
      <w:tblGrid>
        <w:gridCol w:w="2547"/>
        <w:gridCol w:w="6520"/>
        <w:gridCol w:w="5925"/>
      </w:tblGrid>
      <w:tr w:rsidR="00A318D4" w:rsidTr="002F7520">
        <w:tc>
          <w:tcPr>
            <w:tcW w:w="2547" w:type="dxa"/>
          </w:tcPr>
          <w:p w:rsidR="00A318D4" w:rsidRPr="00E20D86" w:rsidRDefault="00A318D4" w:rsidP="009E650C">
            <w:pPr>
              <w:jc w:val="center"/>
              <w:rPr>
                <w:b/>
                <w:szCs w:val="24"/>
              </w:rPr>
            </w:pPr>
            <w:r w:rsidRPr="00E20D86">
              <w:rPr>
                <w:b/>
                <w:szCs w:val="24"/>
              </w:rPr>
              <w:t>Institucija</w:t>
            </w:r>
          </w:p>
        </w:tc>
        <w:tc>
          <w:tcPr>
            <w:tcW w:w="6520" w:type="dxa"/>
          </w:tcPr>
          <w:p w:rsidR="00A318D4" w:rsidRPr="00E20D86" w:rsidRDefault="00A318D4" w:rsidP="009E650C">
            <w:pPr>
              <w:jc w:val="center"/>
              <w:rPr>
                <w:b/>
                <w:szCs w:val="24"/>
              </w:rPr>
            </w:pPr>
            <w:r w:rsidRPr="00E20D86">
              <w:rPr>
                <w:b/>
                <w:szCs w:val="24"/>
              </w:rPr>
              <w:t>Pastabos</w:t>
            </w:r>
          </w:p>
        </w:tc>
        <w:tc>
          <w:tcPr>
            <w:tcW w:w="5925" w:type="dxa"/>
          </w:tcPr>
          <w:p w:rsidR="00A318D4" w:rsidRPr="00E20D86" w:rsidRDefault="00A318D4" w:rsidP="009E650C">
            <w:pPr>
              <w:jc w:val="center"/>
              <w:rPr>
                <w:b/>
                <w:szCs w:val="24"/>
              </w:rPr>
            </w:pPr>
            <w:r w:rsidRPr="00E20D86">
              <w:rPr>
                <w:b/>
                <w:szCs w:val="24"/>
              </w:rPr>
              <w:t>Įvertinimas</w:t>
            </w:r>
          </w:p>
        </w:tc>
      </w:tr>
      <w:tr w:rsidR="00864AD0" w:rsidTr="002F7520">
        <w:trPr>
          <w:trHeight w:val="1607"/>
        </w:trPr>
        <w:tc>
          <w:tcPr>
            <w:tcW w:w="2547" w:type="dxa"/>
            <w:vMerge w:val="restart"/>
          </w:tcPr>
          <w:p w:rsidR="00864AD0" w:rsidRDefault="00EE4F2C" w:rsidP="009E650C">
            <w:pPr>
              <w:rPr>
                <w:szCs w:val="24"/>
              </w:rPr>
            </w:pPr>
            <w:r>
              <w:rPr>
                <w:szCs w:val="24"/>
              </w:rPr>
              <w:t>Lietuvos Respublikos finansų ministerija</w:t>
            </w:r>
          </w:p>
          <w:p w:rsidR="00EE4F2C" w:rsidRPr="007B2667" w:rsidRDefault="00EE4F2C" w:rsidP="009E650C">
            <w:pPr>
              <w:rPr>
                <w:szCs w:val="24"/>
              </w:rPr>
            </w:pPr>
            <w:r>
              <w:rPr>
                <w:szCs w:val="24"/>
              </w:rPr>
              <w:t>2020 m. kovo 9 d.</w:t>
            </w:r>
            <w:r w:rsidRPr="00EE4F2C">
              <w:rPr>
                <w:szCs w:val="24"/>
              </w:rPr>
              <w:t xml:space="preserve"> </w:t>
            </w:r>
            <w:r>
              <w:rPr>
                <w:szCs w:val="24"/>
              </w:rPr>
              <w:t xml:space="preserve">išvada </w:t>
            </w:r>
            <w:r w:rsidRPr="00EE4F2C">
              <w:rPr>
                <w:szCs w:val="24"/>
              </w:rPr>
              <w:t>Nr. ((6.2E-02)-5K-2003332)-6K-2001435</w:t>
            </w:r>
          </w:p>
        </w:tc>
        <w:tc>
          <w:tcPr>
            <w:tcW w:w="6520" w:type="dxa"/>
          </w:tcPr>
          <w:p w:rsidR="00E20D86" w:rsidRDefault="00E20D86" w:rsidP="009E650C">
            <w:pPr>
              <w:tabs>
                <w:tab w:val="left" w:pos="709"/>
              </w:tabs>
              <w:jc w:val="both"/>
            </w:pPr>
            <w:r>
              <w:rPr>
                <w:bCs/>
                <w:szCs w:val="24"/>
              </w:rPr>
              <w:t xml:space="preserve">1.1. Nepritariame siūlymui </w:t>
            </w:r>
            <w:r>
              <w:t xml:space="preserve">grįžti prie iki 2020 m. sausio 1 d. galiojusios Lietuvos Respublikos įmonių bankroto įstatymo (toliau – ĮBĮ) 15 straipsnio 2 dalyje įtvirtintos taisyklės, pagal kurią bankroto bylą nagrinėjantis teismas akumuliuodavo tik tokias </w:t>
            </w:r>
            <w:r w:rsidRPr="00D87708">
              <w:t>te</w:t>
            </w:r>
            <w:r>
              <w:t>ismuose esančias civilines bylas</w:t>
            </w:r>
            <w:r w:rsidRPr="00D87708">
              <w:t>, kuriose įmonei pareikšti turtiniai reikalavimai, tarp jų ir su darbo santykiais susiję reikalavimai</w:t>
            </w:r>
            <w:r>
              <w:t xml:space="preserve">, atsisakant </w:t>
            </w:r>
            <w:r>
              <w:rPr>
                <w:bCs/>
                <w:szCs w:val="24"/>
              </w:rPr>
              <w:t>Lietuvos Respublikos juridinių asmenų nemokumo įstatymo</w:t>
            </w:r>
            <w:r>
              <w:t xml:space="preserve"> </w:t>
            </w:r>
            <w:r>
              <w:rPr>
                <w:bCs/>
                <w:szCs w:val="24"/>
              </w:rPr>
              <w:t>(</w:t>
            </w:r>
            <w:r>
              <w:t xml:space="preserve">toliau – JANĮ) 29 straipsnio 1 dalyje numatyto bylų, kuriose </w:t>
            </w:r>
            <w:r w:rsidRPr="00D87708">
              <w:t xml:space="preserve">turtinius reikalavimus yra pareiškęs </w:t>
            </w:r>
            <w:r>
              <w:t xml:space="preserve">pats </w:t>
            </w:r>
            <w:r w:rsidRPr="00D87708">
              <w:t>juridinis asmuo</w:t>
            </w:r>
            <w:r>
              <w:t>, perdavimo n</w:t>
            </w:r>
            <w:r w:rsidRPr="00D87708">
              <w:t>emokumo bylą iškėlusiam teismui</w:t>
            </w:r>
            <w:r>
              <w:t xml:space="preserve">. Vadovaujantis  ĮBĮ 33 straipsnio 7 dalies nuostatomis, bankrutavusios įmonės likvidavimas (turto realizavimas) turėjo būti baigiamas per 24 mėnesius, tačiau praktikoje teismai buvo priversti pratęsinėti šį terminą kreditorių prašymu, ir pagrindinė to priežastis – užsitęsęs bylinėjimasis teismuose dėl įmonės turtinių reikalavimų. Būtent šios </w:t>
            </w:r>
            <w:r w:rsidRPr="00547512">
              <w:t>konkrečios praktinės problemos ir buvo įvertinos priimant JANĮ nuostatas dėl bylų, kuriose turtinius reikalavimus yra pareiškęs pats juridinis asmuo, perdavimo nemokumo bylą iškėlusiam teismui</w:t>
            </w:r>
            <w:r>
              <w:t>. Šios nuostatos buvo suderintos su Teisingumo ministerija</w:t>
            </w:r>
            <w:r w:rsidR="009E650C">
              <w:t xml:space="preserve"> ir Teisėjų taryba</w:t>
            </w:r>
            <w:r>
              <w:t xml:space="preserve">, joms pritarė </w:t>
            </w:r>
            <w:r>
              <w:rPr>
                <w:bCs/>
                <w:szCs w:val="24"/>
              </w:rPr>
              <w:t>Lietuvos Respublikos</w:t>
            </w:r>
            <w:r>
              <w:t xml:space="preserve"> Vyriausybė ir Seimas.</w:t>
            </w:r>
          </w:p>
          <w:p w:rsidR="00E20D86" w:rsidRDefault="00E20D86" w:rsidP="009E650C">
            <w:pPr>
              <w:tabs>
                <w:tab w:val="left" w:pos="709"/>
              </w:tabs>
              <w:jc w:val="both"/>
            </w:pPr>
            <w:r>
              <w:t xml:space="preserve">Vadovaujantis JANĮ 29 straipsnio 1 dalies nuostatomis, nemokumo bylą iškėlusiam teismui perduodamos tik tos bylos, </w:t>
            </w:r>
            <w:r w:rsidRPr="009959AF">
              <w:t>kai šiose bylose dar nepriimta nutartis skirti nagrinėti bylą teismo posėdyje,</w:t>
            </w:r>
            <w:r>
              <w:t xml:space="preserve"> todėl visų su juridiniu asmeniu susijusių kituose teismuose nepradėtų nagrinėti turtinių reikalavimų klausimų koncentravimas viename teisme užtikrintų</w:t>
            </w:r>
            <w:r w:rsidRPr="00F5193B">
              <w:t xml:space="preserve"> </w:t>
            </w:r>
            <w:r>
              <w:t xml:space="preserve">spartesnį nemokumo bylų nagrinėjimą. Jei būtų pastebėta, kad tokių bylų perdavimas lemia darbo krūvių tarp apylinkių ir apygardų teismų netolygumą, </w:t>
            </w:r>
            <w:r>
              <w:lastRenderedPageBreak/>
              <w:t xml:space="preserve">– šis klausimas galėtų būti sprendžiamas tobulinant teismų darbą. </w:t>
            </w:r>
            <w:r w:rsidRPr="00780C49">
              <w:t>Pažymėtina, kad viena iš Europos Sąjungos direktyvinių siekiamybių</w:t>
            </w:r>
            <w:r w:rsidR="009E650C">
              <w:t xml:space="preserve"> </w:t>
            </w:r>
            <w:r w:rsidRPr="00780C49">
              <w:t xml:space="preserve"> – teismų specializacija nemokumo srityje, todėl, JANĮ nuostatos buvo motyvuotos siekiu užtikrinti procesų koncentruotumą</w:t>
            </w:r>
            <w:r w:rsidR="009E650C">
              <w:t xml:space="preserve">, </w:t>
            </w:r>
            <w:r>
              <w:rPr>
                <w:color w:val="222222"/>
              </w:rPr>
              <w:t xml:space="preserve">sutelkiant visas teismines procedūras nemokumo bylą nagrinėjančiame teisme, </w:t>
            </w:r>
            <w:r>
              <w:t>tokiu būdu</w:t>
            </w:r>
            <w:r w:rsidRPr="00780C49">
              <w:t xml:space="preserve"> mažin</w:t>
            </w:r>
            <w:r>
              <w:t>an</w:t>
            </w:r>
            <w:r w:rsidRPr="00780C49">
              <w:t>t teismo</w:t>
            </w:r>
            <w:r>
              <w:t xml:space="preserve"> ir nemokumo proceso administravimo išlaidas. I</w:t>
            </w:r>
            <w:r w:rsidRPr="00780C49">
              <w:t>nformacijos apie juridinį asmenį sukaupim</w:t>
            </w:r>
            <w:r>
              <w:t xml:space="preserve">as tame pačiame teisme leidžia taupyti žmogiškuosius išteklius, laiką ir atlikti išsamesnę teisme nagrinėjamų klausimų </w:t>
            </w:r>
            <w:r w:rsidRPr="00780C49">
              <w:t xml:space="preserve">analizę. </w:t>
            </w:r>
          </w:p>
          <w:p w:rsidR="00E20D86" w:rsidRPr="000C5230" w:rsidRDefault="00E20D86" w:rsidP="009E650C">
            <w:pPr>
              <w:tabs>
                <w:tab w:val="left" w:pos="709"/>
              </w:tabs>
              <w:jc w:val="both"/>
              <w:rPr>
                <w:i/>
                <w:szCs w:val="24"/>
              </w:rPr>
            </w:pPr>
            <w:r>
              <w:t>Tai, kad Lietuvos Respublikos fizinių asmenų bankroto įstatymas (toliau – FABĮ) nenumato</w:t>
            </w:r>
            <w:r w:rsidRPr="001A39A4">
              <w:t xml:space="preserve"> </w:t>
            </w:r>
            <w:r w:rsidRPr="007B39D9">
              <w:t>bylų, kuriose turtinius r</w:t>
            </w:r>
            <w:r>
              <w:t>eikalavimus yra pareiškęs pats bankrutuojantis fizinis</w:t>
            </w:r>
            <w:r w:rsidRPr="007B39D9">
              <w:t xml:space="preserve"> asmuo, perdavimo </w:t>
            </w:r>
            <w:r>
              <w:t xml:space="preserve">bankroto </w:t>
            </w:r>
            <w:r w:rsidRPr="007B39D9">
              <w:t>bylą iškėlusiam teismui</w:t>
            </w:r>
            <w:r>
              <w:t xml:space="preserve">, neturėtų būti pakankamas pagrindas analogijai juridinių asmenų nemokumo procesuose. Vadovaujantis FABĮ 4 straipsnio 1 dalimi, fizinių asmenų bankroto bylos nagrinėjamos apylinkių teismuose, ir apylinkių teismai, vadovaudamiesi FABĮ 6 straipsnio 4 dalies 2 punktu, </w:t>
            </w:r>
            <w:r w:rsidRPr="000C5230">
              <w:rPr>
                <w:szCs w:val="24"/>
              </w:rPr>
              <w:t>kit</w:t>
            </w:r>
            <w:r>
              <w:rPr>
                <w:szCs w:val="24"/>
              </w:rPr>
              <w:t>uose</w:t>
            </w:r>
            <w:r w:rsidRPr="000C5230">
              <w:rPr>
                <w:szCs w:val="24"/>
              </w:rPr>
              <w:t xml:space="preserve"> teism</w:t>
            </w:r>
            <w:r>
              <w:rPr>
                <w:szCs w:val="24"/>
              </w:rPr>
              <w:t>uose nagrinėjamas</w:t>
            </w:r>
            <w:r w:rsidRPr="000C5230">
              <w:rPr>
                <w:szCs w:val="24"/>
              </w:rPr>
              <w:t xml:space="preserve"> byl</w:t>
            </w:r>
            <w:r>
              <w:rPr>
                <w:szCs w:val="24"/>
              </w:rPr>
              <w:t>as</w:t>
            </w:r>
            <w:r w:rsidRPr="000C5230">
              <w:rPr>
                <w:szCs w:val="24"/>
              </w:rPr>
              <w:t xml:space="preserve">, kuriose fiziniam asmeniui pareikšti turtiniai reikalavimai, </w:t>
            </w:r>
            <w:r w:rsidRPr="00FD44B4">
              <w:rPr>
                <w:i/>
                <w:szCs w:val="24"/>
              </w:rPr>
              <w:t xml:space="preserve">perima </w:t>
            </w:r>
            <w:r w:rsidRPr="000C5230">
              <w:rPr>
                <w:i/>
                <w:szCs w:val="24"/>
              </w:rPr>
              <w:t>proceso įstatymo nustatytais atvejais</w:t>
            </w:r>
            <w:r w:rsidRPr="00FD44B4">
              <w:rPr>
                <w:i/>
                <w:szCs w:val="24"/>
              </w:rPr>
              <w:t>.</w:t>
            </w:r>
          </w:p>
          <w:p w:rsidR="00E20D86" w:rsidRPr="00E20D86" w:rsidRDefault="00E20D86" w:rsidP="009E650C">
            <w:pPr>
              <w:tabs>
                <w:tab w:val="left" w:pos="709"/>
              </w:tabs>
              <w:jc w:val="both"/>
            </w:pPr>
            <w:r>
              <w:t>J</w:t>
            </w:r>
            <w:r>
              <w:t xml:space="preserve">ei, Teisingumo ministerijos nuomone, JANĮ 29 straipsnio 1 dalies nuostatos dėl </w:t>
            </w:r>
            <w:r w:rsidRPr="00060EFF">
              <w:t>bylų, kuriose turtinius reikalavimus yra pareiškęs pats juridinis asmuo, perdavimo nemokumo bylą iškėlusiam teismui</w:t>
            </w:r>
            <w:r>
              <w:t xml:space="preserve"> konkuruoja su </w:t>
            </w:r>
            <w:r w:rsidRPr="005246E3">
              <w:rPr>
                <w:bCs/>
                <w:szCs w:val="24"/>
              </w:rPr>
              <w:t xml:space="preserve">Lietuvos Respublikos civilinio proceso kodekso (toliau – </w:t>
            </w:r>
            <w:r>
              <w:t xml:space="preserve">CPK) 163 straipsnio 1 dalies 5 punkte ir 166 straipsnio 2 dalyje nustatytu teisiniu reguliavimu, pagal kurį bankroto ar restruktūrizavimo bylą iškėlusiam teismui perduodama tik tokia byla, kurioje atsakovui yra pareikšti turtiniai reikalavimai, siūlytume keisti ne JANĮ, o atitinkamai papildyti kartu su JANĮ pakeitimo projektu pateiktą </w:t>
            </w:r>
            <w:r>
              <w:rPr>
                <w:bCs/>
                <w:szCs w:val="24"/>
              </w:rPr>
              <w:t xml:space="preserve">CPK pakeitimo projektą. Atlikus CPK pakeitimus, siekiant išvengti prieštaravimo, siūlytumėme bendrame įstatymų projektų pakete pateikti ir FABĮ pakeitimo projektą, kuriame FABĮ </w:t>
            </w:r>
            <w:r>
              <w:t xml:space="preserve">6 straipsnis būtų suderintas su CPK 163 straipsnio pakeitimais. Manome, kad CPK ir FABĮ </w:t>
            </w:r>
            <w:r>
              <w:lastRenderedPageBreak/>
              <w:t>pakeitimai leistų tinkamai įgyvendinti teisėkūros sistemiškumo principą, užtikrinant galiojančių JANĮ nuostatų suderina</w:t>
            </w:r>
            <w:r>
              <w:t xml:space="preserve">mumą su CPK ir FABĮ nuostatomis. </w:t>
            </w:r>
          </w:p>
        </w:tc>
        <w:tc>
          <w:tcPr>
            <w:tcW w:w="5925" w:type="dxa"/>
          </w:tcPr>
          <w:p w:rsidR="00864AD0" w:rsidRDefault="00864AD0" w:rsidP="009E650C">
            <w:pPr>
              <w:jc w:val="both"/>
              <w:rPr>
                <w:b/>
                <w:szCs w:val="24"/>
              </w:rPr>
            </w:pPr>
            <w:r w:rsidRPr="007B2667">
              <w:rPr>
                <w:b/>
                <w:szCs w:val="24"/>
              </w:rPr>
              <w:lastRenderedPageBreak/>
              <w:t>Neatsižvelgta.</w:t>
            </w:r>
          </w:p>
          <w:p w:rsidR="00E20D86" w:rsidRDefault="0098575A" w:rsidP="009E650C">
            <w:pPr>
              <w:jc w:val="both"/>
              <w:rPr>
                <w:szCs w:val="24"/>
              </w:rPr>
            </w:pPr>
            <w:r>
              <w:rPr>
                <w:szCs w:val="24"/>
              </w:rPr>
              <w:t>Atsižvelgiant į didelį</w:t>
            </w:r>
            <w:r w:rsidR="00E20D86" w:rsidRPr="009E650C">
              <w:rPr>
                <w:szCs w:val="24"/>
              </w:rPr>
              <w:t xml:space="preserve"> Finansų ministerijos įgyvendintos įmoni</w:t>
            </w:r>
            <w:r w:rsidR="0043008F">
              <w:rPr>
                <w:szCs w:val="24"/>
              </w:rPr>
              <w:t xml:space="preserve">ų bankroto reformos mastą, </w:t>
            </w:r>
            <w:r w:rsidR="00E20D86" w:rsidRPr="009E650C">
              <w:rPr>
                <w:szCs w:val="24"/>
              </w:rPr>
              <w:t>2020 m. sausio 1 d. įsigaliojusio naujojo Juridinių asmenų nemokumo įstatymo</w:t>
            </w:r>
            <w:r w:rsidR="0043008F">
              <w:rPr>
                <w:szCs w:val="24"/>
              </w:rPr>
              <w:t xml:space="preserve">  (toliau – JANĮ)</w:t>
            </w:r>
            <w:r w:rsidR="00E20D86" w:rsidRPr="009E650C">
              <w:rPr>
                <w:szCs w:val="24"/>
              </w:rPr>
              <w:t xml:space="preserve"> nuostatų, dėl </w:t>
            </w:r>
            <w:r w:rsidR="0043008F">
              <w:rPr>
                <w:szCs w:val="24"/>
              </w:rPr>
              <w:t>tam būtino laiko stokos, nebuvo galimybės išsamiai įvertinti</w:t>
            </w:r>
            <w:r w:rsidR="00E20D86" w:rsidRPr="009E650C">
              <w:rPr>
                <w:szCs w:val="24"/>
              </w:rPr>
              <w:t xml:space="preserve"> išanalizuojant galimą atskir</w:t>
            </w:r>
            <w:r w:rsidR="009E650C" w:rsidRPr="009E650C">
              <w:rPr>
                <w:szCs w:val="24"/>
              </w:rPr>
              <w:t xml:space="preserve">ų šio įstatymo nuostatų poveikį. </w:t>
            </w:r>
            <w:r w:rsidR="00165E71">
              <w:rPr>
                <w:szCs w:val="24"/>
              </w:rPr>
              <w:t>Atsižvelgiant į tai, manytina, kad diskusijos dėl atskirų JANĮ nuostatų pagrįstumo i</w:t>
            </w:r>
            <w:r w:rsidR="00E91539">
              <w:rPr>
                <w:szCs w:val="24"/>
              </w:rPr>
              <w:t>r jų tobulinimo galimybių turi</w:t>
            </w:r>
            <w:r w:rsidR="00165E71">
              <w:rPr>
                <w:szCs w:val="24"/>
              </w:rPr>
              <w:t xml:space="preserve"> būti tęsiamos. </w:t>
            </w:r>
          </w:p>
          <w:p w:rsidR="00B31A0F" w:rsidRDefault="00165E71" w:rsidP="009E650C">
            <w:pPr>
              <w:jc w:val="both"/>
              <w:rPr>
                <w:szCs w:val="24"/>
              </w:rPr>
            </w:pPr>
            <w:r>
              <w:rPr>
                <w:szCs w:val="24"/>
              </w:rPr>
              <w:t>Pirmiausiai pažymėtina, kad JANĮ 29 straipsnio 1 dalyje numatytas bylų priskyrimas apygardų teismams pagal vienintelį kriterijų – kai turtinius reikalavimus pareiškia juridinis asmuo</w:t>
            </w:r>
            <w:r w:rsidR="00B31A0F">
              <w:rPr>
                <w:szCs w:val="24"/>
              </w:rPr>
              <w:t>, kuriam iškelta nemokumo byla – iškreipia bendrosios kompetencijos teismų hierarchinę sistemą, pagal kurią apygardų teismuose pirmąja instancija paprastai nagrinėjamos sudėtingesnės civilinės bylos. Tokiu būdu apygardų teismai savo ribotus resursus turės nukreipti ir į nesudėtingų teisinių ginčų sprendimą, kas tik</w:t>
            </w:r>
            <w:r w:rsidR="00373178">
              <w:rPr>
                <w:szCs w:val="24"/>
              </w:rPr>
              <w:t xml:space="preserve"> dar labiau sulėtins šiai instancijai priskirstų kitų bylų</w:t>
            </w:r>
            <w:r w:rsidR="00B31A0F">
              <w:rPr>
                <w:szCs w:val="24"/>
              </w:rPr>
              <w:t>, tarp jų ir juridinių asmenų nemokumo bylų</w:t>
            </w:r>
            <w:r w:rsidR="00F1282F">
              <w:rPr>
                <w:szCs w:val="24"/>
              </w:rPr>
              <w:t>,</w:t>
            </w:r>
            <w:r w:rsidR="00B31A0F">
              <w:rPr>
                <w:szCs w:val="24"/>
              </w:rPr>
              <w:t xml:space="preserve"> nagrinėjimą. </w:t>
            </w:r>
          </w:p>
          <w:p w:rsidR="00B31A0F" w:rsidRDefault="00B31A0F" w:rsidP="009E650C">
            <w:pPr>
              <w:jc w:val="both"/>
              <w:rPr>
                <w:szCs w:val="24"/>
              </w:rPr>
            </w:pPr>
            <w:r>
              <w:rPr>
                <w:szCs w:val="24"/>
              </w:rPr>
              <w:t xml:space="preserve">Išvadoje nurodoma, kad tokių nuostatų įtvirtinimą lėmė </w:t>
            </w:r>
            <w:r w:rsidRPr="00B31A0F">
              <w:rPr>
                <w:szCs w:val="24"/>
              </w:rPr>
              <w:t>užsitęsęs bylinėjimasis teismuose dėl įmonės turtinių reikalavimų.</w:t>
            </w:r>
            <w:r>
              <w:rPr>
                <w:szCs w:val="24"/>
              </w:rPr>
              <w:t xml:space="preserve"> Šiame kontekste atkreiptinas dėmesys, kad civilinės bylos pirmąja instancija apylinkių teismuose vidutiniškai išnagrinėjamos 2,5 greičiau nei apygardų teismuose (2019 m. duomenimis, </w:t>
            </w:r>
            <w:r w:rsidRPr="00B31A0F">
              <w:rPr>
                <w:szCs w:val="24"/>
              </w:rPr>
              <w:t>civilinė byla apygardos teisme išnagrinėjama vidutiniškai per 231 dienas, kai tuo tarpu a</w:t>
            </w:r>
            <w:r>
              <w:rPr>
                <w:szCs w:val="24"/>
              </w:rPr>
              <w:t xml:space="preserve">pylinkės teisme – per 95 dienas). Atsižvelgiant į tai, abejotina, ar juridinių asmenų nemokumo bylą </w:t>
            </w:r>
            <w:r>
              <w:rPr>
                <w:szCs w:val="24"/>
              </w:rPr>
              <w:lastRenderedPageBreak/>
              <w:t xml:space="preserve">nagrinėjantys apygardų teismai tokias bylas išnagrinėtų greičiau nei apylinkių teismai. Išvadoje taip pat nepateikti jokie argumentai, kurie leistų pagrįsti pateiktą prielaidą, kad </w:t>
            </w:r>
            <w:r w:rsidRPr="00B31A0F">
              <w:rPr>
                <w:szCs w:val="24"/>
              </w:rPr>
              <w:t>visų su juridiniu asmeniu susijusių kituose teismuose nepradėtų nagrinėti turtinių reikalavimų klausimų koncentravimas viename teisme užtikrintų spartesnį nemokumo bylų nagrinėjimą</w:t>
            </w:r>
            <w:r>
              <w:rPr>
                <w:szCs w:val="24"/>
              </w:rPr>
              <w:t xml:space="preserve">. </w:t>
            </w:r>
            <w:r w:rsidR="00786B69">
              <w:rPr>
                <w:szCs w:val="24"/>
              </w:rPr>
              <w:t>Kartu pažymėtina, kad visa informacija apie nemokaus juridinio asmens vardu kituose teismuose pareikštus turtinius reikalavimus</w:t>
            </w:r>
            <w:r w:rsidR="00373178">
              <w:rPr>
                <w:szCs w:val="24"/>
              </w:rPr>
              <w:t xml:space="preserve"> būtų </w:t>
            </w:r>
            <w:r w:rsidR="00786B69">
              <w:rPr>
                <w:szCs w:val="24"/>
              </w:rPr>
              <w:t xml:space="preserve"> operatyviai ir laisvai prieinama tiek nemokumo bylą nagrinėjančiam teismui, tiek nemokumo administratoriui, kuris</w:t>
            </w:r>
            <w:r w:rsidR="00786B69">
              <w:t xml:space="preserve"> </w:t>
            </w:r>
            <w:r w:rsidR="00786B69" w:rsidRPr="00786B69">
              <w:rPr>
                <w:szCs w:val="24"/>
              </w:rPr>
              <w:t>bankroto proceso metu įgyvendina</w:t>
            </w:r>
            <w:r w:rsidR="00786B69">
              <w:rPr>
                <w:szCs w:val="24"/>
              </w:rPr>
              <w:t xml:space="preserve"> </w:t>
            </w:r>
            <w:r w:rsidR="00373178">
              <w:rPr>
                <w:szCs w:val="24"/>
              </w:rPr>
              <w:t>j</w:t>
            </w:r>
            <w:r w:rsidR="00786B69" w:rsidRPr="00786B69">
              <w:rPr>
                <w:szCs w:val="24"/>
              </w:rPr>
              <w:t>uridinio asmens va</w:t>
            </w:r>
            <w:r w:rsidR="00373178">
              <w:rPr>
                <w:szCs w:val="24"/>
              </w:rPr>
              <w:t xml:space="preserve">ldymo organo teises ir pareigas. </w:t>
            </w:r>
          </w:p>
          <w:p w:rsidR="00E91539" w:rsidRDefault="00856F88" w:rsidP="009E650C">
            <w:pPr>
              <w:jc w:val="both"/>
              <w:rPr>
                <w:szCs w:val="24"/>
              </w:rPr>
            </w:pPr>
            <w:r>
              <w:rPr>
                <w:szCs w:val="24"/>
              </w:rPr>
              <w:t xml:space="preserve">Mūsų </w:t>
            </w:r>
            <w:r w:rsidR="00E91539">
              <w:rPr>
                <w:szCs w:val="24"/>
              </w:rPr>
              <w:t xml:space="preserve">vertinimu, siūlomi JANĮ 29 straipsnio 1 dalies nuostatų pakeitimai nedarys neigiamo poveikio teismų ar teisėjų </w:t>
            </w:r>
            <w:r w:rsidR="00373178">
              <w:rPr>
                <w:szCs w:val="24"/>
              </w:rPr>
              <w:t xml:space="preserve">išvadoje akcentuojamam </w:t>
            </w:r>
            <w:r w:rsidR="00E91539">
              <w:rPr>
                <w:szCs w:val="24"/>
              </w:rPr>
              <w:t xml:space="preserve">specializacijos juridinių asmenų </w:t>
            </w:r>
            <w:r w:rsidR="002F7520">
              <w:rPr>
                <w:szCs w:val="24"/>
              </w:rPr>
              <w:t xml:space="preserve">nemokumo srityje siekio realizavimui – atvirkščiai, leis išgryninti apygardų teismų kartu su juridinio asmens nemokymo byla papildomai nagrinėjamas bylas, akumuliuojant tik tokias bylas, kurios turi tiesioginį poveikį tolesnei nemokumo proceso eigai (pavyzdžiui, kai būtina kuo skubiau identifikuoti visus nemokaus juridinio asmens kreditorius). </w:t>
            </w:r>
          </w:p>
          <w:p w:rsidR="0043008F" w:rsidRDefault="00F1282F" w:rsidP="009E650C">
            <w:pPr>
              <w:jc w:val="both"/>
              <w:rPr>
                <w:szCs w:val="24"/>
              </w:rPr>
            </w:pPr>
            <w:r>
              <w:rPr>
                <w:szCs w:val="24"/>
              </w:rPr>
              <w:t xml:space="preserve">Kartu pastebėtina, kad, </w:t>
            </w:r>
            <w:r w:rsidR="00B31A0F">
              <w:rPr>
                <w:szCs w:val="24"/>
              </w:rPr>
              <w:t>v</w:t>
            </w:r>
            <w:r w:rsidR="0043008F">
              <w:rPr>
                <w:szCs w:val="24"/>
              </w:rPr>
              <w:t>adovaujantis galiojančiomis JANĮ 15 straipsnio 1 dalies nuostatomis, j</w:t>
            </w:r>
            <w:r w:rsidR="0043008F" w:rsidRPr="0043008F">
              <w:rPr>
                <w:szCs w:val="24"/>
              </w:rPr>
              <w:t>uridinių asmenų nemokumo bylos keliamos apygardų teismuose pagal juridinio asmens buveinės vietą.</w:t>
            </w:r>
            <w:r w:rsidR="0043008F">
              <w:rPr>
                <w:szCs w:val="24"/>
              </w:rPr>
              <w:t xml:space="preserve"> Kadangi didžioji dalis juridinių asmenų veiklos ir, atitinkamai, jų buveinių susikoncentravusios didžiuosiuose Lietuvos miestuose, tokia nemokumo bylų priskyrimo apygardų teismams taisyklė lemia tai, kad didžiųjų miestų apygardų teismai neproporcingai apkrauti juridinių asmenų bankroto, po 2020 m. sausio 1 d. – atitinkamai juridinių asmenų nemokumo bylų nagrinėjimu. Nacionalinės teismų administracijos pateiktais statistiniais duomenimis, Vilniaus apygardos </w:t>
            </w:r>
            <w:r w:rsidR="0043008F">
              <w:rPr>
                <w:szCs w:val="24"/>
              </w:rPr>
              <w:lastRenderedPageBreak/>
              <w:t>teismas per 2019 m. metus iš nagrinėjo virš 40 procentų visų per šį laikotarpį išnagrinėtų juridinių asmenų bankroto bylų, kai pavyzdžiui Panevėžio apygardos teismas išnagrinėjo vos 7 procentus visų šio</w:t>
            </w:r>
            <w:r w:rsidR="009768A1">
              <w:rPr>
                <w:szCs w:val="24"/>
              </w:rPr>
              <w:t>s</w:t>
            </w:r>
            <w:r w:rsidR="0043008F">
              <w:rPr>
                <w:szCs w:val="24"/>
              </w:rPr>
              <w:t xml:space="preserve"> kategorijos bylų. Kartu svarbu pažymėti, kad juridinių asmenų bankroto bylos sudaro žymią dalį apygardų teismų darbo krūvio, pavyzdžiui, vien Vilniaus apygardos teisme juridinių asmenų bankroto bylos sudaro daugiau nei 40 procentų visų šio teismo pirmąja instancija išnagrinėtų civilinių bylų </w:t>
            </w:r>
            <w:r w:rsidR="00165E71">
              <w:rPr>
                <w:szCs w:val="24"/>
              </w:rPr>
              <w:t>skaičiaus. Taigi, itin apkrautiems didžiųjų miestų apygardų teismams pirmąja instancija priskyrus nagrinėti ir tokias bylas, kuriose pats nemokus juridinis asmuo yra pareiškęs turtinius reika</w:t>
            </w:r>
            <w:r w:rsidR="00383032">
              <w:rPr>
                <w:szCs w:val="24"/>
              </w:rPr>
              <w:t xml:space="preserve">lavimus, šių teismų darbo krūviai toliau </w:t>
            </w:r>
            <w:r w:rsidR="00165E71">
              <w:rPr>
                <w:szCs w:val="24"/>
              </w:rPr>
              <w:t>neproporcingai didėtų. Teisėjų tarybos pateiktais duomenimis, 2019 m. Vilniaus apygardos teismo darbo krūvis nagrinėjant civilines bylas pirmąja instancija buvo 20 proc. didesnis palyginus su darbo krūvių vidurkiu apygardų teismuose. Taigi, galiojančiomis JANĮ 29 straipsnio 1</w:t>
            </w:r>
            <w:r w:rsidR="00B31A0F">
              <w:rPr>
                <w:szCs w:val="24"/>
              </w:rPr>
              <w:t xml:space="preserve"> dalies </w:t>
            </w:r>
            <w:r w:rsidR="00E91539">
              <w:rPr>
                <w:szCs w:val="24"/>
              </w:rPr>
              <w:t xml:space="preserve">nuostatomis </w:t>
            </w:r>
            <w:r w:rsidR="00383032">
              <w:rPr>
                <w:szCs w:val="24"/>
              </w:rPr>
              <w:t xml:space="preserve">tik </w:t>
            </w:r>
            <w:r w:rsidR="00B31A0F">
              <w:rPr>
                <w:szCs w:val="24"/>
              </w:rPr>
              <w:t>dar labiau pagilinama</w:t>
            </w:r>
            <w:r w:rsidR="00165E71">
              <w:rPr>
                <w:szCs w:val="24"/>
              </w:rPr>
              <w:t xml:space="preserve"> ši apygardų teismų darbo krūvių disbalanso problema.</w:t>
            </w:r>
          </w:p>
          <w:p w:rsidR="00165E71" w:rsidRDefault="00165E71" w:rsidP="009E650C">
            <w:pPr>
              <w:jc w:val="both"/>
              <w:rPr>
                <w:szCs w:val="24"/>
              </w:rPr>
            </w:pPr>
          </w:p>
          <w:p w:rsidR="0098575A" w:rsidRDefault="0098575A" w:rsidP="009E650C">
            <w:pPr>
              <w:jc w:val="both"/>
              <w:rPr>
                <w:szCs w:val="24"/>
              </w:rPr>
            </w:pPr>
          </w:p>
          <w:p w:rsidR="009E650C" w:rsidRPr="009E650C" w:rsidRDefault="009E650C" w:rsidP="009E650C">
            <w:pPr>
              <w:jc w:val="both"/>
              <w:rPr>
                <w:szCs w:val="24"/>
              </w:rPr>
            </w:pPr>
          </w:p>
          <w:p w:rsidR="00A5028D" w:rsidRPr="007B2667" w:rsidRDefault="00A5028D" w:rsidP="009E650C">
            <w:pPr>
              <w:jc w:val="both"/>
              <w:rPr>
                <w:szCs w:val="24"/>
              </w:rPr>
            </w:pPr>
          </w:p>
        </w:tc>
      </w:tr>
      <w:tr w:rsidR="008F5A3A" w:rsidTr="002F7520">
        <w:trPr>
          <w:trHeight w:val="1607"/>
        </w:trPr>
        <w:tc>
          <w:tcPr>
            <w:tcW w:w="2547" w:type="dxa"/>
            <w:vMerge/>
          </w:tcPr>
          <w:p w:rsidR="008F5A3A" w:rsidRPr="007B2667" w:rsidRDefault="008F5A3A" w:rsidP="009E650C">
            <w:pPr>
              <w:rPr>
                <w:szCs w:val="24"/>
              </w:rPr>
            </w:pPr>
          </w:p>
        </w:tc>
        <w:tc>
          <w:tcPr>
            <w:tcW w:w="6520" w:type="dxa"/>
          </w:tcPr>
          <w:p w:rsidR="00E20D86" w:rsidRPr="00E20D86" w:rsidRDefault="00E20D86" w:rsidP="009E650C">
            <w:pPr>
              <w:widowControl w:val="0"/>
              <w:tabs>
                <w:tab w:val="left" w:pos="1134"/>
              </w:tabs>
              <w:jc w:val="both"/>
              <w:rPr>
                <w:szCs w:val="24"/>
              </w:rPr>
            </w:pPr>
            <w:r w:rsidRPr="00E20D86">
              <w:rPr>
                <w:szCs w:val="24"/>
              </w:rPr>
              <w:t xml:space="preserve">1.2. JANĮ pakeitimo projekte 29 straipsnio 2 dalyje siūloma nustatyti, kad baudžiamosiose bylose pareikšti juridinio asmens kreditorių civiliniai ieškiniai ir su šiais ieškiniais susiję dokumentai gali būti perduodami nagrinėti nemokumo bylą iškėlusiam teismui Lietuvos Respublikos baudžiamojo proceso kodekso (toliau – BPK) nustatyta tvarka. Dispozityvi tokių bylų perdavimo nemokumo bylą iškėlusiam teismui taisyklė „paraidžiui“ atitiktų BPK nustatytą teisinį reguliavimą, tačiau sistemiškai vertindami JANĮ ir BPK nuostatas, manome, kad galiojančios JANĮ 29 straipsnio 2 dalies nuostatos imperatyviai nukreipia į BPK nuostatas dėl ieškinių ir dokumentų dispozityvaus </w:t>
            </w:r>
            <w:r w:rsidRPr="00E20D86">
              <w:rPr>
                <w:szCs w:val="24"/>
              </w:rPr>
              <w:lastRenderedPageBreak/>
              <w:t>perdavimo, todėl būtent toks reguliavimas ir turėtų būti suprantamas kaip dispozityvios taisyklės nuoseklus įtvirtinimas. Manytina, kad JANĮ 29 straipsnio 2 dalyje dispozityvi taisyklė būtų perteklinė, todėl nepritariame JANĮ 29 straipsnio 2 dalies keitimui.</w:t>
            </w:r>
          </w:p>
          <w:p w:rsidR="00216473" w:rsidRPr="007B2667" w:rsidRDefault="00E20D86" w:rsidP="009E650C">
            <w:pPr>
              <w:widowControl w:val="0"/>
              <w:tabs>
                <w:tab w:val="left" w:pos="1134"/>
              </w:tabs>
              <w:jc w:val="both"/>
              <w:rPr>
                <w:szCs w:val="24"/>
              </w:rPr>
            </w:pPr>
            <w:r w:rsidRPr="00E20D86">
              <w:rPr>
                <w:szCs w:val="24"/>
              </w:rPr>
              <w:t>Atkreipiame dėmesį ir į tai, kad BPK 114 straipsnio galutinė 2019 m. birželio 13 d. įstatymo Nr. XIII-2225 redakcija buvo pakeista ir priimta Seime kartu su JANĮ, JANĮ 29 straipsnio 2 dalies nekeičiant.</w:t>
            </w:r>
          </w:p>
        </w:tc>
        <w:tc>
          <w:tcPr>
            <w:tcW w:w="5925" w:type="dxa"/>
          </w:tcPr>
          <w:p w:rsidR="008F1B64" w:rsidRDefault="008F1B64" w:rsidP="009E650C">
            <w:pPr>
              <w:jc w:val="both"/>
              <w:rPr>
                <w:b/>
                <w:szCs w:val="24"/>
              </w:rPr>
            </w:pPr>
            <w:r w:rsidRPr="007B2667">
              <w:rPr>
                <w:b/>
                <w:szCs w:val="24"/>
              </w:rPr>
              <w:lastRenderedPageBreak/>
              <w:t>Neatsižvelgta.</w:t>
            </w:r>
          </w:p>
          <w:p w:rsidR="004906A1" w:rsidRPr="004906A1" w:rsidRDefault="004906A1" w:rsidP="009E650C">
            <w:pPr>
              <w:jc w:val="both"/>
              <w:rPr>
                <w:szCs w:val="24"/>
              </w:rPr>
            </w:pPr>
            <w:r w:rsidRPr="004906A1">
              <w:rPr>
                <w:szCs w:val="24"/>
              </w:rPr>
              <w:t>Siūlomi JANĮ 29 straipsnio pakeitimai į galiojantį teisinį reguliavimą įneša daugiau teisinio aiškumo, užkerta</w:t>
            </w:r>
            <w:r w:rsidR="00C90FAE">
              <w:rPr>
                <w:szCs w:val="24"/>
              </w:rPr>
              <w:t xml:space="preserve"> kelią netinkamo šių nuostatų aiškinimo ar taikymo galimybei</w:t>
            </w:r>
            <w:r w:rsidRPr="004906A1">
              <w:rPr>
                <w:szCs w:val="24"/>
              </w:rPr>
              <w:t xml:space="preserve">, todėl, kaip </w:t>
            </w:r>
            <w:r w:rsidR="00C90FAE">
              <w:rPr>
                <w:szCs w:val="24"/>
              </w:rPr>
              <w:t xml:space="preserve">užtikrinantys </w:t>
            </w:r>
            <w:r w:rsidRPr="004906A1">
              <w:rPr>
                <w:szCs w:val="24"/>
              </w:rPr>
              <w:t xml:space="preserve">teisėkūros </w:t>
            </w:r>
            <w:r w:rsidR="00C90FAE">
              <w:rPr>
                <w:szCs w:val="24"/>
              </w:rPr>
              <w:t xml:space="preserve">aiškumo ir sistemiškumo principų įgyvendinimą, yra tikslingi. </w:t>
            </w:r>
          </w:p>
          <w:p w:rsidR="008F5A3A" w:rsidRPr="007B2667" w:rsidRDefault="008F5A3A" w:rsidP="009E650C">
            <w:pPr>
              <w:jc w:val="both"/>
              <w:rPr>
                <w:szCs w:val="24"/>
              </w:rPr>
            </w:pPr>
          </w:p>
        </w:tc>
      </w:tr>
      <w:tr w:rsidR="00E20D86" w:rsidTr="002F7520">
        <w:trPr>
          <w:trHeight w:val="1607"/>
        </w:trPr>
        <w:tc>
          <w:tcPr>
            <w:tcW w:w="2547" w:type="dxa"/>
          </w:tcPr>
          <w:p w:rsidR="00E20D86" w:rsidRPr="007B2667" w:rsidRDefault="00E20D86" w:rsidP="009E650C">
            <w:pPr>
              <w:rPr>
                <w:szCs w:val="24"/>
              </w:rPr>
            </w:pPr>
          </w:p>
        </w:tc>
        <w:tc>
          <w:tcPr>
            <w:tcW w:w="6520" w:type="dxa"/>
          </w:tcPr>
          <w:p w:rsidR="00E20D86" w:rsidRPr="00E20D86" w:rsidRDefault="00E20D86" w:rsidP="009E650C">
            <w:pPr>
              <w:widowControl w:val="0"/>
              <w:tabs>
                <w:tab w:val="left" w:pos="1134"/>
              </w:tabs>
              <w:jc w:val="both"/>
              <w:rPr>
                <w:szCs w:val="24"/>
              </w:rPr>
            </w:pPr>
            <w:r w:rsidRPr="00E20D86">
              <w:rPr>
                <w:szCs w:val="24"/>
              </w:rPr>
              <w:t>1.3. Apibendrindami tai, kas išdėstyta, siūlome JANĮ pakeitimo projekto atsisakyti ir vietoje jo parengti minėtus CPK ir FABĮ pakeitimus. Finansų ministerija pasirengusi bendradarbiauti rengiant šiuos projektus.</w:t>
            </w:r>
          </w:p>
        </w:tc>
        <w:tc>
          <w:tcPr>
            <w:tcW w:w="5925" w:type="dxa"/>
          </w:tcPr>
          <w:p w:rsidR="00E20D86" w:rsidRDefault="00E20D86" w:rsidP="009E650C">
            <w:pPr>
              <w:jc w:val="both"/>
              <w:rPr>
                <w:b/>
                <w:szCs w:val="24"/>
              </w:rPr>
            </w:pPr>
            <w:r>
              <w:rPr>
                <w:b/>
                <w:szCs w:val="24"/>
              </w:rPr>
              <w:t xml:space="preserve">Neatsižvelgta. </w:t>
            </w:r>
          </w:p>
          <w:p w:rsidR="00E20D86" w:rsidRPr="00E20D86" w:rsidRDefault="00E20D86" w:rsidP="009E650C">
            <w:pPr>
              <w:jc w:val="both"/>
              <w:rPr>
                <w:szCs w:val="24"/>
              </w:rPr>
            </w:pPr>
            <w:r w:rsidRPr="00E20D86">
              <w:rPr>
                <w:szCs w:val="24"/>
              </w:rPr>
              <w:t>Žr. aukščiau pate</w:t>
            </w:r>
            <w:bookmarkStart w:id="0" w:name="_GoBack"/>
            <w:bookmarkEnd w:id="0"/>
            <w:r w:rsidRPr="00E20D86">
              <w:rPr>
                <w:szCs w:val="24"/>
              </w:rPr>
              <w:t xml:space="preserve">iktus argumentus. </w:t>
            </w:r>
          </w:p>
        </w:tc>
      </w:tr>
    </w:tbl>
    <w:p w:rsidR="00864AD0" w:rsidRDefault="00864AD0" w:rsidP="009E650C">
      <w:pPr>
        <w:jc w:val="center"/>
      </w:pPr>
      <w:r>
        <w:t>__________________</w:t>
      </w:r>
    </w:p>
    <w:sectPr w:rsidR="00864AD0" w:rsidSect="008F1B64">
      <w:pgSz w:w="16838" w:h="11906" w:orient="landscape"/>
      <w:pgMar w:top="1418" w:right="1103"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425" w:rsidRDefault="00FE3425" w:rsidP="00E20D86">
      <w:r>
        <w:separator/>
      </w:r>
    </w:p>
  </w:endnote>
  <w:endnote w:type="continuationSeparator" w:id="0">
    <w:p w:rsidR="00FE3425" w:rsidRDefault="00FE3425" w:rsidP="00E2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425" w:rsidRDefault="00FE3425" w:rsidP="00E20D86">
      <w:r>
        <w:separator/>
      </w:r>
    </w:p>
  </w:footnote>
  <w:footnote w:type="continuationSeparator" w:id="0">
    <w:p w:rsidR="00FE3425" w:rsidRDefault="00FE3425" w:rsidP="00E20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71167"/>
    <w:multiLevelType w:val="hybridMultilevel"/>
    <w:tmpl w:val="E0ACA66C"/>
    <w:lvl w:ilvl="0" w:tplc="0B6A65F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 w15:restartNumberingAfterBreak="0">
    <w:nsid w:val="2F56306A"/>
    <w:multiLevelType w:val="multilevel"/>
    <w:tmpl w:val="10F6E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8442F4"/>
    <w:multiLevelType w:val="multilevel"/>
    <w:tmpl w:val="76E21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3D5FD9"/>
    <w:multiLevelType w:val="multilevel"/>
    <w:tmpl w:val="8158B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176C4F"/>
    <w:multiLevelType w:val="hybridMultilevel"/>
    <w:tmpl w:val="62DC261E"/>
    <w:lvl w:ilvl="0" w:tplc="7D3039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F4F595B"/>
    <w:multiLevelType w:val="hybridMultilevel"/>
    <w:tmpl w:val="60CCEAA8"/>
    <w:lvl w:ilvl="0" w:tplc="884A232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85"/>
    <w:rsid w:val="00067C5D"/>
    <w:rsid w:val="00075D4F"/>
    <w:rsid w:val="00110C60"/>
    <w:rsid w:val="00116F8B"/>
    <w:rsid w:val="001266CD"/>
    <w:rsid w:val="00165E71"/>
    <w:rsid w:val="00195FA9"/>
    <w:rsid w:val="001B2413"/>
    <w:rsid w:val="002162DC"/>
    <w:rsid w:val="00216473"/>
    <w:rsid w:val="002238F0"/>
    <w:rsid w:val="00252134"/>
    <w:rsid w:val="002B46A5"/>
    <w:rsid w:val="002D3C85"/>
    <w:rsid w:val="002F7520"/>
    <w:rsid w:val="003548BA"/>
    <w:rsid w:val="0036565A"/>
    <w:rsid w:val="00373178"/>
    <w:rsid w:val="00383032"/>
    <w:rsid w:val="00414424"/>
    <w:rsid w:val="0043008F"/>
    <w:rsid w:val="00451C5B"/>
    <w:rsid w:val="004906A1"/>
    <w:rsid w:val="00501733"/>
    <w:rsid w:val="0053745F"/>
    <w:rsid w:val="00571EAA"/>
    <w:rsid w:val="005E5EF1"/>
    <w:rsid w:val="00603402"/>
    <w:rsid w:val="00746151"/>
    <w:rsid w:val="00760AE5"/>
    <w:rsid w:val="00786B69"/>
    <w:rsid w:val="00790822"/>
    <w:rsid w:val="007B2667"/>
    <w:rsid w:val="00840D87"/>
    <w:rsid w:val="00856F88"/>
    <w:rsid w:val="00864AD0"/>
    <w:rsid w:val="00866192"/>
    <w:rsid w:val="00870F0D"/>
    <w:rsid w:val="008E6539"/>
    <w:rsid w:val="008F1B64"/>
    <w:rsid w:val="008F5A3A"/>
    <w:rsid w:val="00952536"/>
    <w:rsid w:val="00955C2D"/>
    <w:rsid w:val="009768A1"/>
    <w:rsid w:val="0098575A"/>
    <w:rsid w:val="009E650C"/>
    <w:rsid w:val="00A318D4"/>
    <w:rsid w:val="00A31CEF"/>
    <w:rsid w:val="00A5028D"/>
    <w:rsid w:val="00AB68DB"/>
    <w:rsid w:val="00B11EEF"/>
    <w:rsid w:val="00B31A0F"/>
    <w:rsid w:val="00B70C4A"/>
    <w:rsid w:val="00C41330"/>
    <w:rsid w:val="00C90FAE"/>
    <w:rsid w:val="00CF10F4"/>
    <w:rsid w:val="00CF39DF"/>
    <w:rsid w:val="00DA2419"/>
    <w:rsid w:val="00DB588E"/>
    <w:rsid w:val="00E20D86"/>
    <w:rsid w:val="00E91539"/>
    <w:rsid w:val="00EB2B26"/>
    <w:rsid w:val="00EE4F2C"/>
    <w:rsid w:val="00F1282F"/>
    <w:rsid w:val="00F71256"/>
    <w:rsid w:val="00FA4E06"/>
    <w:rsid w:val="00FE064F"/>
    <w:rsid w:val="00FE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04FCF-8D7D-4291-AC02-826A37EA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3C8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B2B26"/>
    <w:pPr>
      <w:suppressAutoHyphens/>
      <w:ind w:left="720"/>
      <w:contextualSpacing/>
    </w:pPr>
    <w:rPr>
      <w:szCs w:val="24"/>
      <w:lang w:eastAsia="ar-SA"/>
    </w:rPr>
  </w:style>
  <w:style w:type="character" w:styleId="Hipersaitas">
    <w:name w:val="Hyperlink"/>
    <w:basedOn w:val="Numatytasispastraiposriftas"/>
    <w:uiPriority w:val="99"/>
    <w:semiHidden/>
    <w:unhideWhenUsed/>
    <w:rsid w:val="00075D4F"/>
    <w:rPr>
      <w:color w:val="0000FF"/>
      <w:u w:val="single"/>
    </w:rPr>
  </w:style>
  <w:style w:type="paragraph" w:styleId="Debesliotekstas">
    <w:name w:val="Balloon Text"/>
    <w:basedOn w:val="prastasis"/>
    <w:link w:val="DebesliotekstasDiagrama"/>
    <w:uiPriority w:val="99"/>
    <w:semiHidden/>
    <w:unhideWhenUsed/>
    <w:rsid w:val="002238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8F0"/>
    <w:rPr>
      <w:rFonts w:ascii="Segoe UI" w:eastAsia="Times New Roman" w:hAnsi="Segoe UI" w:cs="Segoe UI"/>
      <w:sz w:val="18"/>
      <w:szCs w:val="18"/>
      <w:lang w:eastAsia="lt-LT"/>
    </w:rPr>
  </w:style>
  <w:style w:type="paragraph" w:styleId="Puslapioinaostekstas">
    <w:name w:val="footnote text"/>
    <w:basedOn w:val="prastasis"/>
    <w:link w:val="PuslapioinaostekstasDiagrama"/>
    <w:uiPriority w:val="99"/>
    <w:semiHidden/>
    <w:unhideWhenUsed/>
    <w:rsid w:val="00E20D86"/>
    <w:rPr>
      <w:sz w:val="20"/>
    </w:rPr>
  </w:style>
  <w:style w:type="character" w:customStyle="1" w:styleId="PuslapioinaostekstasDiagrama">
    <w:name w:val="Puslapio išnašos tekstas Diagrama"/>
    <w:basedOn w:val="Numatytasispastraiposriftas"/>
    <w:link w:val="Puslapioinaostekstas"/>
    <w:uiPriority w:val="99"/>
    <w:semiHidden/>
    <w:rsid w:val="00E20D8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E20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156">
      <w:bodyDiv w:val="1"/>
      <w:marLeft w:val="0"/>
      <w:marRight w:val="0"/>
      <w:marTop w:val="0"/>
      <w:marBottom w:val="0"/>
      <w:divBdr>
        <w:top w:val="none" w:sz="0" w:space="0" w:color="auto"/>
        <w:left w:val="none" w:sz="0" w:space="0" w:color="auto"/>
        <w:bottom w:val="none" w:sz="0" w:space="0" w:color="auto"/>
        <w:right w:val="none" w:sz="0" w:space="0" w:color="auto"/>
      </w:divBdr>
    </w:div>
    <w:div w:id="908416729">
      <w:bodyDiv w:val="1"/>
      <w:marLeft w:val="0"/>
      <w:marRight w:val="0"/>
      <w:marTop w:val="0"/>
      <w:marBottom w:val="0"/>
      <w:divBdr>
        <w:top w:val="none" w:sz="0" w:space="0" w:color="auto"/>
        <w:left w:val="none" w:sz="0" w:space="0" w:color="auto"/>
        <w:bottom w:val="none" w:sz="0" w:space="0" w:color="auto"/>
        <w:right w:val="none" w:sz="0" w:space="0" w:color="auto"/>
      </w:divBdr>
      <w:divsChild>
        <w:div w:id="1117874835">
          <w:marLeft w:val="0"/>
          <w:marRight w:val="0"/>
          <w:marTop w:val="0"/>
          <w:marBottom w:val="0"/>
          <w:divBdr>
            <w:top w:val="none" w:sz="0" w:space="0" w:color="auto"/>
            <w:left w:val="none" w:sz="0" w:space="0" w:color="auto"/>
            <w:bottom w:val="none" w:sz="0" w:space="0" w:color="auto"/>
            <w:right w:val="none" w:sz="0" w:space="0" w:color="auto"/>
          </w:divBdr>
          <w:divsChild>
            <w:div w:id="1358240301">
              <w:marLeft w:val="0"/>
              <w:marRight w:val="0"/>
              <w:marTop w:val="0"/>
              <w:marBottom w:val="0"/>
              <w:divBdr>
                <w:top w:val="none" w:sz="0" w:space="0" w:color="auto"/>
                <w:left w:val="none" w:sz="0" w:space="0" w:color="auto"/>
                <w:bottom w:val="none" w:sz="0" w:space="0" w:color="auto"/>
                <w:right w:val="none" w:sz="0" w:space="0" w:color="auto"/>
              </w:divBdr>
              <w:divsChild>
                <w:div w:id="446238580">
                  <w:marLeft w:val="0"/>
                  <w:marRight w:val="0"/>
                  <w:marTop w:val="0"/>
                  <w:marBottom w:val="0"/>
                  <w:divBdr>
                    <w:top w:val="none" w:sz="0" w:space="0" w:color="auto"/>
                    <w:left w:val="none" w:sz="0" w:space="0" w:color="auto"/>
                    <w:bottom w:val="none" w:sz="0" w:space="0" w:color="auto"/>
                    <w:right w:val="none" w:sz="0" w:space="0" w:color="auto"/>
                  </w:divBdr>
                  <w:divsChild>
                    <w:div w:id="654837271">
                      <w:marLeft w:val="0"/>
                      <w:marRight w:val="0"/>
                      <w:marTop w:val="0"/>
                      <w:marBottom w:val="0"/>
                      <w:divBdr>
                        <w:top w:val="none" w:sz="0" w:space="0" w:color="auto"/>
                        <w:left w:val="none" w:sz="0" w:space="0" w:color="auto"/>
                        <w:bottom w:val="none" w:sz="0" w:space="0" w:color="auto"/>
                        <w:right w:val="none" w:sz="0" w:space="0" w:color="auto"/>
                      </w:divBdr>
                      <w:divsChild>
                        <w:div w:id="448941280">
                          <w:marLeft w:val="0"/>
                          <w:marRight w:val="0"/>
                          <w:marTop w:val="0"/>
                          <w:marBottom w:val="0"/>
                          <w:divBdr>
                            <w:top w:val="none" w:sz="0" w:space="0" w:color="auto"/>
                            <w:left w:val="none" w:sz="0" w:space="0" w:color="auto"/>
                            <w:bottom w:val="none" w:sz="0" w:space="0" w:color="auto"/>
                            <w:right w:val="none" w:sz="0" w:space="0" w:color="auto"/>
                          </w:divBdr>
                        </w:div>
                        <w:div w:id="1156720802">
                          <w:marLeft w:val="0"/>
                          <w:marRight w:val="0"/>
                          <w:marTop w:val="0"/>
                          <w:marBottom w:val="0"/>
                          <w:divBdr>
                            <w:top w:val="none" w:sz="0" w:space="0" w:color="auto"/>
                            <w:left w:val="none" w:sz="0" w:space="0" w:color="auto"/>
                            <w:bottom w:val="none" w:sz="0" w:space="0" w:color="auto"/>
                            <w:right w:val="none" w:sz="0" w:space="0" w:color="auto"/>
                          </w:divBdr>
                        </w:div>
                        <w:div w:id="1454861333">
                          <w:marLeft w:val="0"/>
                          <w:marRight w:val="0"/>
                          <w:marTop w:val="0"/>
                          <w:marBottom w:val="0"/>
                          <w:divBdr>
                            <w:top w:val="none" w:sz="0" w:space="0" w:color="auto"/>
                            <w:left w:val="none" w:sz="0" w:space="0" w:color="auto"/>
                            <w:bottom w:val="none" w:sz="0" w:space="0" w:color="auto"/>
                            <w:right w:val="none" w:sz="0" w:space="0" w:color="auto"/>
                          </w:divBdr>
                        </w:div>
                        <w:div w:id="405959633">
                          <w:marLeft w:val="0"/>
                          <w:marRight w:val="0"/>
                          <w:marTop w:val="0"/>
                          <w:marBottom w:val="0"/>
                          <w:divBdr>
                            <w:top w:val="none" w:sz="0" w:space="0" w:color="auto"/>
                            <w:left w:val="none" w:sz="0" w:space="0" w:color="auto"/>
                            <w:bottom w:val="none" w:sz="0" w:space="0" w:color="auto"/>
                            <w:right w:val="none" w:sz="0" w:space="0" w:color="auto"/>
                          </w:divBdr>
                        </w:div>
                        <w:div w:id="12873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330">
      <w:bodyDiv w:val="1"/>
      <w:marLeft w:val="0"/>
      <w:marRight w:val="0"/>
      <w:marTop w:val="0"/>
      <w:marBottom w:val="0"/>
      <w:divBdr>
        <w:top w:val="none" w:sz="0" w:space="0" w:color="auto"/>
        <w:left w:val="none" w:sz="0" w:space="0" w:color="auto"/>
        <w:bottom w:val="none" w:sz="0" w:space="0" w:color="auto"/>
        <w:right w:val="none" w:sz="0" w:space="0" w:color="auto"/>
      </w:divBdr>
    </w:div>
    <w:div w:id="18106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6713</Words>
  <Characters>3827</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2020-06-10T11:11:00Z</dcterms:created>
  <dc:creator>Eglė Saudargaitė</dc:creator>
  <cp:lastModifiedBy>Jolita Šlikienė</cp:lastModifiedBy>
  <dcterms:modified xsi:type="dcterms:W3CDTF">2020-06-10T13:01:00Z</dcterms:modified>
  <cp:revision>12</cp:revision>
</cp:coreProperties>
</file>