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2644" w14:textId="77777777" w:rsidR="005F43FA" w:rsidRPr="005F43FA" w:rsidRDefault="003B579F" w:rsidP="005F43FA">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r w:rsidR="00DC7AFD" w:rsidRPr="005F43FA">
        <w:rPr>
          <w:rFonts w:eastAsia="Calibri" w:cs="Times New Roman"/>
          <w:b/>
          <w:caps/>
          <w:szCs w:val="24"/>
        </w:rPr>
        <w:t xml:space="preserve"> </w:t>
      </w:r>
    </w:p>
    <w:p w14:paraId="22E5E52B" w14:textId="0185172D" w:rsidR="001C72C5" w:rsidRDefault="005F43FA" w:rsidP="001C72C5">
      <w:pPr>
        <w:spacing w:after="0" w:line="240" w:lineRule="auto"/>
        <w:jc w:val="center"/>
        <w:outlineLvl w:val="0"/>
        <w:rPr>
          <w:rFonts w:eastAsia="Calibri" w:cs="Times New Roman"/>
          <w:b/>
          <w:caps/>
          <w:szCs w:val="24"/>
        </w:rPr>
      </w:pPr>
      <w:r w:rsidRPr="005F43FA">
        <w:rPr>
          <w:rFonts w:eastAsia="Calibri" w:cs="Times New Roman"/>
          <w:b/>
          <w:caps/>
          <w:szCs w:val="24"/>
        </w:rPr>
        <w:t xml:space="preserve">DĖL LIETUVOS RESPUBLIKOS </w:t>
      </w:r>
      <w:r w:rsidR="001C72C5">
        <w:rPr>
          <w:rFonts w:eastAsia="Calibri" w:cs="Times New Roman"/>
          <w:b/>
          <w:caps/>
          <w:szCs w:val="24"/>
        </w:rPr>
        <w:t>BAUDŽIAMOJO PROCESO KODEKSO PAPILDYMO 8</w:t>
      </w:r>
      <w:r w:rsidR="001C72C5">
        <w:rPr>
          <w:rFonts w:eastAsia="Calibri" w:cs="Times New Roman"/>
          <w:b/>
          <w:caps/>
          <w:szCs w:val="24"/>
          <w:vertAlign w:val="superscript"/>
        </w:rPr>
        <w:t xml:space="preserve">2 </w:t>
      </w:r>
      <w:r w:rsidR="001C72C5">
        <w:rPr>
          <w:rFonts w:eastAsia="Calibri" w:cs="Times New Roman"/>
          <w:b/>
          <w:caps/>
          <w:szCs w:val="24"/>
        </w:rPr>
        <w:t xml:space="preserve">STRAIPSNIU ĮSTATYMO PROJEKTO (TOLIAU – ĮSTATYMO PROJEKTAS) </w:t>
      </w:r>
    </w:p>
    <w:p w14:paraId="45709F1B" w14:textId="77777777" w:rsidR="001C72C5" w:rsidRPr="005F43FA" w:rsidRDefault="001C72C5" w:rsidP="001C72C5">
      <w:pPr>
        <w:spacing w:after="0" w:line="240" w:lineRule="auto"/>
        <w:jc w:val="center"/>
        <w:outlineLvl w:val="0"/>
        <w:rPr>
          <w:rFonts w:eastAsia="Calibri" w:cs="Times New Roman"/>
          <w:b/>
          <w:caps/>
          <w:szCs w:val="24"/>
        </w:rPr>
      </w:pPr>
    </w:p>
    <w:tbl>
      <w:tblPr>
        <w:tblStyle w:val="Lentelstinklelis"/>
        <w:tblW w:w="15593" w:type="dxa"/>
        <w:tblInd w:w="-1139" w:type="dxa"/>
        <w:tblLook w:val="04A0" w:firstRow="1" w:lastRow="0" w:firstColumn="1" w:lastColumn="0" w:noHBand="0" w:noVBand="1"/>
      </w:tblPr>
      <w:tblGrid>
        <w:gridCol w:w="2127"/>
        <w:gridCol w:w="5670"/>
        <w:gridCol w:w="7796"/>
      </w:tblGrid>
      <w:tr w:rsidR="006959FE" w:rsidRPr="005F43FA" w14:paraId="0E6B0BAE" w14:textId="77777777" w:rsidTr="005F43FA">
        <w:tc>
          <w:tcPr>
            <w:tcW w:w="2127" w:type="dxa"/>
            <w:tcBorders>
              <w:top w:val="single" w:sz="4" w:space="0" w:color="auto"/>
              <w:left w:val="single" w:sz="4" w:space="0" w:color="auto"/>
              <w:bottom w:val="single" w:sz="4" w:space="0" w:color="auto"/>
              <w:right w:val="single" w:sz="4" w:space="0" w:color="auto"/>
            </w:tcBorders>
          </w:tcPr>
          <w:p w14:paraId="2FC853F8" w14:textId="17BC1B97" w:rsidR="005D4147" w:rsidRPr="005F43FA" w:rsidRDefault="00502EF6" w:rsidP="001C72C5">
            <w:pPr>
              <w:jc w:val="center"/>
              <w:rPr>
                <w:rFonts w:cs="Times New Roman"/>
                <w:szCs w:val="24"/>
              </w:rPr>
            </w:pPr>
            <w:r w:rsidRPr="005F43FA">
              <w:rPr>
                <w:rFonts w:cs="Times New Roman"/>
                <w:szCs w:val="24"/>
              </w:rPr>
              <w:t>Institucija</w:t>
            </w:r>
          </w:p>
        </w:tc>
        <w:tc>
          <w:tcPr>
            <w:tcW w:w="5670" w:type="dxa"/>
            <w:tcBorders>
              <w:top w:val="single" w:sz="4" w:space="0" w:color="auto"/>
              <w:left w:val="single" w:sz="4" w:space="0" w:color="auto"/>
              <w:bottom w:val="single" w:sz="4" w:space="0" w:color="auto"/>
              <w:right w:val="single" w:sz="4" w:space="0" w:color="auto"/>
            </w:tcBorders>
          </w:tcPr>
          <w:p w14:paraId="334A1E7F" w14:textId="1C7A6CF3" w:rsidR="005D4147" w:rsidRPr="005F43FA" w:rsidRDefault="005D4147" w:rsidP="001C72C5">
            <w:pPr>
              <w:pStyle w:val="Preformatted"/>
              <w:tabs>
                <w:tab w:val="clear" w:pos="959"/>
                <w:tab w:val="clear" w:pos="1918"/>
                <w:tab w:val="left" w:pos="1276"/>
                <w:tab w:val="left" w:pos="1514"/>
                <w:tab w:val="center" w:pos="3081"/>
              </w:tabs>
              <w:jc w:val="center"/>
              <w:rPr>
                <w:rFonts w:ascii="Times New Roman" w:hAnsi="Times New Roman"/>
                <w:sz w:val="24"/>
                <w:szCs w:val="24"/>
              </w:rPr>
            </w:pPr>
            <w:r w:rsidRPr="005F43FA">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14:paraId="3D80B9F7" w14:textId="77777777" w:rsidR="005D4147" w:rsidRPr="005F43FA" w:rsidRDefault="005D4147" w:rsidP="001C72C5">
            <w:pPr>
              <w:jc w:val="center"/>
              <w:rPr>
                <w:rFonts w:cs="Times New Roman"/>
                <w:szCs w:val="24"/>
              </w:rPr>
            </w:pPr>
            <w:r w:rsidRPr="005F43FA">
              <w:rPr>
                <w:rFonts w:cs="Times New Roman"/>
                <w:szCs w:val="24"/>
              </w:rPr>
              <w:t>Įvertinimas</w:t>
            </w:r>
          </w:p>
        </w:tc>
      </w:tr>
      <w:tr w:rsidR="00F730E4" w:rsidRPr="005F43FA" w14:paraId="5CC09929" w14:textId="77777777" w:rsidTr="005F43FA">
        <w:tc>
          <w:tcPr>
            <w:tcW w:w="2127" w:type="dxa"/>
            <w:tcBorders>
              <w:top w:val="single" w:sz="4" w:space="0" w:color="auto"/>
              <w:left w:val="single" w:sz="4" w:space="0" w:color="auto"/>
              <w:bottom w:val="single" w:sz="4" w:space="0" w:color="auto"/>
              <w:right w:val="single" w:sz="4" w:space="0" w:color="auto"/>
            </w:tcBorders>
          </w:tcPr>
          <w:p w14:paraId="3BABC89C" w14:textId="3BADDB20" w:rsidR="00F730E4" w:rsidRDefault="001C72C5" w:rsidP="001C72C5">
            <w:pPr>
              <w:jc w:val="center"/>
              <w:rPr>
                <w:rFonts w:cs="Times New Roman"/>
                <w:szCs w:val="24"/>
              </w:rPr>
            </w:pPr>
            <w:r>
              <w:rPr>
                <w:rFonts w:cs="Times New Roman"/>
                <w:szCs w:val="24"/>
              </w:rPr>
              <w:t>Lietuvos Respublikos Vyriausybės kanceliarijos Teisės grupės 2020-04-14 išvada Nr. NV-1040</w:t>
            </w:r>
          </w:p>
        </w:tc>
        <w:tc>
          <w:tcPr>
            <w:tcW w:w="5670" w:type="dxa"/>
            <w:tcBorders>
              <w:top w:val="single" w:sz="4" w:space="0" w:color="auto"/>
              <w:left w:val="single" w:sz="4" w:space="0" w:color="auto"/>
              <w:bottom w:val="single" w:sz="4" w:space="0" w:color="auto"/>
              <w:right w:val="single" w:sz="4" w:space="0" w:color="auto"/>
            </w:tcBorders>
          </w:tcPr>
          <w:p w14:paraId="55C36A4B" w14:textId="507A3405" w:rsidR="00F730E4" w:rsidRPr="00803F09" w:rsidRDefault="001C72C5" w:rsidP="001C72C5">
            <w:pPr>
              <w:tabs>
                <w:tab w:val="left" w:pos="142"/>
              </w:tabs>
              <w:jc w:val="both"/>
              <w:rPr>
                <w:szCs w:val="24"/>
              </w:rPr>
            </w:pPr>
            <w:r w:rsidRPr="001C72C5">
              <w:rPr>
                <w:color w:val="000000"/>
                <w:szCs w:val="24"/>
              </w:rPr>
              <w:t>Siekiant užtikrinti teisinio reguliavimo aiškumą ir nuoseklumą, siūlytume Baudžiamojo proceso kodekso 8</w:t>
            </w:r>
            <w:r w:rsidRPr="001C72C5">
              <w:rPr>
                <w:color w:val="000000"/>
                <w:szCs w:val="24"/>
                <w:vertAlign w:val="superscript"/>
              </w:rPr>
              <w:t>2</w:t>
            </w:r>
            <w:r w:rsidRPr="001C72C5">
              <w:rPr>
                <w:color w:val="000000"/>
                <w:szCs w:val="24"/>
              </w:rPr>
              <w:t xml:space="preserve"> straipsnio 1 dalyje vietoje formuluotės „ikiteisminio tyrimo vykdymas“ vartoti formuluotę „ikiteisminio tyrimo veiksmai“, kadangi ikiteisminis tyrimas yra visuma atliekamų ikiteisminio tyrimo veiksmų ir būtent atskiri ikiteisminio tyrimo veiksmai būtų atliekami nuotoliniu būdu. Taip pat vietoje formuluotės „duomenų (įrodymų) objektyvus fiksavimas bei pateikimas“ vartoti Lietuvos Respublikos administracinių bylų teisenos įstatymo 13 straipsnio 7 dalyje vartojamą formuluotę „paaiškinimų, parodymų, klausimų ir prašymų pateikimo objektyvumas“. </w:t>
            </w:r>
          </w:p>
        </w:tc>
        <w:tc>
          <w:tcPr>
            <w:tcW w:w="7796" w:type="dxa"/>
            <w:tcBorders>
              <w:top w:val="single" w:sz="4" w:space="0" w:color="auto"/>
              <w:left w:val="single" w:sz="4" w:space="0" w:color="auto"/>
              <w:bottom w:val="single" w:sz="4" w:space="0" w:color="auto"/>
              <w:right w:val="single" w:sz="4" w:space="0" w:color="auto"/>
            </w:tcBorders>
          </w:tcPr>
          <w:p w14:paraId="44D19C75" w14:textId="3FE173A4" w:rsidR="00F730E4" w:rsidRDefault="00A20431" w:rsidP="005F43FA">
            <w:pPr>
              <w:jc w:val="both"/>
              <w:rPr>
                <w:rFonts w:cs="Times New Roman"/>
                <w:szCs w:val="24"/>
              </w:rPr>
            </w:pPr>
            <w:r>
              <w:rPr>
                <w:rFonts w:cs="Times New Roman"/>
                <w:b/>
                <w:szCs w:val="24"/>
              </w:rPr>
              <w:t>A</w:t>
            </w:r>
            <w:r w:rsidR="001C72C5">
              <w:rPr>
                <w:rFonts w:cs="Times New Roman"/>
                <w:b/>
                <w:szCs w:val="24"/>
              </w:rPr>
              <w:t>tsižvelgta iš dalies</w:t>
            </w:r>
            <w:r w:rsidR="001C72C5" w:rsidRPr="001C72C5">
              <w:rPr>
                <w:rFonts w:cs="Times New Roman"/>
                <w:szCs w:val="24"/>
              </w:rPr>
              <w:t>.</w:t>
            </w:r>
          </w:p>
          <w:p w14:paraId="023D32C2" w14:textId="067E7750" w:rsidR="001C72C5" w:rsidRDefault="001C72C5" w:rsidP="005F43FA">
            <w:pPr>
              <w:jc w:val="both"/>
              <w:rPr>
                <w:rFonts w:cs="Times New Roman"/>
                <w:szCs w:val="24"/>
              </w:rPr>
            </w:pPr>
            <w:r>
              <w:rPr>
                <w:rFonts w:cs="Times New Roman"/>
                <w:szCs w:val="24"/>
              </w:rPr>
              <w:t>Formuluotė „ikiteisminio tyrimo vykdymas“, suderinus darbine tvarka, pakeista į formuluotę „i</w:t>
            </w:r>
            <w:r w:rsidRPr="001C72C5">
              <w:rPr>
                <w:rFonts w:cs="Times New Roman"/>
                <w:szCs w:val="24"/>
              </w:rPr>
              <w:t>kiteisminio tyrimo metu atliekamų veiksmų vykdymas</w:t>
            </w:r>
            <w:r>
              <w:rPr>
                <w:rFonts w:cs="Times New Roman"/>
                <w:szCs w:val="24"/>
              </w:rPr>
              <w:t>“.</w:t>
            </w:r>
          </w:p>
          <w:p w14:paraId="067170F4" w14:textId="57197EEF" w:rsidR="001F6C5A" w:rsidRDefault="001F6C5A" w:rsidP="005F43FA">
            <w:pPr>
              <w:jc w:val="both"/>
              <w:rPr>
                <w:rFonts w:cs="Times New Roman"/>
                <w:szCs w:val="24"/>
              </w:rPr>
            </w:pPr>
            <w:r>
              <w:rPr>
                <w:rFonts w:cs="Times New Roman"/>
                <w:szCs w:val="24"/>
              </w:rPr>
              <w:t>Atsižvelgiant į tai, kad būtent civilinis ir baudžiamasis procesai (o ne ginčai, kylantys iš administracinių teisinių santykių) yra priskirtini bendros kompetencijos, o ne administracinių teismų teisenai, Įstatymo projekte pasirinkta vartoti formuluotę („duomenų (įrodymų) objektyvus fiksavimas bei pateikimas“), kuri yra įtvirtinta būtent Lietuvos Respublikos civilinio proceso kodekse</w:t>
            </w:r>
            <w:r w:rsidR="008B5875">
              <w:rPr>
                <w:rFonts w:cs="Times New Roman"/>
                <w:szCs w:val="24"/>
              </w:rPr>
              <w:t xml:space="preserve"> (toliau – CPK)</w:t>
            </w:r>
            <w:r>
              <w:rPr>
                <w:rFonts w:cs="Times New Roman"/>
                <w:szCs w:val="24"/>
              </w:rPr>
              <w:t xml:space="preserve"> (175</w:t>
            </w:r>
            <w:r>
              <w:rPr>
                <w:rFonts w:cs="Times New Roman"/>
                <w:szCs w:val="24"/>
                <w:vertAlign w:val="superscript"/>
              </w:rPr>
              <w:t>2</w:t>
            </w:r>
            <w:r>
              <w:rPr>
                <w:rFonts w:cs="Times New Roman"/>
                <w:szCs w:val="24"/>
              </w:rPr>
              <w:t xml:space="preserve"> str. 1 d.), o ne Administracinių bylų teisenos įstatyme</w:t>
            </w:r>
            <w:r w:rsidR="008B5875">
              <w:rPr>
                <w:rFonts w:cs="Times New Roman"/>
                <w:szCs w:val="24"/>
              </w:rPr>
              <w:t xml:space="preserve"> (toliau – ABTĮ)</w:t>
            </w:r>
            <w:r>
              <w:rPr>
                <w:rFonts w:cs="Times New Roman"/>
                <w:szCs w:val="24"/>
              </w:rPr>
              <w:t xml:space="preserve">. </w:t>
            </w:r>
            <w:r w:rsidR="00887087">
              <w:rPr>
                <w:rFonts w:cs="Times New Roman"/>
                <w:szCs w:val="24"/>
              </w:rPr>
              <w:t>Būtent tai leidžia užtikrinti galiojančio teisinio reguliavimo sistemiškumą ir nuoseklumą.</w:t>
            </w:r>
          </w:p>
          <w:p w14:paraId="0C0FFF44" w14:textId="2D0A6FDD" w:rsidR="00803F09" w:rsidRPr="00887087" w:rsidRDefault="001F6C5A" w:rsidP="00722E66">
            <w:pPr>
              <w:jc w:val="both"/>
              <w:rPr>
                <w:rFonts w:cs="Times New Roman"/>
                <w:szCs w:val="24"/>
              </w:rPr>
            </w:pPr>
            <w:r>
              <w:rPr>
                <w:rFonts w:cs="Times New Roman"/>
                <w:szCs w:val="24"/>
              </w:rPr>
              <w:t xml:space="preserve">Pažymėtina ir tai, kad </w:t>
            </w:r>
            <w:r w:rsidR="00887087">
              <w:rPr>
                <w:rFonts w:cs="Times New Roman"/>
                <w:szCs w:val="24"/>
              </w:rPr>
              <w:t xml:space="preserve">detali </w:t>
            </w:r>
            <w:r w:rsidR="00722E66">
              <w:rPr>
                <w:rFonts w:cs="Times New Roman"/>
                <w:szCs w:val="24"/>
              </w:rPr>
              <w:t xml:space="preserve">ikiteisminio tyrimo, </w:t>
            </w:r>
            <w:r w:rsidR="00887087">
              <w:rPr>
                <w:rFonts w:cs="Times New Roman"/>
                <w:szCs w:val="24"/>
              </w:rPr>
              <w:t>teismo proceso dalyvių tapatybės nustatymo ir duomenų (įrodymų), klausimų, prašymų objektyvaus fiksavimo ir pateikimo tvarka yra reglamentuota</w:t>
            </w:r>
            <w:r w:rsidR="00722E66">
              <w:rPr>
                <w:rFonts w:cs="Times New Roman"/>
                <w:szCs w:val="24"/>
              </w:rPr>
              <w:t xml:space="preserve"> </w:t>
            </w:r>
            <w:r w:rsidR="00722E66">
              <w:rPr>
                <w:rFonts w:cs="Times New Roman"/>
                <w:szCs w:val="24"/>
              </w:rPr>
              <w:t>Generalinio prokuroro 2016 m. gegužės 16 d. įsakymu Nr. I-116 patvirtintose rekomendacijose Dėl apklausos garso ir vaizdo nuotolinio perdavimo priemonėmis ikiteisminiame tyrime atlikimo ir įforminimo</w:t>
            </w:r>
            <w:r w:rsidR="00722E66">
              <w:rPr>
                <w:rFonts w:cs="Times New Roman"/>
                <w:szCs w:val="24"/>
              </w:rPr>
              <w:t xml:space="preserve"> (toliau – Rekomendacijos), </w:t>
            </w:r>
            <w:r w:rsidR="00887087">
              <w:rPr>
                <w:rFonts w:cs="Times New Roman"/>
                <w:szCs w:val="24"/>
              </w:rPr>
              <w:t>Lietuvos Respublikos teisingumo ministro 2012 m. gruodžio 7 d. įsakymu Nr. 1R-309 patvirtintame Vaizdo konferencijų ir telekonferencijų technologijų naudojimo nagrinėjant civilines ir administracines bylas tvarkos apraše</w:t>
            </w:r>
            <w:r w:rsidR="008B5875">
              <w:rPr>
                <w:rFonts w:cs="Times New Roman"/>
                <w:szCs w:val="24"/>
              </w:rPr>
              <w:t xml:space="preserve"> (toliau – Aprašas)</w:t>
            </w:r>
            <w:r w:rsidR="00722E66">
              <w:rPr>
                <w:rFonts w:cs="Times New Roman"/>
                <w:szCs w:val="24"/>
              </w:rPr>
              <w:t>, kurie</w:t>
            </w:r>
            <w:r w:rsidR="006A1193">
              <w:rPr>
                <w:rFonts w:cs="Times New Roman"/>
                <w:szCs w:val="24"/>
              </w:rPr>
              <w:t xml:space="preserve">, atsižvelgiant į siūlomus Lietuvos Respublikos baudžiamojo proceso kodekso (toliau – BPK) pakeitimus, bus </w:t>
            </w:r>
            <w:r w:rsidR="00887087">
              <w:rPr>
                <w:rFonts w:cs="Times New Roman"/>
                <w:szCs w:val="24"/>
              </w:rPr>
              <w:t xml:space="preserve">atitinkamai </w:t>
            </w:r>
            <w:r w:rsidR="00722E66">
              <w:rPr>
                <w:rFonts w:cs="Times New Roman"/>
                <w:szCs w:val="24"/>
              </w:rPr>
              <w:t>tikslinami</w:t>
            </w:r>
            <w:r w:rsidR="006A1193">
              <w:rPr>
                <w:rFonts w:cs="Times New Roman"/>
                <w:szCs w:val="24"/>
              </w:rPr>
              <w:t>.</w:t>
            </w:r>
            <w:r w:rsidR="00887087">
              <w:rPr>
                <w:rFonts w:cs="Times New Roman"/>
                <w:szCs w:val="24"/>
              </w:rPr>
              <w:t xml:space="preserve"> </w:t>
            </w:r>
          </w:p>
        </w:tc>
      </w:tr>
      <w:tr w:rsidR="005864BA" w:rsidRPr="005F43FA" w14:paraId="55ED583C" w14:textId="77777777" w:rsidTr="005F43FA">
        <w:tc>
          <w:tcPr>
            <w:tcW w:w="2127" w:type="dxa"/>
            <w:tcBorders>
              <w:top w:val="single" w:sz="4" w:space="0" w:color="auto"/>
              <w:left w:val="single" w:sz="4" w:space="0" w:color="auto"/>
              <w:bottom w:val="single" w:sz="4" w:space="0" w:color="auto"/>
              <w:right w:val="single" w:sz="4" w:space="0" w:color="auto"/>
            </w:tcBorders>
          </w:tcPr>
          <w:p w14:paraId="63C0A258" w14:textId="018B6F0D" w:rsidR="005864BA" w:rsidRDefault="005864BA" w:rsidP="00803F09">
            <w:pP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7020EBBF" w14:textId="24F265EE" w:rsidR="005864BA" w:rsidRPr="001C72C5" w:rsidRDefault="001C72C5" w:rsidP="001C72C5">
            <w:pPr>
              <w:tabs>
                <w:tab w:val="left" w:pos="142"/>
              </w:tabs>
              <w:jc w:val="both"/>
              <w:rPr>
                <w:szCs w:val="24"/>
              </w:rPr>
            </w:pPr>
            <w:r w:rsidRPr="001C72C5">
              <w:rPr>
                <w:color w:val="000000"/>
                <w:szCs w:val="24"/>
              </w:rPr>
              <w:t>Taip pat siekiant užtikrinti teisinio reguliavimo aiškumą ir nuoseklumą, siūlytume įvertinti galimybę Baudžiamojo proceso kodekso 8</w:t>
            </w:r>
            <w:r w:rsidRPr="001C72C5">
              <w:rPr>
                <w:color w:val="000000"/>
                <w:szCs w:val="24"/>
                <w:vertAlign w:val="superscript"/>
              </w:rPr>
              <w:t>2</w:t>
            </w:r>
            <w:r w:rsidRPr="001C72C5">
              <w:rPr>
                <w:color w:val="000000"/>
                <w:szCs w:val="24"/>
              </w:rPr>
              <w:t xml:space="preserve"> straipsnio atskiroje dalyje nustatyti subjektus, priimančius sprendimus dėl procesinio veiksmo atlikimo nuotoliniu būdu, tokio sprendimo apskundimo tvarką ar </w:t>
            </w:r>
            <w:proofErr w:type="spellStart"/>
            <w:r w:rsidRPr="001C72C5">
              <w:rPr>
                <w:color w:val="000000"/>
                <w:szCs w:val="24"/>
              </w:rPr>
              <w:t>neskundžiamumą</w:t>
            </w:r>
            <w:proofErr w:type="spellEnd"/>
            <w:r w:rsidRPr="001C72C5">
              <w:rPr>
                <w:color w:val="000000"/>
                <w:szCs w:val="24"/>
              </w:rPr>
              <w:t xml:space="preserve">, taip pat atvejus (aplinkybes ar jų kriterijus), kai proceso veiksmas negali būti atliekamas nuotoliniu būdu. </w:t>
            </w:r>
          </w:p>
        </w:tc>
        <w:tc>
          <w:tcPr>
            <w:tcW w:w="7796" w:type="dxa"/>
            <w:tcBorders>
              <w:top w:val="single" w:sz="4" w:space="0" w:color="auto"/>
              <w:left w:val="single" w:sz="4" w:space="0" w:color="auto"/>
              <w:bottom w:val="single" w:sz="4" w:space="0" w:color="auto"/>
              <w:right w:val="single" w:sz="4" w:space="0" w:color="auto"/>
            </w:tcBorders>
          </w:tcPr>
          <w:p w14:paraId="3A01002A" w14:textId="5F6DF3BA" w:rsidR="005864BA" w:rsidRDefault="001C72C5" w:rsidP="005F43FA">
            <w:pPr>
              <w:jc w:val="both"/>
              <w:rPr>
                <w:rFonts w:cs="Times New Roman"/>
                <w:szCs w:val="24"/>
              </w:rPr>
            </w:pPr>
            <w:r>
              <w:rPr>
                <w:rFonts w:cs="Times New Roman"/>
                <w:b/>
                <w:szCs w:val="24"/>
              </w:rPr>
              <w:t>Atsižvelgta</w:t>
            </w:r>
            <w:r w:rsidR="00194ABD">
              <w:rPr>
                <w:rFonts w:cs="Times New Roman"/>
                <w:b/>
                <w:szCs w:val="24"/>
              </w:rPr>
              <w:t xml:space="preserve"> iš dalies</w:t>
            </w:r>
            <w:r w:rsidR="00592508" w:rsidRPr="00194ABD">
              <w:rPr>
                <w:rFonts w:cs="Times New Roman"/>
                <w:szCs w:val="24"/>
              </w:rPr>
              <w:t>.</w:t>
            </w:r>
          </w:p>
          <w:p w14:paraId="1456525D" w14:textId="54F5D706" w:rsidR="006A1193" w:rsidRDefault="008B5875" w:rsidP="006A1193">
            <w:pPr>
              <w:widowControl w:val="0"/>
              <w:tabs>
                <w:tab w:val="left" w:pos="720"/>
                <w:tab w:val="left" w:pos="960"/>
                <w:tab w:val="left" w:pos="1080"/>
              </w:tabs>
              <w:autoSpaceDE w:val="0"/>
              <w:autoSpaceDN w:val="0"/>
              <w:adjustRightInd w:val="0"/>
              <w:jc w:val="both"/>
              <w:rPr>
                <w:szCs w:val="24"/>
              </w:rPr>
            </w:pPr>
            <w:r>
              <w:rPr>
                <w:rFonts w:cs="Times New Roman"/>
                <w:szCs w:val="24"/>
              </w:rPr>
              <w:t>Siūlymas įtvirtinti minėtas nuostatas Įstatymo projekte vertintinas kaip perteklinis. Pi</w:t>
            </w:r>
            <w:r w:rsidR="006A1193">
              <w:rPr>
                <w:rFonts w:cs="Times New Roman"/>
                <w:szCs w:val="24"/>
              </w:rPr>
              <w:t>rma, vadovaujantis</w:t>
            </w:r>
            <w:r>
              <w:rPr>
                <w:rFonts w:cs="Times New Roman"/>
                <w:szCs w:val="24"/>
              </w:rPr>
              <w:t xml:space="preserve"> galiojančiu teisiniu reguliavimu, Įstatymo projektu siūloma numatyti </w:t>
            </w:r>
            <w:r w:rsidR="00471B13">
              <w:rPr>
                <w:rFonts w:cs="Times New Roman"/>
                <w:szCs w:val="24"/>
              </w:rPr>
              <w:t xml:space="preserve">tik </w:t>
            </w:r>
            <w:r>
              <w:rPr>
                <w:rFonts w:cs="Times New Roman"/>
                <w:szCs w:val="24"/>
              </w:rPr>
              <w:t xml:space="preserve">bendro pobūdžio nuostatą (taip, kaip </w:t>
            </w:r>
            <w:r w:rsidR="006A1193">
              <w:rPr>
                <w:rFonts w:cs="Times New Roman"/>
                <w:szCs w:val="24"/>
              </w:rPr>
              <w:t>šiuo metu j</w:t>
            </w:r>
            <w:r>
              <w:rPr>
                <w:rFonts w:cs="Times New Roman"/>
                <w:szCs w:val="24"/>
              </w:rPr>
              <w:t xml:space="preserve">au yra numatyta CPK ir ABTĮ), kuri sudarytų </w:t>
            </w:r>
            <w:r w:rsidRPr="004D5CA5">
              <w:rPr>
                <w:sz w:val="23"/>
                <w:szCs w:val="23"/>
              </w:rPr>
              <w:t>galimybę</w:t>
            </w:r>
            <w:r>
              <w:rPr>
                <w:sz w:val="23"/>
                <w:szCs w:val="23"/>
              </w:rPr>
              <w:t xml:space="preserve"> ikiteisminio tyrimo metu atliekamus veiksmus vykdyti ir baudžiamųjų</w:t>
            </w:r>
            <w:r w:rsidRPr="004D5CA5">
              <w:rPr>
                <w:sz w:val="23"/>
                <w:szCs w:val="23"/>
              </w:rPr>
              <w:t xml:space="preserve"> bylų nagrinėjimo posėdžius </w:t>
            </w:r>
            <w:r>
              <w:rPr>
                <w:sz w:val="23"/>
                <w:szCs w:val="23"/>
              </w:rPr>
              <w:t xml:space="preserve">organizuoti </w:t>
            </w:r>
            <w:r w:rsidRPr="004D5CA5">
              <w:rPr>
                <w:sz w:val="23"/>
                <w:szCs w:val="23"/>
              </w:rPr>
              <w:t xml:space="preserve">naudojant </w:t>
            </w:r>
            <w:r w:rsidRPr="004D5CA5">
              <w:rPr>
                <w:sz w:val="23"/>
                <w:szCs w:val="23"/>
                <w:lang w:eastAsia="lt-LT"/>
              </w:rPr>
              <w:t>garso ir vaizdo nuotolinio perdavimo priemones</w:t>
            </w:r>
            <w:r w:rsidR="006A1193">
              <w:rPr>
                <w:sz w:val="23"/>
                <w:szCs w:val="23"/>
                <w:lang w:eastAsia="lt-LT"/>
              </w:rPr>
              <w:t xml:space="preserve">. Antra, </w:t>
            </w:r>
            <w:r w:rsidR="006A1193">
              <w:rPr>
                <w:rFonts w:eastAsia="Times New Roman" w:cs="Times New Roman"/>
                <w:bCs/>
                <w:szCs w:val="24"/>
                <w:lang w:eastAsia="lt-LT"/>
              </w:rPr>
              <w:t>įvertinus visas</w:t>
            </w:r>
            <w:r>
              <w:rPr>
                <w:rFonts w:eastAsia="Times New Roman" w:cs="Times New Roman"/>
                <w:bCs/>
                <w:szCs w:val="24"/>
                <w:lang w:eastAsia="lt-LT"/>
              </w:rPr>
              <w:t xml:space="preserve"> technines aplinkybes, proceso šalių poziciją, taip pat galimybę užtikrinti planuojamo atlikti konkretaus veiksmo saugumą ir patikimumą </w:t>
            </w:r>
            <w:r w:rsidR="006A1193">
              <w:rPr>
                <w:rFonts w:eastAsia="Times New Roman" w:cs="Times New Roman"/>
                <w:bCs/>
                <w:szCs w:val="24"/>
                <w:lang w:eastAsia="lt-LT"/>
              </w:rPr>
              <w:t>bei</w:t>
            </w:r>
            <w:r>
              <w:rPr>
                <w:rFonts w:eastAsia="Times New Roman" w:cs="Times New Roman"/>
                <w:bCs/>
                <w:szCs w:val="24"/>
                <w:lang w:eastAsia="lt-LT"/>
              </w:rPr>
              <w:t xml:space="preserve"> </w:t>
            </w:r>
            <w:r>
              <w:rPr>
                <w:rFonts w:eastAsia="Times New Roman" w:cs="Times New Roman"/>
                <w:bCs/>
                <w:szCs w:val="24"/>
                <w:lang w:eastAsia="lt-LT"/>
              </w:rPr>
              <w:lastRenderedPageBreak/>
              <w:t>kitus svarbius aspektus,</w:t>
            </w:r>
            <w:r w:rsidRPr="008E7B07">
              <w:rPr>
                <w:rFonts w:eastAsia="Times New Roman" w:cs="Times New Roman"/>
                <w:bCs/>
                <w:szCs w:val="24"/>
                <w:lang w:eastAsia="lt-LT"/>
              </w:rPr>
              <w:t xml:space="preserve"> </w:t>
            </w:r>
            <w:proofErr w:type="spellStart"/>
            <w:r w:rsidR="006A1193">
              <w:rPr>
                <w:rFonts w:eastAsia="Times New Roman" w:cs="Times New Roman"/>
                <w:bCs/>
                <w:szCs w:val="24"/>
                <w:lang w:eastAsia="lt-LT"/>
              </w:rPr>
              <w:t>diskrecija</w:t>
            </w:r>
            <w:proofErr w:type="spellEnd"/>
            <w:r w:rsidR="006A1193">
              <w:rPr>
                <w:rFonts w:eastAsia="Times New Roman" w:cs="Times New Roman"/>
                <w:bCs/>
                <w:szCs w:val="24"/>
                <w:lang w:eastAsia="lt-LT"/>
              </w:rPr>
              <w:t xml:space="preserve"> </w:t>
            </w:r>
            <w:r w:rsidRPr="008E7B07">
              <w:rPr>
                <w:rFonts w:eastAsia="Times New Roman" w:cs="Times New Roman"/>
                <w:bCs/>
                <w:szCs w:val="24"/>
                <w:lang w:eastAsia="lt-LT"/>
              </w:rPr>
              <w:t>nuspręsti dėl nuotolinio perdavimo priemonių panaudojimo ikiteisminio tyrimo metu ar nagrinėjant bylą teisme</w:t>
            </w:r>
            <w:r>
              <w:rPr>
                <w:rFonts w:eastAsia="Times New Roman" w:cs="Times New Roman"/>
                <w:bCs/>
                <w:szCs w:val="24"/>
                <w:lang w:eastAsia="lt-LT"/>
              </w:rPr>
              <w:t xml:space="preserve"> </w:t>
            </w:r>
            <w:r w:rsidRPr="008E7B07">
              <w:rPr>
                <w:rFonts w:eastAsia="Times New Roman" w:cs="Times New Roman"/>
                <w:bCs/>
                <w:szCs w:val="24"/>
                <w:lang w:eastAsia="lt-LT"/>
              </w:rPr>
              <w:t xml:space="preserve">suteikiama tiems subjektams, kuriems pavesta organizuoti konkrečių veiksmų atlikimą ikiteisminio tyrimo metu, ir teismui, kai byla nagrinėjama teisme. Ši tvarka detaliau reglamentuojama poįstatyminiuose teisės aktuose (pvz., </w:t>
            </w:r>
            <w:r w:rsidR="00722E66">
              <w:rPr>
                <w:rFonts w:eastAsia="Times New Roman" w:cs="Times New Roman"/>
                <w:bCs/>
                <w:szCs w:val="24"/>
                <w:lang w:eastAsia="lt-LT"/>
              </w:rPr>
              <w:t>minėtuose</w:t>
            </w:r>
            <w:r w:rsidR="006A1193">
              <w:rPr>
                <w:rFonts w:eastAsia="Times New Roman" w:cs="Times New Roman"/>
                <w:bCs/>
                <w:szCs w:val="24"/>
                <w:lang w:eastAsia="lt-LT"/>
              </w:rPr>
              <w:t xml:space="preserve"> </w:t>
            </w:r>
            <w:r>
              <w:rPr>
                <w:rFonts w:eastAsia="Times New Roman" w:cs="Times New Roman"/>
                <w:bCs/>
                <w:szCs w:val="24"/>
                <w:lang w:eastAsia="lt-LT"/>
              </w:rPr>
              <w:t>Apraše</w:t>
            </w:r>
            <w:r w:rsidR="00722E66">
              <w:rPr>
                <w:rFonts w:eastAsia="Times New Roman" w:cs="Times New Roman"/>
                <w:bCs/>
                <w:szCs w:val="24"/>
                <w:lang w:eastAsia="lt-LT"/>
              </w:rPr>
              <w:t xml:space="preserve"> ir Rekomendacijose)</w:t>
            </w:r>
            <w:r>
              <w:rPr>
                <w:rFonts w:cs="Times New Roman"/>
                <w:szCs w:val="24"/>
              </w:rPr>
              <w:t xml:space="preserve">, kurie, </w:t>
            </w:r>
            <w:r w:rsidR="006A1193">
              <w:rPr>
                <w:rFonts w:cs="Times New Roman"/>
                <w:szCs w:val="24"/>
              </w:rPr>
              <w:t>atsižvelgiant į siūlomus</w:t>
            </w:r>
            <w:r>
              <w:rPr>
                <w:rFonts w:cs="Times New Roman"/>
                <w:szCs w:val="24"/>
              </w:rPr>
              <w:t xml:space="preserve"> BPK pakeitimus,</w:t>
            </w:r>
            <w:r w:rsidR="006A1193">
              <w:rPr>
                <w:rFonts w:cs="Times New Roman"/>
                <w:szCs w:val="24"/>
              </w:rPr>
              <w:t xml:space="preserve"> bus</w:t>
            </w:r>
            <w:r>
              <w:rPr>
                <w:rFonts w:cs="Times New Roman"/>
                <w:szCs w:val="24"/>
              </w:rPr>
              <w:t xml:space="preserve"> atitinkamai tikslinami.</w:t>
            </w:r>
            <w:r w:rsidR="00471B13">
              <w:rPr>
                <w:rFonts w:cs="Times New Roman"/>
                <w:szCs w:val="24"/>
              </w:rPr>
              <w:t xml:space="preserve"> Trečia, </w:t>
            </w:r>
            <w:r w:rsidR="006A1193">
              <w:rPr>
                <w:szCs w:val="24"/>
              </w:rPr>
              <w:t>Įstatymo projekte yra</w:t>
            </w:r>
            <w:r w:rsidR="00471B13">
              <w:rPr>
                <w:szCs w:val="24"/>
              </w:rPr>
              <w:t xml:space="preserve"> nurodyta, jog i</w:t>
            </w:r>
            <w:r w:rsidR="00471B13" w:rsidRPr="00AD54BB">
              <w:rPr>
                <w:szCs w:val="24"/>
              </w:rPr>
              <w:t>kiteisminis tyrimas ir bylų nagrinėjimas teisme, naudojant informacines ir elektroninių ryšių technologijas, vykd</w:t>
            </w:r>
            <w:bookmarkStart w:id="0" w:name="_GoBack"/>
            <w:bookmarkEnd w:id="0"/>
            <w:r w:rsidR="00471B13" w:rsidRPr="00AD54BB">
              <w:rPr>
                <w:szCs w:val="24"/>
              </w:rPr>
              <w:t xml:space="preserve">omi </w:t>
            </w:r>
            <w:r w:rsidR="00471B13" w:rsidRPr="00AD54BB">
              <w:rPr>
                <w:i/>
                <w:szCs w:val="24"/>
                <w:lang w:val="la-Latn"/>
              </w:rPr>
              <w:t>mutatis mutandis</w:t>
            </w:r>
            <w:r w:rsidR="00471B13" w:rsidRPr="00AD54BB">
              <w:rPr>
                <w:szCs w:val="24"/>
              </w:rPr>
              <w:t xml:space="preserve"> taikant </w:t>
            </w:r>
            <w:r w:rsidR="00471B13">
              <w:rPr>
                <w:szCs w:val="24"/>
              </w:rPr>
              <w:t xml:space="preserve">BPK nustatytas taisykles. Tai reiškia, kad visi klausimai, susiję su nuotolinio perdavimo priemonių panaudojimu (pvz., posėdžių organizavimas, atitinkamų nutarčių priėmimas, jų apskundimas ir pan.), bus sprendžiami pagal šiuo metu galiojančias BPK taisykles. </w:t>
            </w:r>
          </w:p>
          <w:p w14:paraId="1D4407D6" w14:textId="4EA28563" w:rsidR="00471B13" w:rsidRPr="00471B13" w:rsidRDefault="00471B13" w:rsidP="006A1193">
            <w:pPr>
              <w:widowControl w:val="0"/>
              <w:tabs>
                <w:tab w:val="left" w:pos="720"/>
                <w:tab w:val="left" w:pos="960"/>
                <w:tab w:val="left" w:pos="1080"/>
              </w:tabs>
              <w:autoSpaceDE w:val="0"/>
              <w:autoSpaceDN w:val="0"/>
              <w:adjustRightInd w:val="0"/>
              <w:jc w:val="both"/>
              <w:rPr>
                <w:szCs w:val="24"/>
              </w:rPr>
            </w:pPr>
            <w:r>
              <w:rPr>
                <w:szCs w:val="24"/>
              </w:rPr>
              <w:t>Šiais argumentais papildytas Įstatymo projekto aiškinamasis raštas.</w:t>
            </w:r>
          </w:p>
        </w:tc>
      </w:tr>
    </w:tbl>
    <w:p w14:paraId="4772808B" w14:textId="25437132" w:rsidR="00415F87" w:rsidRPr="005F43FA" w:rsidRDefault="00415F87" w:rsidP="00CF2553">
      <w:pPr>
        <w:spacing w:line="240" w:lineRule="auto"/>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654FB" w14:textId="77777777" w:rsidR="005F5A48" w:rsidRDefault="005F5A48" w:rsidP="001A74E1">
      <w:pPr>
        <w:spacing w:after="0" w:line="240" w:lineRule="auto"/>
      </w:pPr>
      <w:r>
        <w:separator/>
      </w:r>
    </w:p>
  </w:endnote>
  <w:endnote w:type="continuationSeparator" w:id="0">
    <w:p w14:paraId="0B3E97F2" w14:textId="77777777" w:rsidR="005F5A48" w:rsidRDefault="005F5A48" w:rsidP="001A74E1">
      <w:pPr>
        <w:spacing w:after="0" w:line="240" w:lineRule="auto"/>
      </w:pPr>
      <w:r>
        <w:continuationSeparator/>
      </w:r>
    </w:p>
  </w:endnote>
  <w:endnote w:type="continuationNotice" w:id="1">
    <w:p w14:paraId="711F88BC" w14:textId="77777777" w:rsidR="005F5A48" w:rsidRDefault="005F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FF5AD" w14:textId="77777777" w:rsidR="005F5A48" w:rsidRDefault="005F5A48" w:rsidP="001A74E1">
      <w:pPr>
        <w:spacing w:after="0" w:line="240" w:lineRule="auto"/>
      </w:pPr>
      <w:r>
        <w:separator/>
      </w:r>
    </w:p>
  </w:footnote>
  <w:footnote w:type="continuationSeparator" w:id="0">
    <w:p w14:paraId="63F67761" w14:textId="77777777" w:rsidR="005F5A48" w:rsidRDefault="005F5A48" w:rsidP="001A74E1">
      <w:pPr>
        <w:spacing w:after="0" w:line="240" w:lineRule="auto"/>
      </w:pPr>
      <w:r>
        <w:continuationSeparator/>
      </w:r>
    </w:p>
  </w:footnote>
  <w:footnote w:type="continuationNotice" w:id="1">
    <w:p w14:paraId="4160A7F0" w14:textId="77777777" w:rsidR="005F5A48" w:rsidRDefault="005F5A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722E66">
          <w:rPr>
            <w:noProof/>
          </w:rPr>
          <w:t>2</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CBC"/>
    <w:multiLevelType w:val="hybridMultilevel"/>
    <w:tmpl w:val="364C7E8E"/>
    <w:lvl w:ilvl="0" w:tplc="57C698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9"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1"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
  </w:num>
  <w:num w:numId="5">
    <w:abstractNumId w:val="8"/>
  </w:num>
  <w:num w:numId="6">
    <w:abstractNumId w:val="15"/>
  </w:num>
  <w:num w:numId="7">
    <w:abstractNumId w:val="7"/>
  </w:num>
  <w:num w:numId="8">
    <w:abstractNumId w:val="1"/>
  </w:num>
  <w:num w:numId="9">
    <w:abstractNumId w:val="11"/>
  </w:num>
  <w:num w:numId="10">
    <w:abstractNumId w:val="4"/>
  </w:num>
  <w:num w:numId="11">
    <w:abstractNumId w:val="3"/>
  </w:num>
  <w:num w:numId="12">
    <w:abstractNumId w:val="9"/>
  </w:num>
  <w:num w:numId="13">
    <w:abstractNumId w:val="10"/>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10461"/>
    <w:rsid w:val="00113D18"/>
    <w:rsid w:val="00113EC6"/>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4ABD"/>
    <w:rsid w:val="00195D57"/>
    <w:rsid w:val="001A353B"/>
    <w:rsid w:val="001A4D70"/>
    <w:rsid w:val="001A617C"/>
    <w:rsid w:val="001A6C8B"/>
    <w:rsid w:val="001A74E1"/>
    <w:rsid w:val="001C72C5"/>
    <w:rsid w:val="001D2DD0"/>
    <w:rsid w:val="001D35C4"/>
    <w:rsid w:val="001D4560"/>
    <w:rsid w:val="001E14C1"/>
    <w:rsid w:val="001E1DAC"/>
    <w:rsid w:val="001E2FB6"/>
    <w:rsid w:val="001E3D03"/>
    <w:rsid w:val="001E3EFC"/>
    <w:rsid w:val="001E5AEB"/>
    <w:rsid w:val="001E7F07"/>
    <w:rsid w:val="001F0BA8"/>
    <w:rsid w:val="001F6612"/>
    <w:rsid w:val="001F6C5A"/>
    <w:rsid w:val="001F6E6F"/>
    <w:rsid w:val="001F778B"/>
    <w:rsid w:val="00200687"/>
    <w:rsid w:val="0020288F"/>
    <w:rsid w:val="00205F8A"/>
    <w:rsid w:val="002119D5"/>
    <w:rsid w:val="00214BFC"/>
    <w:rsid w:val="0022091E"/>
    <w:rsid w:val="0022363D"/>
    <w:rsid w:val="00224081"/>
    <w:rsid w:val="0022545D"/>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6F16"/>
    <w:rsid w:val="002D0FCC"/>
    <w:rsid w:val="002D4903"/>
    <w:rsid w:val="002D73F5"/>
    <w:rsid w:val="002E25C3"/>
    <w:rsid w:val="002F17B1"/>
    <w:rsid w:val="002F2214"/>
    <w:rsid w:val="002F3DC2"/>
    <w:rsid w:val="002F7932"/>
    <w:rsid w:val="002F7F81"/>
    <w:rsid w:val="003039D3"/>
    <w:rsid w:val="00305EBB"/>
    <w:rsid w:val="00305ECB"/>
    <w:rsid w:val="003065AB"/>
    <w:rsid w:val="00315E70"/>
    <w:rsid w:val="00321ED9"/>
    <w:rsid w:val="00323D6E"/>
    <w:rsid w:val="003361D6"/>
    <w:rsid w:val="00342A94"/>
    <w:rsid w:val="00343D2A"/>
    <w:rsid w:val="003462FF"/>
    <w:rsid w:val="00347E98"/>
    <w:rsid w:val="003502CE"/>
    <w:rsid w:val="0035188F"/>
    <w:rsid w:val="0035250D"/>
    <w:rsid w:val="0036253A"/>
    <w:rsid w:val="003702A9"/>
    <w:rsid w:val="003718E4"/>
    <w:rsid w:val="00372EF5"/>
    <w:rsid w:val="003762B4"/>
    <w:rsid w:val="003771A4"/>
    <w:rsid w:val="0038082F"/>
    <w:rsid w:val="00386C65"/>
    <w:rsid w:val="0038771C"/>
    <w:rsid w:val="0039198C"/>
    <w:rsid w:val="00394D75"/>
    <w:rsid w:val="003A07C7"/>
    <w:rsid w:val="003A1D62"/>
    <w:rsid w:val="003A5259"/>
    <w:rsid w:val="003B0F36"/>
    <w:rsid w:val="003B47BC"/>
    <w:rsid w:val="003B510B"/>
    <w:rsid w:val="003B579F"/>
    <w:rsid w:val="003C014A"/>
    <w:rsid w:val="003C3524"/>
    <w:rsid w:val="003C744D"/>
    <w:rsid w:val="003D228D"/>
    <w:rsid w:val="003E0AE9"/>
    <w:rsid w:val="003E297F"/>
    <w:rsid w:val="003F1A58"/>
    <w:rsid w:val="003F5015"/>
    <w:rsid w:val="003F5C06"/>
    <w:rsid w:val="003F5DD9"/>
    <w:rsid w:val="003F6EBC"/>
    <w:rsid w:val="00415F87"/>
    <w:rsid w:val="004223AE"/>
    <w:rsid w:val="00424471"/>
    <w:rsid w:val="004245E2"/>
    <w:rsid w:val="004315DD"/>
    <w:rsid w:val="004418C5"/>
    <w:rsid w:val="0044766B"/>
    <w:rsid w:val="00450C04"/>
    <w:rsid w:val="004514C5"/>
    <w:rsid w:val="004569A7"/>
    <w:rsid w:val="00465171"/>
    <w:rsid w:val="00465845"/>
    <w:rsid w:val="004678DD"/>
    <w:rsid w:val="00467DB0"/>
    <w:rsid w:val="00471B13"/>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54089"/>
    <w:rsid w:val="00557F5F"/>
    <w:rsid w:val="00564B20"/>
    <w:rsid w:val="00565A80"/>
    <w:rsid w:val="005727C3"/>
    <w:rsid w:val="00576486"/>
    <w:rsid w:val="00580044"/>
    <w:rsid w:val="005817D1"/>
    <w:rsid w:val="005864BA"/>
    <w:rsid w:val="0058714C"/>
    <w:rsid w:val="00592508"/>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5F5A48"/>
    <w:rsid w:val="0060124B"/>
    <w:rsid w:val="0060180E"/>
    <w:rsid w:val="00603612"/>
    <w:rsid w:val="00606C03"/>
    <w:rsid w:val="00611AF4"/>
    <w:rsid w:val="00616125"/>
    <w:rsid w:val="006170C6"/>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193"/>
    <w:rsid w:val="006A149D"/>
    <w:rsid w:val="006A2E6E"/>
    <w:rsid w:val="006A4D02"/>
    <w:rsid w:val="006B24AB"/>
    <w:rsid w:val="006B490C"/>
    <w:rsid w:val="006B5E89"/>
    <w:rsid w:val="006B69B3"/>
    <w:rsid w:val="006B77C9"/>
    <w:rsid w:val="006D0FDD"/>
    <w:rsid w:val="006D502A"/>
    <w:rsid w:val="006D6029"/>
    <w:rsid w:val="006E006D"/>
    <w:rsid w:val="006E0DC4"/>
    <w:rsid w:val="006E3884"/>
    <w:rsid w:val="006E79EB"/>
    <w:rsid w:val="006F2138"/>
    <w:rsid w:val="006F62D6"/>
    <w:rsid w:val="006F6385"/>
    <w:rsid w:val="006F68BD"/>
    <w:rsid w:val="00720BA1"/>
    <w:rsid w:val="00722E66"/>
    <w:rsid w:val="00723C27"/>
    <w:rsid w:val="00725F5D"/>
    <w:rsid w:val="00726020"/>
    <w:rsid w:val="00726899"/>
    <w:rsid w:val="007335D4"/>
    <w:rsid w:val="007408F8"/>
    <w:rsid w:val="0074312A"/>
    <w:rsid w:val="007445EE"/>
    <w:rsid w:val="0074631F"/>
    <w:rsid w:val="00754BCF"/>
    <w:rsid w:val="00755E2A"/>
    <w:rsid w:val="00762159"/>
    <w:rsid w:val="00765D32"/>
    <w:rsid w:val="00770554"/>
    <w:rsid w:val="00771E6A"/>
    <w:rsid w:val="007738DA"/>
    <w:rsid w:val="007777DA"/>
    <w:rsid w:val="00784FCE"/>
    <w:rsid w:val="00790F32"/>
    <w:rsid w:val="007952DD"/>
    <w:rsid w:val="007C0600"/>
    <w:rsid w:val="007D0685"/>
    <w:rsid w:val="007D104B"/>
    <w:rsid w:val="007D3929"/>
    <w:rsid w:val="007D3B2B"/>
    <w:rsid w:val="007D4D8F"/>
    <w:rsid w:val="007E557A"/>
    <w:rsid w:val="007E6A58"/>
    <w:rsid w:val="007F1063"/>
    <w:rsid w:val="007F2C38"/>
    <w:rsid w:val="00801012"/>
    <w:rsid w:val="00803F09"/>
    <w:rsid w:val="00803F6D"/>
    <w:rsid w:val="00813CB8"/>
    <w:rsid w:val="0081420F"/>
    <w:rsid w:val="00815438"/>
    <w:rsid w:val="00821186"/>
    <w:rsid w:val="008218C0"/>
    <w:rsid w:val="0082582E"/>
    <w:rsid w:val="00835A5F"/>
    <w:rsid w:val="00841334"/>
    <w:rsid w:val="008469E9"/>
    <w:rsid w:val="00847904"/>
    <w:rsid w:val="00850C3F"/>
    <w:rsid w:val="00852655"/>
    <w:rsid w:val="00855382"/>
    <w:rsid w:val="00855CF3"/>
    <w:rsid w:val="0085798D"/>
    <w:rsid w:val="00864415"/>
    <w:rsid w:val="008668F2"/>
    <w:rsid w:val="00867271"/>
    <w:rsid w:val="008814BE"/>
    <w:rsid w:val="00886649"/>
    <w:rsid w:val="00887087"/>
    <w:rsid w:val="00891E09"/>
    <w:rsid w:val="008A044C"/>
    <w:rsid w:val="008A157A"/>
    <w:rsid w:val="008A2142"/>
    <w:rsid w:val="008B1782"/>
    <w:rsid w:val="008B5875"/>
    <w:rsid w:val="008B73E3"/>
    <w:rsid w:val="008C0E91"/>
    <w:rsid w:val="008C1127"/>
    <w:rsid w:val="008C1388"/>
    <w:rsid w:val="008C44E8"/>
    <w:rsid w:val="008D0DDC"/>
    <w:rsid w:val="008D1268"/>
    <w:rsid w:val="008D4895"/>
    <w:rsid w:val="008E024B"/>
    <w:rsid w:val="008E31C9"/>
    <w:rsid w:val="008F6F21"/>
    <w:rsid w:val="00902171"/>
    <w:rsid w:val="00902CFB"/>
    <w:rsid w:val="00906CCC"/>
    <w:rsid w:val="009071CC"/>
    <w:rsid w:val="00911B39"/>
    <w:rsid w:val="00912AA7"/>
    <w:rsid w:val="0091433E"/>
    <w:rsid w:val="00917022"/>
    <w:rsid w:val="00923F33"/>
    <w:rsid w:val="0093046F"/>
    <w:rsid w:val="009343F1"/>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D11D7"/>
    <w:rsid w:val="009D6985"/>
    <w:rsid w:val="009E009E"/>
    <w:rsid w:val="009E19C1"/>
    <w:rsid w:val="009E635F"/>
    <w:rsid w:val="009F385C"/>
    <w:rsid w:val="00A05FDA"/>
    <w:rsid w:val="00A10A05"/>
    <w:rsid w:val="00A118AE"/>
    <w:rsid w:val="00A12215"/>
    <w:rsid w:val="00A123C2"/>
    <w:rsid w:val="00A20431"/>
    <w:rsid w:val="00A2150A"/>
    <w:rsid w:val="00A24232"/>
    <w:rsid w:val="00A25966"/>
    <w:rsid w:val="00A316E8"/>
    <w:rsid w:val="00A31BE9"/>
    <w:rsid w:val="00A3349B"/>
    <w:rsid w:val="00A42182"/>
    <w:rsid w:val="00A507E5"/>
    <w:rsid w:val="00A575EE"/>
    <w:rsid w:val="00A6392A"/>
    <w:rsid w:val="00A70843"/>
    <w:rsid w:val="00A71B8B"/>
    <w:rsid w:val="00A75550"/>
    <w:rsid w:val="00A77384"/>
    <w:rsid w:val="00A853F0"/>
    <w:rsid w:val="00A91F16"/>
    <w:rsid w:val="00A93B20"/>
    <w:rsid w:val="00A944D3"/>
    <w:rsid w:val="00A96432"/>
    <w:rsid w:val="00A9772A"/>
    <w:rsid w:val="00AA3556"/>
    <w:rsid w:val="00AA4C8A"/>
    <w:rsid w:val="00AA7736"/>
    <w:rsid w:val="00AB06D1"/>
    <w:rsid w:val="00AB1525"/>
    <w:rsid w:val="00AB4F7D"/>
    <w:rsid w:val="00AB6AE9"/>
    <w:rsid w:val="00AC0D0D"/>
    <w:rsid w:val="00AD0F49"/>
    <w:rsid w:val="00AD2C91"/>
    <w:rsid w:val="00AD2DB7"/>
    <w:rsid w:val="00AD6A50"/>
    <w:rsid w:val="00AE0995"/>
    <w:rsid w:val="00AE44A2"/>
    <w:rsid w:val="00AE4530"/>
    <w:rsid w:val="00AE50AE"/>
    <w:rsid w:val="00AF195A"/>
    <w:rsid w:val="00AF2744"/>
    <w:rsid w:val="00AF4FF3"/>
    <w:rsid w:val="00AF77AD"/>
    <w:rsid w:val="00AF7FB4"/>
    <w:rsid w:val="00B01443"/>
    <w:rsid w:val="00B075C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77D1A"/>
    <w:rsid w:val="00B82E77"/>
    <w:rsid w:val="00B850BE"/>
    <w:rsid w:val="00B85312"/>
    <w:rsid w:val="00B85949"/>
    <w:rsid w:val="00B86100"/>
    <w:rsid w:val="00B9174F"/>
    <w:rsid w:val="00B92D18"/>
    <w:rsid w:val="00BA4A2A"/>
    <w:rsid w:val="00BB0456"/>
    <w:rsid w:val="00BB5ECF"/>
    <w:rsid w:val="00BC062D"/>
    <w:rsid w:val="00BC0996"/>
    <w:rsid w:val="00BC12F9"/>
    <w:rsid w:val="00BC1366"/>
    <w:rsid w:val="00BC3FF8"/>
    <w:rsid w:val="00BC46A4"/>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6820"/>
    <w:rsid w:val="00C53F8C"/>
    <w:rsid w:val="00C544FD"/>
    <w:rsid w:val="00C54764"/>
    <w:rsid w:val="00C54BE8"/>
    <w:rsid w:val="00C56F94"/>
    <w:rsid w:val="00C66F54"/>
    <w:rsid w:val="00C7315D"/>
    <w:rsid w:val="00C77144"/>
    <w:rsid w:val="00C83BA5"/>
    <w:rsid w:val="00C866C0"/>
    <w:rsid w:val="00C97074"/>
    <w:rsid w:val="00CA058C"/>
    <w:rsid w:val="00CA20BD"/>
    <w:rsid w:val="00CA2DBB"/>
    <w:rsid w:val="00CA3C23"/>
    <w:rsid w:val="00CB116C"/>
    <w:rsid w:val="00CB1B4E"/>
    <w:rsid w:val="00CB21A4"/>
    <w:rsid w:val="00CB383F"/>
    <w:rsid w:val="00CB6CBF"/>
    <w:rsid w:val="00CB793C"/>
    <w:rsid w:val="00CC4B98"/>
    <w:rsid w:val="00CC4D08"/>
    <w:rsid w:val="00CD1376"/>
    <w:rsid w:val="00CE2213"/>
    <w:rsid w:val="00CE5AB2"/>
    <w:rsid w:val="00CF2553"/>
    <w:rsid w:val="00CF2E99"/>
    <w:rsid w:val="00D01541"/>
    <w:rsid w:val="00D02223"/>
    <w:rsid w:val="00D0449A"/>
    <w:rsid w:val="00D1683C"/>
    <w:rsid w:val="00D208C9"/>
    <w:rsid w:val="00D20B2D"/>
    <w:rsid w:val="00D26169"/>
    <w:rsid w:val="00D359B6"/>
    <w:rsid w:val="00D41389"/>
    <w:rsid w:val="00D43E3B"/>
    <w:rsid w:val="00D4424F"/>
    <w:rsid w:val="00D46783"/>
    <w:rsid w:val="00D50909"/>
    <w:rsid w:val="00D561BD"/>
    <w:rsid w:val="00D61EE7"/>
    <w:rsid w:val="00D677CC"/>
    <w:rsid w:val="00D74576"/>
    <w:rsid w:val="00D76E1B"/>
    <w:rsid w:val="00D8283E"/>
    <w:rsid w:val="00D87A33"/>
    <w:rsid w:val="00D91E25"/>
    <w:rsid w:val="00D97B72"/>
    <w:rsid w:val="00DA3A48"/>
    <w:rsid w:val="00DA4B43"/>
    <w:rsid w:val="00DA75F3"/>
    <w:rsid w:val="00DB3C1B"/>
    <w:rsid w:val="00DB522C"/>
    <w:rsid w:val="00DB5ABD"/>
    <w:rsid w:val="00DB76BD"/>
    <w:rsid w:val="00DC5961"/>
    <w:rsid w:val="00DC7AFD"/>
    <w:rsid w:val="00DD0288"/>
    <w:rsid w:val="00DD11C8"/>
    <w:rsid w:val="00DD1E48"/>
    <w:rsid w:val="00DD5105"/>
    <w:rsid w:val="00DD6376"/>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902BA"/>
    <w:rsid w:val="00E916C4"/>
    <w:rsid w:val="00E96008"/>
    <w:rsid w:val="00EA32F3"/>
    <w:rsid w:val="00EA36CD"/>
    <w:rsid w:val="00EA6FA6"/>
    <w:rsid w:val="00EA72B7"/>
    <w:rsid w:val="00EB0966"/>
    <w:rsid w:val="00EB1862"/>
    <w:rsid w:val="00EB49CA"/>
    <w:rsid w:val="00EB4C67"/>
    <w:rsid w:val="00EB6DD3"/>
    <w:rsid w:val="00EB732B"/>
    <w:rsid w:val="00EB7719"/>
    <w:rsid w:val="00EC26B7"/>
    <w:rsid w:val="00EC60B5"/>
    <w:rsid w:val="00EC6986"/>
    <w:rsid w:val="00ED194E"/>
    <w:rsid w:val="00ED32D3"/>
    <w:rsid w:val="00ED378C"/>
    <w:rsid w:val="00ED58B6"/>
    <w:rsid w:val="00EE1DEE"/>
    <w:rsid w:val="00EF190A"/>
    <w:rsid w:val="00EF1D29"/>
    <w:rsid w:val="00F01520"/>
    <w:rsid w:val="00F02B57"/>
    <w:rsid w:val="00F03D30"/>
    <w:rsid w:val="00F047CE"/>
    <w:rsid w:val="00F17DAF"/>
    <w:rsid w:val="00F234FB"/>
    <w:rsid w:val="00F24F7D"/>
    <w:rsid w:val="00F3282F"/>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A2988"/>
    <w:rsid w:val="00FA42CB"/>
    <w:rsid w:val="00FB1199"/>
    <w:rsid w:val="00FB4DC3"/>
    <w:rsid w:val="00FC5D30"/>
    <w:rsid w:val="00FC6128"/>
    <w:rsid w:val="00FC7789"/>
    <w:rsid w:val="00FD31AA"/>
    <w:rsid w:val="00FD38EB"/>
    <w:rsid w:val="00FD3CA9"/>
    <w:rsid w:val="00FD714E"/>
    <w:rsid w:val="00FE14C3"/>
    <w:rsid w:val="00FE48C2"/>
    <w:rsid w:val="00FE601B"/>
    <w:rsid w:val="00FF05BA"/>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taltipfb">
    <w:name w:val="taltipfb"/>
    <w:basedOn w:val="prastasis"/>
    <w:rsid w:val="00CA20BD"/>
    <w:pPr>
      <w:spacing w:after="150" w:line="240" w:lineRule="auto"/>
    </w:pPr>
    <w:rPr>
      <w:rFonts w:eastAsia="Times New Roman" w:cs="Times New Roman"/>
      <w:szCs w:val="24"/>
      <w:lang w:eastAsia="lt-LT"/>
    </w:rPr>
  </w:style>
  <w:style w:type="paragraph" w:customStyle="1" w:styleId="tajtip">
    <w:name w:val="tajtip"/>
    <w:basedOn w:val="prastasis"/>
    <w:rsid w:val="00CA20BD"/>
    <w:pPr>
      <w:spacing w:after="15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739788945">
      <w:bodyDiv w:val="1"/>
      <w:marLeft w:val="0"/>
      <w:marRight w:val="0"/>
      <w:marTop w:val="0"/>
      <w:marBottom w:val="0"/>
      <w:divBdr>
        <w:top w:val="none" w:sz="0" w:space="0" w:color="auto"/>
        <w:left w:val="none" w:sz="0" w:space="0" w:color="auto"/>
        <w:bottom w:val="none" w:sz="0" w:space="0" w:color="auto"/>
        <w:right w:val="none" w:sz="0" w:space="0" w:color="auto"/>
      </w:divBdr>
      <w:divsChild>
        <w:div w:id="834997737">
          <w:marLeft w:val="0"/>
          <w:marRight w:val="0"/>
          <w:marTop w:val="0"/>
          <w:marBottom w:val="0"/>
          <w:divBdr>
            <w:top w:val="none" w:sz="0" w:space="0" w:color="auto"/>
            <w:left w:val="none" w:sz="0" w:space="0" w:color="auto"/>
            <w:bottom w:val="none" w:sz="0" w:space="0" w:color="auto"/>
            <w:right w:val="none" w:sz="0" w:space="0" w:color="auto"/>
          </w:divBdr>
          <w:divsChild>
            <w:div w:id="1658149575">
              <w:marLeft w:val="0"/>
              <w:marRight w:val="0"/>
              <w:marTop w:val="0"/>
              <w:marBottom w:val="0"/>
              <w:divBdr>
                <w:top w:val="none" w:sz="0" w:space="0" w:color="auto"/>
                <w:left w:val="none" w:sz="0" w:space="0" w:color="auto"/>
                <w:bottom w:val="none" w:sz="0" w:space="0" w:color="auto"/>
                <w:right w:val="none" w:sz="0" w:space="0" w:color="auto"/>
              </w:divBdr>
              <w:divsChild>
                <w:div w:id="246381115">
                  <w:marLeft w:val="0"/>
                  <w:marRight w:val="0"/>
                  <w:marTop w:val="0"/>
                  <w:marBottom w:val="0"/>
                  <w:divBdr>
                    <w:top w:val="none" w:sz="0" w:space="0" w:color="auto"/>
                    <w:left w:val="none" w:sz="0" w:space="0" w:color="auto"/>
                    <w:bottom w:val="none" w:sz="0" w:space="0" w:color="auto"/>
                    <w:right w:val="none" w:sz="0" w:space="0" w:color="auto"/>
                  </w:divBdr>
                  <w:divsChild>
                    <w:div w:id="1176380856">
                      <w:marLeft w:val="0"/>
                      <w:marRight w:val="0"/>
                      <w:marTop w:val="0"/>
                      <w:marBottom w:val="0"/>
                      <w:divBdr>
                        <w:top w:val="none" w:sz="0" w:space="0" w:color="auto"/>
                        <w:left w:val="none" w:sz="0" w:space="0" w:color="auto"/>
                        <w:bottom w:val="none" w:sz="0" w:space="0" w:color="auto"/>
                        <w:right w:val="none" w:sz="0" w:space="0" w:color="auto"/>
                      </w:divBdr>
                      <w:divsChild>
                        <w:div w:id="9955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5A5A-430F-4969-8F6A-FC04A9B3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2873</Words>
  <Characters>1639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2020-04-15T18:58:00Z</dcterms:created>
  <dc:creator>Jūratė Peciukonytė</dc:creator>
  <cp:lastModifiedBy>Tautvydas Žėkas</cp:lastModifiedBy>
  <cp:lastPrinted>2018-03-29T06:10:00Z</cp:lastPrinted>
  <dcterms:modified xsi:type="dcterms:W3CDTF">2020-04-16T06:22:00Z</dcterms:modified>
  <cp:revision>7</cp:revision>
</cp:coreProperties>
</file>