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4D5" w:rsidRPr="005768F5" w:rsidRDefault="003566B1" w:rsidP="00B27042">
      <w:pPr>
        <w:tabs>
          <w:tab w:val="left" w:pos="1100"/>
        </w:tabs>
        <w:ind w:firstLine="709"/>
        <w:jc w:val="center"/>
        <w:rPr>
          <w:b/>
          <w:bCs/>
        </w:rPr>
      </w:pPr>
      <w:r>
        <w:rPr>
          <w:b/>
          <w:bCs/>
        </w:rPr>
        <w:t>LIETUVOS RESPUBLIKOS POZICIJ</w:t>
      </w:r>
      <w:r w:rsidR="00F22FFB">
        <w:rPr>
          <w:b/>
          <w:bCs/>
        </w:rPr>
        <w:t>Ų,</w:t>
      </w:r>
    </w:p>
    <w:p w:rsidR="003734D5" w:rsidRPr="005768F5" w:rsidRDefault="7B68D79C" w:rsidP="00B27042">
      <w:pPr>
        <w:ind w:firstLine="709"/>
        <w:jc w:val="center"/>
        <w:rPr>
          <w:b/>
          <w:bCs/>
        </w:rPr>
      </w:pPr>
      <w:r w:rsidRPr="005768F5">
        <w:rPr>
          <w:b/>
          <w:bCs/>
        </w:rPr>
        <w:t>201</w:t>
      </w:r>
      <w:r w:rsidR="00A046BD" w:rsidRPr="005768F5">
        <w:rPr>
          <w:b/>
          <w:bCs/>
        </w:rPr>
        <w:t>9</w:t>
      </w:r>
      <w:r w:rsidRPr="005768F5">
        <w:rPr>
          <w:b/>
          <w:bCs/>
        </w:rPr>
        <w:t xml:space="preserve"> M. </w:t>
      </w:r>
      <w:r w:rsidR="00C67684">
        <w:rPr>
          <w:b/>
          <w:bCs/>
        </w:rPr>
        <w:t>LAPKRIČIO</w:t>
      </w:r>
      <w:r w:rsidR="00275B74">
        <w:rPr>
          <w:b/>
          <w:bCs/>
        </w:rPr>
        <w:t xml:space="preserve"> 2</w:t>
      </w:r>
      <w:r w:rsidR="00C67684">
        <w:rPr>
          <w:b/>
          <w:bCs/>
        </w:rPr>
        <w:t>9</w:t>
      </w:r>
      <w:r w:rsidR="00275B74" w:rsidRPr="005768F5">
        <w:rPr>
          <w:b/>
          <w:bCs/>
        </w:rPr>
        <w:t xml:space="preserve"> </w:t>
      </w:r>
      <w:r w:rsidRPr="005768F5">
        <w:rPr>
          <w:b/>
          <w:bCs/>
        </w:rPr>
        <w:t>D. ES KONKURENCINGUMO TARYBOJE (MOKSLINIŲ TYRIMŲ) SVARSTOM</w:t>
      </w:r>
      <w:r w:rsidR="00F22FFB">
        <w:rPr>
          <w:b/>
          <w:bCs/>
        </w:rPr>
        <w:t>AIS KLAUSIMAIS</w:t>
      </w:r>
      <w:r w:rsidRPr="005768F5">
        <w:rPr>
          <w:b/>
          <w:bCs/>
        </w:rPr>
        <w:t xml:space="preserve"> PROJEKTO</w:t>
      </w:r>
      <w:r w:rsidR="00F22FFB">
        <w:rPr>
          <w:b/>
          <w:bCs/>
        </w:rPr>
        <w:t>,</w:t>
      </w:r>
      <w:r w:rsidRPr="005768F5">
        <w:rPr>
          <w:b/>
          <w:bCs/>
        </w:rPr>
        <w:t xml:space="preserve"> SANTRUMPA</w:t>
      </w:r>
    </w:p>
    <w:p w:rsidR="003734D5" w:rsidRPr="005768F5" w:rsidRDefault="003734D5" w:rsidP="00B27042">
      <w:pPr>
        <w:ind w:firstLine="709"/>
        <w:jc w:val="both"/>
        <w:rPr>
          <w:b/>
        </w:rPr>
      </w:pPr>
    </w:p>
    <w:p w:rsidR="00C67684" w:rsidRPr="00F418FB" w:rsidRDefault="7B68D79C" w:rsidP="006F3B66">
      <w:pPr>
        <w:tabs>
          <w:tab w:val="left" w:pos="7371"/>
        </w:tabs>
        <w:ind w:firstLine="709"/>
        <w:jc w:val="both"/>
      </w:pPr>
      <w:r w:rsidRPr="00F418FB">
        <w:t>201</w:t>
      </w:r>
      <w:r w:rsidR="00A046BD" w:rsidRPr="00F418FB">
        <w:t>9</w:t>
      </w:r>
      <w:r w:rsidRPr="00F418FB">
        <w:t xml:space="preserve"> m. </w:t>
      </w:r>
      <w:r w:rsidR="00C67684" w:rsidRPr="00F418FB">
        <w:t>lapkričio</w:t>
      </w:r>
      <w:r w:rsidRPr="00F418FB">
        <w:t xml:space="preserve"> </w:t>
      </w:r>
      <w:r w:rsidR="00D30C39" w:rsidRPr="00F418FB">
        <w:t>2</w:t>
      </w:r>
      <w:r w:rsidR="00C67684" w:rsidRPr="00F418FB">
        <w:t>9</w:t>
      </w:r>
      <w:r w:rsidRPr="00F418FB">
        <w:t xml:space="preserve"> d.</w:t>
      </w:r>
      <w:r w:rsidR="00C67684" w:rsidRPr="00F418FB">
        <w:t xml:space="preserve"> ES Konkurencingumo tarybos mokslinių tyrimų dalies posėdyje </w:t>
      </w:r>
      <w:r w:rsidR="00C67684" w:rsidRPr="00F418FB">
        <w:rPr>
          <w:b/>
        </w:rPr>
        <w:t>su teisėkūros procedūra susiję svarstymai</w:t>
      </w:r>
      <w:r w:rsidR="00137754" w:rsidRPr="00F418FB">
        <w:rPr>
          <w:b/>
        </w:rPr>
        <w:t xml:space="preserve"> </w:t>
      </w:r>
      <w:r w:rsidR="00137754" w:rsidRPr="00F418FB">
        <w:rPr>
          <w:color w:val="000000"/>
        </w:rPr>
        <w:t>(Viešas svarstymas pagal Europos Sąjungos sutarties 16 straipsnio 8 dalį)</w:t>
      </w:r>
      <w:r w:rsidR="00AB73FD" w:rsidRPr="00F418FB">
        <w:rPr>
          <w:color w:val="000000"/>
        </w:rPr>
        <w:t xml:space="preserve"> vyks šiais klausimais</w:t>
      </w:r>
      <w:r w:rsidR="00AB73FD" w:rsidRPr="00F418FB">
        <w:t>:</w:t>
      </w:r>
      <w:r w:rsidR="00C67684" w:rsidRPr="00F418FB">
        <w:t xml:space="preserve"> </w:t>
      </w:r>
    </w:p>
    <w:p w:rsidR="007004E0" w:rsidRPr="00F418FB" w:rsidRDefault="007004E0" w:rsidP="006F3B66">
      <w:pPr>
        <w:ind w:firstLine="709"/>
        <w:jc w:val="both"/>
        <w:rPr>
          <w:b/>
        </w:rPr>
      </w:pPr>
    </w:p>
    <w:p w:rsidR="007004E0" w:rsidRPr="00F418FB" w:rsidRDefault="007004E0" w:rsidP="006F3B66">
      <w:pPr>
        <w:pStyle w:val="Sraopastraipa"/>
        <w:numPr>
          <w:ilvl w:val="0"/>
          <w:numId w:val="18"/>
        </w:numPr>
        <w:ind w:left="0" w:firstLine="709"/>
        <w:jc w:val="both"/>
        <w:rPr>
          <w:b/>
        </w:rPr>
      </w:pPr>
      <w:r w:rsidRPr="00F418FB">
        <w:rPr>
          <w:b/>
        </w:rPr>
        <w:t>Reglamentas dėl Europos inovacijų ir technologijos instituto (EIT)</w:t>
      </w:r>
    </w:p>
    <w:p w:rsidR="007004E0" w:rsidRPr="00F418FB" w:rsidRDefault="007004E0" w:rsidP="006F3B66">
      <w:pPr>
        <w:ind w:firstLine="709"/>
        <w:jc w:val="both"/>
        <w:rPr>
          <w:iCs/>
        </w:rPr>
      </w:pPr>
      <w:r w:rsidRPr="00F418FB">
        <w:rPr>
          <w:iCs/>
        </w:rPr>
        <w:t>Dalinis bendras požiūris</w:t>
      </w:r>
    </w:p>
    <w:p w:rsidR="007004E0" w:rsidRPr="00F418FB" w:rsidRDefault="007004E0" w:rsidP="006F3B66">
      <w:pPr>
        <w:ind w:firstLine="709"/>
        <w:jc w:val="both"/>
        <w:rPr>
          <w:color w:val="000000"/>
        </w:rPr>
      </w:pPr>
    </w:p>
    <w:p w:rsidR="007004E0" w:rsidRPr="00F418FB" w:rsidRDefault="007004E0" w:rsidP="006F3B66">
      <w:pPr>
        <w:pStyle w:val="Sraopastraipa"/>
        <w:numPr>
          <w:ilvl w:val="0"/>
          <w:numId w:val="18"/>
        </w:numPr>
        <w:ind w:left="0" w:firstLine="709"/>
        <w:jc w:val="both"/>
        <w:rPr>
          <w:b/>
        </w:rPr>
      </w:pPr>
      <w:r w:rsidRPr="00F418FB">
        <w:rPr>
          <w:b/>
        </w:rPr>
        <w:t>Sprendimas dėl Europos inovacijų ir technologijos instituto (EIT) strateginės inovacijų darbotvarkės</w:t>
      </w:r>
    </w:p>
    <w:p w:rsidR="007004E0" w:rsidRPr="00F418FB" w:rsidRDefault="007004E0" w:rsidP="006F3B66">
      <w:pPr>
        <w:ind w:firstLine="709"/>
        <w:jc w:val="both"/>
        <w:rPr>
          <w:color w:val="000000"/>
        </w:rPr>
      </w:pPr>
      <w:r w:rsidRPr="00F418FB">
        <w:rPr>
          <w:color w:val="000000"/>
        </w:rPr>
        <w:t>Pažangos ataskaita</w:t>
      </w:r>
    </w:p>
    <w:p w:rsidR="007004E0" w:rsidRPr="00F418FB" w:rsidRDefault="007004E0" w:rsidP="006F3B66">
      <w:pPr>
        <w:ind w:firstLine="709"/>
        <w:jc w:val="both"/>
        <w:rPr>
          <w:color w:val="000000"/>
        </w:rPr>
      </w:pPr>
    </w:p>
    <w:p w:rsidR="007004E0" w:rsidRPr="00F418FB" w:rsidRDefault="007004E0" w:rsidP="006F3B66">
      <w:pPr>
        <w:pStyle w:val="Sraopastraipa"/>
        <w:numPr>
          <w:ilvl w:val="0"/>
          <w:numId w:val="18"/>
        </w:numPr>
        <w:ind w:left="0" w:firstLine="709"/>
        <w:jc w:val="both"/>
      </w:pPr>
      <w:r w:rsidRPr="00F418FB">
        <w:rPr>
          <w:b/>
        </w:rPr>
        <w:t>Programos „Europos horizontas“ dokumentų rinkinys. Reglamentas dėl 2021–2027 m. bendrosios mokslinių tyrimų ir inovacijų programos</w:t>
      </w:r>
    </w:p>
    <w:p w:rsidR="007004E0" w:rsidRPr="00F418FB" w:rsidRDefault="007004E0" w:rsidP="006F3B66">
      <w:pPr>
        <w:pStyle w:val="Sraopastraipa"/>
        <w:numPr>
          <w:ilvl w:val="2"/>
          <w:numId w:val="18"/>
        </w:numPr>
        <w:tabs>
          <w:tab w:val="left" w:pos="709"/>
        </w:tabs>
        <w:ind w:left="0" w:firstLine="709"/>
        <w:jc w:val="both"/>
      </w:pPr>
      <w:r w:rsidRPr="00F418FB">
        <w:t>Konstatuojamosios dalys</w:t>
      </w:r>
    </w:p>
    <w:p w:rsidR="007004E0" w:rsidRPr="00F418FB" w:rsidRDefault="007004E0" w:rsidP="006F3B66">
      <w:pPr>
        <w:pStyle w:val="Sraopastraipa"/>
        <w:numPr>
          <w:ilvl w:val="2"/>
          <w:numId w:val="18"/>
        </w:numPr>
        <w:tabs>
          <w:tab w:val="left" w:pos="709"/>
        </w:tabs>
        <w:ind w:left="0" w:firstLine="709"/>
        <w:jc w:val="both"/>
      </w:pPr>
      <w:r w:rsidRPr="00F418FB">
        <w:t>IV priedas (sinergija)</w:t>
      </w:r>
    </w:p>
    <w:p w:rsidR="007004E0" w:rsidRPr="00F418FB" w:rsidRDefault="007004E0" w:rsidP="006F3B66">
      <w:pPr>
        <w:ind w:firstLine="709"/>
        <w:jc w:val="both"/>
        <w:rPr>
          <w:color w:val="000000"/>
        </w:rPr>
      </w:pPr>
      <w:r w:rsidRPr="00F418FB">
        <w:rPr>
          <w:iCs/>
        </w:rPr>
        <w:t>Dalinis bendras požiūris</w:t>
      </w:r>
    </w:p>
    <w:p w:rsidR="00AB73FD" w:rsidRPr="00F418FB" w:rsidRDefault="00AB73FD" w:rsidP="006F3B66">
      <w:pPr>
        <w:ind w:firstLine="709"/>
        <w:jc w:val="both"/>
        <w:rPr>
          <w:b/>
          <w:i/>
        </w:rPr>
      </w:pPr>
    </w:p>
    <w:p w:rsidR="007004E0" w:rsidRPr="00F418FB" w:rsidRDefault="00AB73FD" w:rsidP="006F3B66">
      <w:pPr>
        <w:ind w:firstLine="709"/>
        <w:jc w:val="both"/>
      </w:pPr>
      <w:r w:rsidRPr="00F418FB">
        <w:rPr>
          <w:b/>
        </w:rPr>
        <w:t>S</w:t>
      </w:r>
      <w:r w:rsidRPr="00F418FB">
        <w:rPr>
          <w:b/>
        </w:rPr>
        <w:t xml:space="preserve">u </w:t>
      </w:r>
      <w:r w:rsidRPr="00F418FB">
        <w:rPr>
          <w:b/>
          <w:color w:val="000000"/>
        </w:rPr>
        <w:t>teisėkūros procedūra nesusiję svarstymai</w:t>
      </w:r>
      <w:r w:rsidRPr="00F418FB">
        <w:rPr>
          <w:b/>
          <w:color w:val="000000"/>
        </w:rPr>
        <w:t xml:space="preserve"> </w:t>
      </w:r>
      <w:r w:rsidRPr="00F418FB">
        <w:rPr>
          <w:color w:val="000000"/>
        </w:rPr>
        <w:t>vyks šiais klausimais</w:t>
      </w:r>
      <w:r w:rsidRPr="00F418FB">
        <w:t>:</w:t>
      </w:r>
    </w:p>
    <w:p w:rsidR="00AB73FD" w:rsidRPr="00F418FB" w:rsidRDefault="00AB73FD" w:rsidP="006F3B66">
      <w:pPr>
        <w:ind w:firstLine="709"/>
        <w:jc w:val="both"/>
      </w:pPr>
    </w:p>
    <w:p w:rsidR="007004E0" w:rsidRPr="00F418FB" w:rsidRDefault="007004E0" w:rsidP="006F3B66">
      <w:pPr>
        <w:pStyle w:val="Sraopastraipa"/>
        <w:numPr>
          <w:ilvl w:val="0"/>
          <w:numId w:val="18"/>
        </w:numPr>
        <w:ind w:left="0" w:firstLine="709"/>
        <w:jc w:val="both"/>
        <w:rPr>
          <w:b/>
        </w:rPr>
      </w:pPr>
      <w:r w:rsidRPr="00F418FB">
        <w:rPr>
          <w:b/>
        </w:rPr>
        <w:t>Euratomo programa, kuria papildoma programa „Europos horizontas“</w:t>
      </w:r>
    </w:p>
    <w:p w:rsidR="007004E0" w:rsidRPr="00F418FB" w:rsidRDefault="007004E0" w:rsidP="006F3B66">
      <w:pPr>
        <w:pStyle w:val="Sraopastraipa"/>
        <w:numPr>
          <w:ilvl w:val="0"/>
          <w:numId w:val="22"/>
        </w:numPr>
        <w:ind w:left="0" w:firstLine="709"/>
        <w:jc w:val="both"/>
        <w:rPr>
          <w:iCs/>
        </w:rPr>
      </w:pPr>
      <w:r w:rsidRPr="00F418FB">
        <w:rPr>
          <w:iCs/>
        </w:rPr>
        <w:t>Dalinis bendras požiūris</w:t>
      </w:r>
    </w:p>
    <w:p w:rsidR="007004E0" w:rsidRPr="00F418FB" w:rsidRDefault="007004E0" w:rsidP="006F3B66">
      <w:pPr>
        <w:pStyle w:val="Sraopastraipa"/>
        <w:numPr>
          <w:ilvl w:val="0"/>
          <w:numId w:val="22"/>
        </w:numPr>
        <w:ind w:left="0" w:firstLine="709"/>
        <w:jc w:val="both"/>
      </w:pPr>
      <w:r w:rsidRPr="00F418FB">
        <w:rPr>
          <w:iCs/>
        </w:rPr>
        <w:t>Pažangos ataskaita</w:t>
      </w:r>
      <w:r w:rsidRPr="00F418FB">
        <w:t xml:space="preserve"> </w:t>
      </w:r>
    </w:p>
    <w:p w:rsidR="007004E0" w:rsidRPr="00F418FB" w:rsidRDefault="007004E0" w:rsidP="006F3B66">
      <w:pPr>
        <w:ind w:firstLine="709"/>
        <w:jc w:val="both"/>
      </w:pPr>
    </w:p>
    <w:p w:rsidR="007004E0" w:rsidRPr="00F418FB" w:rsidRDefault="007004E0" w:rsidP="006F3B66">
      <w:pPr>
        <w:pStyle w:val="Sraopastraipa"/>
        <w:numPr>
          <w:ilvl w:val="0"/>
          <w:numId w:val="18"/>
        </w:numPr>
        <w:ind w:left="0" w:firstLine="709"/>
        <w:jc w:val="both"/>
        <w:rPr>
          <w:b/>
        </w:rPr>
      </w:pPr>
      <w:r w:rsidRPr="00F418FB">
        <w:rPr>
          <w:b/>
        </w:rPr>
        <w:t xml:space="preserve">Išvados dėl atnaujintos ES </w:t>
      </w:r>
      <w:proofErr w:type="spellStart"/>
      <w:r w:rsidRPr="00F418FB">
        <w:rPr>
          <w:b/>
        </w:rPr>
        <w:t>bioekonomikos</w:t>
      </w:r>
      <w:proofErr w:type="spellEnd"/>
      <w:r w:rsidRPr="00F418FB">
        <w:rPr>
          <w:b/>
        </w:rPr>
        <w:t xml:space="preserve"> strategijos</w:t>
      </w:r>
    </w:p>
    <w:p w:rsidR="007004E0" w:rsidRPr="00F418FB" w:rsidRDefault="007004E0" w:rsidP="006F3B66">
      <w:pPr>
        <w:ind w:firstLine="709"/>
        <w:jc w:val="both"/>
        <w:rPr>
          <w:b/>
        </w:rPr>
      </w:pPr>
      <w:r w:rsidRPr="00F418FB">
        <w:rPr>
          <w:iCs/>
        </w:rPr>
        <w:t>Priėmimas</w:t>
      </w:r>
    </w:p>
    <w:p w:rsidR="007004E0" w:rsidRPr="00F418FB" w:rsidRDefault="007004E0" w:rsidP="006F3B66">
      <w:pPr>
        <w:ind w:firstLine="709"/>
        <w:jc w:val="both"/>
        <w:rPr>
          <w:b/>
        </w:rPr>
      </w:pPr>
    </w:p>
    <w:p w:rsidR="007004E0" w:rsidRPr="00F418FB" w:rsidRDefault="007004E0" w:rsidP="006F3B66">
      <w:pPr>
        <w:ind w:firstLine="709"/>
        <w:jc w:val="both"/>
      </w:pPr>
      <w:r w:rsidRPr="00F418FB">
        <w:t>Teikiame Lietuvos Respublikos pozicijas nurodytais klausimais:</w:t>
      </w:r>
    </w:p>
    <w:p w:rsidR="007004E0" w:rsidRPr="00F418FB" w:rsidRDefault="007004E0" w:rsidP="006F3B66">
      <w:pPr>
        <w:ind w:firstLine="709"/>
        <w:jc w:val="both"/>
        <w:rPr>
          <w:b/>
        </w:rPr>
      </w:pPr>
    </w:p>
    <w:p w:rsidR="007004E0" w:rsidRPr="00F418FB" w:rsidRDefault="007004E0" w:rsidP="006F3B66">
      <w:pPr>
        <w:pStyle w:val="Sraopastraipa"/>
        <w:numPr>
          <w:ilvl w:val="0"/>
          <w:numId w:val="19"/>
        </w:numPr>
        <w:ind w:left="0" w:firstLine="709"/>
        <w:jc w:val="both"/>
        <w:rPr>
          <w:b/>
        </w:rPr>
      </w:pPr>
      <w:r w:rsidRPr="00F418FB">
        <w:rPr>
          <w:b/>
        </w:rPr>
        <w:t>Reglamentas dėl Europos inovacijų ir technologijos instituto (EIT)</w:t>
      </w:r>
    </w:p>
    <w:p w:rsidR="007004E0" w:rsidRPr="00F418FB" w:rsidRDefault="007004E0" w:rsidP="006F3B66">
      <w:pPr>
        <w:ind w:firstLine="709"/>
        <w:jc w:val="both"/>
        <w:rPr>
          <w:b/>
        </w:rPr>
      </w:pPr>
      <w:r w:rsidRPr="00F418FB">
        <w:rPr>
          <w:color w:val="000000"/>
        </w:rPr>
        <w:t>Priėmimas</w:t>
      </w:r>
    </w:p>
    <w:p w:rsidR="007004E0" w:rsidRPr="00F418FB" w:rsidRDefault="007004E0" w:rsidP="006F3B66">
      <w:pPr>
        <w:ind w:firstLine="709"/>
        <w:jc w:val="both"/>
        <w:rPr>
          <w:b/>
        </w:rPr>
      </w:pPr>
      <w:r w:rsidRPr="00F418FB">
        <w:rPr>
          <w:b/>
        </w:rPr>
        <w:t>Klausimo esmė:</w:t>
      </w:r>
    </w:p>
    <w:p w:rsidR="007004E0" w:rsidRPr="00F418FB" w:rsidRDefault="007004E0" w:rsidP="006F3B66">
      <w:pPr>
        <w:ind w:firstLine="709"/>
        <w:jc w:val="both"/>
        <w:rPr>
          <w:color w:val="000000"/>
        </w:rPr>
      </w:pPr>
      <w:r w:rsidRPr="00F418FB">
        <w:rPr>
          <w:color w:val="000000"/>
        </w:rPr>
        <w:t>Konkurencingumo tarybai yra teikiamas svarstyti Europos inovacijų ir technologijos instituto (EIT) atnaujintas reglamentas, kadangi EIT yra įtrauktas į programą „Europos horizontas“</w:t>
      </w:r>
      <w:r w:rsidR="004018EC" w:rsidRPr="00F418FB">
        <w:rPr>
          <w:color w:val="000000"/>
        </w:rPr>
        <w:t xml:space="preserve">, </w:t>
      </w:r>
      <w:r w:rsidRPr="00F418FB">
        <w:rPr>
          <w:color w:val="000000"/>
        </w:rPr>
        <w:t>yra jo III veiklos srities „Novatoriška Europa“ dalis ir reikia teisinio pagrindo tęsti EIT veiklą po 2021 m.</w:t>
      </w:r>
      <w:r w:rsidRPr="00F418FB">
        <w:t xml:space="preserve"> </w:t>
      </w:r>
      <w:r w:rsidRPr="00F418FB">
        <w:rPr>
          <w:color w:val="000000"/>
        </w:rPr>
        <w:t xml:space="preserve">EIT tikslas – spręsti pagrindinius visuomenės uždavinius, gerinant ES inovacinius </w:t>
      </w:r>
      <w:proofErr w:type="spellStart"/>
      <w:r w:rsidRPr="00F418FB">
        <w:rPr>
          <w:color w:val="000000"/>
        </w:rPr>
        <w:t>pajėgumus</w:t>
      </w:r>
      <w:proofErr w:type="spellEnd"/>
      <w:r w:rsidRPr="00F418FB">
        <w:rPr>
          <w:color w:val="000000"/>
        </w:rPr>
        <w:t xml:space="preserve"> ir veiklos rezultatus, pasitelkus žinių trikampio – švietimo, mokslinių tyrimų ir inovacijų integravimą. EIT savo tikslų siekia pasitelkdamas žinių ir inovacijų bendrijas (ŽIB, angl. KIC).  </w:t>
      </w:r>
    </w:p>
    <w:p w:rsidR="007004E0" w:rsidRPr="00F418FB" w:rsidRDefault="007004E0" w:rsidP="006F3B66">
      <w:pPr>
        <w:ind w:firstLine="709"/>
        <w:jc w:val="both"/>
        <w:rPr>
          <w:color w:val="000000"/>
        </w:rPr>
      </w:pPr>
      <w:r w:rsidRPr="00F418FB">
        <w:rPr>
          <w:color w:val="000000"/>
        </w:rPr>
        <w:t> Siekdamas įgyvendinti savo misiją ir tikslus, EIT:</w:t>
      </w:r>
    </w:p>
    <w:p w:rsidR="007004E0" w:rsidRPr="00F418FB" w:rsidRDefault="007004E0" w:rsidP="006F3B66">
      <w:pPr>
        <w:ind w:left="284" w:firstLine="709"/>
        <w:jc w:val="both"/>
        <w:rPr>
          <w:color w:val="000000"/>
        </w:rPr>
      </w:pPr>
      <w:r w:rsidRPr="00F418FB">
        <w:rPr>
          <w:color w:val="000000"/>
        </w:rPr>
        <w:t>- pagal Strateginę inovacijų darbotvarkę (SID) nustato savo pagrindinius prioritetus ir veiklą, įgyvendina juos pagal galiojančias programos „Europos horizontas“ taisykles;</w:t>
      </w:r>
    </w:p>
    <w:p w:rsidR="007004E0" w:rsidRPr="00F418FB" w:rsidRDefault="007004E0" w:rsidP="006F3B66">
      <w:pPr>
        <w:ind w:left="284" w:firstLine="709"/>
        <w:jc w:val="both"/>
        <w:rPr>
          <w:color w:val="000000"/>
        </w:rPr>
      </w:pPr>
      <w:r w:rsidRPr="00F418FB">
        <w:rPr>
          <w:color w:val="000000"/>
        </w:rPr>
        <w:t>- užtikrina atvirumą potencialioms naujoms organizacijoms partnerėms, skatina jų dalyvavimą;</w:t>
      </w:r>
    </w:p>
    <w:p w:rsidR="007004E0" w:rsidRPr="00F418FB" w:rsidRDefault="007004E0" w:rsidP="006F3B66">
      <w:pPr>
        <w:ind w:left="284" w:firstLine="709"/>
        <w:jc w:val="both"/>
        <w:rPr>
          <w:color w:val="000000"/>
        </w:rPr>
      </w:pPr>
      <w:r w:rsidRPr="00F418FB">
        <w:rPr>
          <w:color w:val="000000"/>
        </w:rPr>
        <w:t>- pasirenka ir paskiria ŽIB ir apibrėžia jų teises ir pareigas partnerystės pagrindų susitarimais ir dotacijų susitarimais;</w:t>
      </w:r>
    </w:p>
    <w:p w:rsidR="007004E0" w:rsidRPr="00F418FB" w:rsidRDefault="007004E0" w:rsidP="006F3B66">
      <w:pPr>
        <w:ind w:left="284" w:firstLine="709"/>
        <w:jc w:val="both"/>
        <w:rPr>
          <w:color w:val="000000"/>
        </w:rPr>
      </w:pPr>
      <w:r w:rsidRPr="00F418FB">
        <w:rPr>
          <w:color w:val="000000"/>
        </w:rPr>
        <w:t>- užtikrina tinkamą koordinavimą ir lengvina ŽIB bendravimą bei skelbia kvietimus vykdyti jų veiklą;</w:t>
      </w:r>
    </w:p>
    <w:p w:rsidR="007004E0" w:rsidRPr="00F418FB" w:rsidRDefault="007004E0" w:rsidP="006F3B66">
      <w:pPr>
        <w:ind w:left="284" w:firstLine="709"/>
        <w:jc w:val="both"/>
        <w:rPr>
          <w:color w:val="000000"/>
        </w:rPr>
      </w:pPr>
      <w:r w:rsidRPr="00F418FB">
        <w:rPr>
          <w:color w:val="000000"/>
        </w:rPr>
        <w:t>- stiprina dalyvaujančių aukštojo mokslo institucijų išduotų laipsnių ir diplomų, kurie gali būti pažymėti EIT laipsniais ir diplomais, pripažinimą;</w:t>
      </w:r>
    </w:p>
    <w:p w:rsidR="007004E0" w:rsidRPr="00F418FB" w:rsidRDefault="007004E0" w:rsidP="006F3B66">
      <w:pPr>
        <w:ind w:left="284" w:firstLine="709"/>
        <w:jc w:val="both"/>
        <w:rPr>
          <w:color w:val="000000"/>
        </w:rPr>
      </w:pPr>
      <w:r w:rsidRPr="00F418FB">
        <w:rPr>
          <w:color w:val="000000"/>
        </w:rPr>
        <w:t>- puoselėja aukštojo mokslo, MTEPI kompetenciją, ypač skatinant ŽIB;</w:t>
      </w:r>
    </w:p>
    <w:p w:rsidR="007004E0" w:rsidRPr="00F418FB" w:rsidRDefault="007004E0" w:rsidP="006F3B66">
      <w:pPr>
        <w:ind w:left="284" w:firstLine="709"/>
        <w:jc w:val="both"/>
        <w:rPr>
          <w:color w:val="000000"/>
        </w:rPr>
      </w:pPr>
      <w:r w:rsidRPr="00F418FB">
        <w:rPr>
          <w:color w:val="000000"/>
        </w:rPr>
        <w:t>- skatina daugiadalykį požiūrį į inovacijas;</w:t>
      </w:r>
    </w:p>
    <w:p w:rsidR="007004E0" w:rsidRPr="00F418FB" w:rsidRDefault="007004E0" w:rsidP="006F3B66">
      <w:pPr>
        <w:ind w:left="284" w:firstLine="709"/>
        <w:jc w:val="both"/>
        <w:rPr>
          <w:color w:val="000000"/>
        </w:rPr>
      </w:pPr>
      <w:r w:rsidRPr="00F418FB">
        <w:rPr>
          <w:color w:val="000000"/>
        </w:rPr>
        <w:t>- prireikus užtikrina EIT  </w:t>
      </w:r>
      <w:r w:rsidR="004018EC" w:rsidRPr="00F418FB">
        <w:rPr>
          <w:color w:val="000000"/>
        </w:rPr>
        <w:t xml:space="preserve">sinergiją </w:t>
      </w:r>
      <w:r w:rsidRPr="00F418FB">
        <w:rPr>
          <w:color w:val="000000"/>
        </w:rPr>
        <w:t>su kitomis ES programomis;</w:t>
      </w:r>
    </w:p>
    <w:p w:rsidR="007004E0" w:rsidRPr="00F418FB" w:rsidRDefault="007004E0" w:rsidP="006F3B66">
      <w:pPr>
        <w:ind w:left="284" w:firstLine="709"/>
        <w:jc w:val="both"/>
        <w:rPr>
          <w:color w:val="000000"/>
        </w:rPr>
      </w:pPr>
      <w:r w:rsidRPr="00F418FB">
        <w:rPr>
          <w:color w:val="000000"/>
        </w:rPr>
        <w:t>- organizuoja reguliarius suinteresuotųjų šalių forumo susitikimus ir bent du kartus per metus organizuoja valstybių narių atstovų grupės susitikimus</w:t>
      </w:r>
      <w:r w:rsidR="001B227F" w:rsidRPr="00F418FB">
        <w:rPr>
          <w:color w:val="000000"/>
        </w:rPr>
        <w:t>.</w:t>
      </w:r>
    </w:p>
    <w:p w:rsidR="007004E0" w:rsidRPr="00F418FB" w:rsidRDefault="007004E0" w:rsidP="006F3B66">
      <w:pPr>
        <w:ind w:firstLine="709"/>
        <w:jc w:val="both"/>
        <w:rPr>
          <w:color w:val="000000"/>
        </w:rPr>
      </w:pPr>
    </w:p>
    <w:p w:rsidR="007004E0" w:rsidRPr="00F418FB" w:rsidRDefault="007004E0" w:rsidP="006F3B66">
      <w:pPr>
        <w:ind w:firstLine="709"/>
        <w:jc w:val="both"/>
        <w:rPr>
          <w:color w:val="000000"/>
        </w:rPr>
      </w:pPr>
      <w:r w:rsidRPr="00F418FB">
        <w:rPr>
          <w:color w:val="000000"/>
        </w:rPr>
        <w:t> </w:t>
      </w:r>
      <w:r w:rsidR="001B227F" w:rsidRPr="00F418FB">
        <w:rPr>
          <w:color w:val="000000"/>
        </w:rPr>
        <w:t>P</w:t>
      </w:r>
      <w:r w:rsidRPr="00F418FB">
        <w:rPr>
          <w:color w:val="000000"/>
        </w:rPr>
        <w:t>agal reglamentą ŽIB turi autonomiją apibrėžti savo vidinę organizaciją ir sudėtį, savo darbotvarkę ir darbo metodus. Todėl siekiant ŽIB atvirumo ir dalyvavimo ŽIB veikose skatinimo, ŽIB apibrėžimą siūloma papildyti, kad ŽIB savo veiklos apimtį turi taikyti visoje Europoje. Taip pat reglamente apibrėžiama Regioninė inovacijų schema (RIS), kurioje nustatoma, kaip EIT turėtų įgyvendin</w:t>
      </w:r>
      <w:r w:rsidR="001B227F" w:rsidRPr="00F418FB">
        <w:rPr>
          <w:color w:val="000000"/>
        </w:rPr>
        <w:t xml:space="preserve">ti savo veiklą ir priemones. Siūloma RIS apibrėžtį papildyti pažymint, kad RIS turi </w:t>
      </w:r>
      <w:r w:rsidRPr="00F418FB">
        <w:rPr>
          <w:color w:val="000000"/>
        </w:rPr>
        <w:t xml:space="preserve">skatinti inovacinius </w:t>
      </w:r>
      <w:proofErr w:type="spellStart"/>
      <w:r w:rsidRPr="00F418FB">
        <w:rPr>
          <w:color w:val="000000"/>
        </w:rPr>
        <w:t>pajėgumus</w:t>
      </w:r>
      <w:proofErr w:type="spellEnd"/>
      <w:r w:rsidRPr="00F418FB">
        <w:rPr>
          <w:color w:val="000000"/>
        </w:rPr>
        <w:t xml:space="preserve"> </w:t>
      </w:r>
      <w:r w:rsidR="001B227F" w:rsidRPr="00F418FB">
        <w:rPr>
          <w:color w:val="000000"/>
        </w:rPr>
        <w:t xml:space="preserve">ir </w:t>
      </w:r>
      <w:r w:rsidRPr="00F418FB">
        <w:rPr>
          <w:color w:val="000000"/>
        </w:rPr>
        <w:t xml:space="preserve">tų šalių, kurios Inovacijų švieslentėje yra tarp  kuklių ir vidutinių </w:t>
      </w:r>
      <w:proofErr w:type="spellStart"/>
      <w:r w:rsidRPr="00F418FB">
        <w:rPr>
          <w:color w:val="000000"/>
        </w:rPr>
        <w:t>inovatorių</w:t>
      </w:r>
      <w:proofErr w:type="spellEnd"/>
      <w:r w:rsidRPr="00F418FB">
        <w:rPr>
          <w:color w:val="000000"/>
        </w:rPr>
        <w:t xml:space="preserve">. Giliau tai turi būti svarstoma SID. </w:t>
      </w:r>
    </w:p>
    <w:p w:rsidR="007004E0" w:rsidRPr="00F418FB" w:rsidRDefault="007004E0" w:rsidP="006F3B66">
      <w:pPr>
        <w:ind w:firstLine="709"/>
        <w:jc w:val="both"/>
        <w:rPr>
          <w:color w:val="000000"/>
        </w:rPr>
      </w:pPr>
      <w:r w:rsidRPr="00F418FB">
        <w:rPr>
          <w:color w:val="000000"/>
        </w:rPr>
        <w:t xml:space="preserve">Reglamentas turėtų būti taikomas ateinančiai finansinei perspektyvai, todėl reglamente yra siūloma nustatyti, kad jis bus taikomas nuo 2021 m. sausio 1 d. iki 2027 m. gruodžio 31 d. </w:t>
      </w:r>
    </w:p>
    <w:p w:rsidR="007004E0" w:rsidRPr="00F418FB" w:rsidRDefault="007004E0" w:rsidP="006F3B66">
      <w:pPr>
        <w:ind w:firstLine="709"/>
        <w:jc w:val="both"/>
        <w:rPr>
          <w:color w:val="000000"/>
        </w:rPr>
      </w:pPr>
      <w:r w:rsidRPr="00F418FB">
        <w:rPr>
          <w:color w:val="000000"/>
        </w:rPr>
        <w:t>Mokslinių tyrimų ir inovacijų bendrojoje programoje „Europos horizontas“ 2021–2027 m. numatoma EIT skirti 3 mlrd. EUR.</w:t>
      </w:r>
    </w:p>
    <w:p w:rsidR="007004E0" w:rsidRPr="00F418FB" w:rsidRDefault="007004E0" w:rsidP="006F3B66">
      <w:pPr>
        <w:ind w:firstLine="709"/>
        <w:jc w:val="both"/>
        <w:rPr>
          <w:color w:val="000000"/>
        </w:rPr>
      </w:pPr>
    </w:p>
    <w:p w:rsidR="007004E0" w:rsidRPr="00F418FB" w:rsidRDefault="007004E0" w:rsidP="006F3B66">
      <w:pPr>
        <w:ind w:firstLine="709"/>
        <w:jc w:val="both"/>
        <w:rPr>
          <w:b/>
        </w:rPr>
      </w:pPr>
      <w:r w:rsidRPr="00F418FB">
        <w:rPr>
          <w:b/>
        </w:rPr>
        <w:t>Siūloma Lietuvos pozicija:</w:t>
      </w:r>
    </w:p>
    <w:p w:rsidR="007004E0" w:rsidRPr="00F418FB" w:rsidRDefault="007004E0" w:rsidP="006F3B66">
      <w:pPr>
        <w:pStyle w:val="point0"/>
        <w:spacing w:before="0" w:beforeAutospacing="0" w:after="0" w:afterAutospacing="0"/>
        <w:ind w:firstLine="709"/>
        <w:jc w:val="both"/>
        <w:rPr>
          <w:color w:val="000000"/>
        </w:rPr>
      </w:pPr>
      <w:r w:rsidRPr="00F418FB">
        <w:rPr>
          <w:color w:val="000000"/>
        </w:rPr>
        <w:t>Lietuva iš esmės pritaria reglamento nuostatoms.</w:t>
      </w:r>
    </w:p>
    <w:p w:rsidR="007004E0" w:rsidRPr="00F418FB" w:rsidRDefault="007004E0" w:rsidP="006F3B66">
      <w:pPr>
        <w:pStyle w:val="point0"/>
        <w:spacing w:before="0" w:beforeAutospacing="0" w:after="0" w:afterAutospacing="0"/>
        <w:ind w:firstLine="709"/>
        <w:jc w:val="both"/>
        <w:rPr>
          <w:color w:val="000000"/>
        </w:rPr>
      </w:pPr>
      <w:r w:rsidRPr="00F418FB">
        <w:rPr>
          <w:color w:val="000000"/>
        </w:rPr>
        <w:t>Tačiau manome, kad dar yra spręstinų klausimų. Pirmiausia, išlieka aktualūs Europos inovacijų instituto (EIT) Žinių ir inovacijų bendrijų (ŽIB) atvirumo naujiems partneriams ir RIS apibrėžimo klausimai.</w:t>
      </w:r>
    </w:p>
    <w:p w:rsidR="007004E0" w:rsidRPr="00F418FB" w:rsidRDefault="007004E0" w:rsidP="006F3B66">
      <w:pPr>
        <w:pStyle w:val="point0"/>
        <w:spacing w:before="0" w:beforeAutospacing="0" w:after="0" w:afterAutospacing="0"/>
        <w:ind w:firstLine="709"/>
        <w:jc w:val="both"/>
        <w:rPr>
          <w:strike/>
          <w:color w:val="000000"/>
        </w:rPr>
      </w:pPr>
      <w:r w:rsidRPr="00F418FB">
        <w:rPr>
          <w:color w:val="000000"/>
        </w:rPr>
        <w:t>Lietuva remia požiūrį dėl didesnio atvirumo, skaidrumo ir pasisako už tai, kad ŽIB veikos būtų prieinamos visoje Europoje (</w:t>
      </w:r>
      <w:proofErr w:type="spellStart"/>
      <w:r w:rsidRPr="00F418FB">
        <w:rPr>
          <w:i/>
          <w:color w:val="000000"/>
        </w:rPr>
        <w:t>pan-European</w:t>
      </w:r>
      <w:proofErr w:type="spellEnd"/>
      <w:r w:rsidRPr="00F418FB">
        <w:rPr>
          <w:i/>
          <w:color w:val="000000"/>
        </w:rPr>
        <w:t xml:space="preserve"> </w:t>
      </w:r>
      <w:proofErr w:type="spellStart"/>
      <w:r w:rsidRPr="00F418FB">
        <w:rPr>
          <w:i/>
          <w:color w:val="000000"/>
        </w:rPr>
        <w:t>coverage</w:t>
      </w:r>
      <w:proofErr w:type="spellEnd"/>
      <w:r w:rsidRPr="00F418FB">
        <w:rPr>
          <w:color w:val="000000"/>
        </w:rPr>
        <w:t xml:space="preserve">), kad būtų užtikrintos galimybės į ŽIB įsitraukti naujiems partneriams, o Regioninė inovacijų schema (RIS) būtų orientuota </w:t>
      </w:r>
      <w:r w:rsidR="001B227F" w:rsidRPr="00F418FB">
        <w:rPr>
          <w:color w:val="000000"/>
        </w:rPr>
        <w:t xml:space="preserve">ne į regionus, o į </w:t>
      </w:r>
      <w:r w:rsidRPr="00F418FB">
        <w:rPr>
          <w:color w:val="000000"/>
        </w:rPr>
        <w:t xml:space="preserve">šalis, kurios pagal Europos inovacijų švieslentę yra nuosaikios arba vidutinės </w:t>
      </w:r>
      <w:proofErr w:type="spellStart"/>
      <w:r w:rsidRPr="00F418FB">
        <w:rPr>
          <w:color w:val="000000"/>
        </w:rPr>
        <w:t>inovatorės</w:t>
      </w:r>
      <w:proofErr w:type="spellEnd"/>
      <w:r w:rsidR="001B227F" w:rsidRPr="00F418FB">
        <w:rPr>
          <w:color w:val="000000"/>
        </w:rPr>
        <w:t>.</w:t>
      </w:r>
      <w:r w:rsidRPr="00F418FB">
        <w:rPr>
          <w:strike/>
          <w:color w:val="000000"/>
        </w:rPr>
        <w:t xml:space="preserve"> </w:t>
      </w:r>
    </w:p>
    <w:p w:rsidR="007004E0" w:rsidRPr="00F418FB" w:rsidRDefault="007004E0" w:rsidP="006F3B66">
      <w:pPr>
        <w:pStyle w:val="point0"/>
        <w:spacing w:before="0" w:beforeAutospacing="0" w:after="0" w:afterAutospacing="0"/>
        <w:ind w:firstLine="709"/>
        <w:jc w:val="both"/>
        <w:rPr>
          <w:color w:val="000000"/>
        </w:rPr>
      </w:pPr>
      <w:r w:rsidRPr="00F418FB">
        <w:rPr>
          <w:color w:val="000000"/>
        </w:rPr>
        <w:t xml:space="preserve">Galiausiai, mes pritariame nuomonei dėl reglamento taikymo ateinančiai finansinei perspektyvai, </w:t>
      </w:r>
      <w:proofErr w:type="spellStart"/>
      <w:r w:rsidRPr="00F418FB">
        <w:rPr>
          <w:color w:val="000000"/>
        </w:rPr>
        <w:t>t.y</w:t>
      </w:r>
      <w:proofErr w:type="spellEnd"/>
      <w:r w:rsidRPr="00F418FB">
        <w:rPr>
          <w:color w:val="000000"/>
        </w:rPr>
        <w:t>., k</w:t>
      </w:r>
      <w:r w:rsidRPr="00F418FB">
        <w:rPr>
          <w:color w:val="000000"/>
          <w:shd w:val="clear" w:color="auto" w:fill="FFFFFF"/>
        </w:rPr>
        <w:t>ad jis turi būti tvirtinamas 2021-2027 m. laikotarpiui</w:t>
      </w:r>
      <w:r w:rsidRPr="00F418FB">
        <w:rPr>
          <w:color w:val="000000"/>
        </w:rPr>
        <w:t>.</w:t>
      </w:r>
    </w:p>
    <w:p w:rsidR="007004E0" w:rsidRPr="00F418FB" w:rsidRDefault="007004E0" w:rsidP="006F3B66">
      <w:pPr>
        <w:ind w:firstLine="709"/>
        <w:jc w:val="both"/>
      </w:pPr>
    </w:p>
    <w:p w:rsidR="007004E0" w:rsidRPr="00F418FB" w:rsidRDefault="007004E0" w:rsidP="006F3B66">
      <w:pPr>
        <w:ind w:left="-76" w:firstLine="709"/>
        <w:jc w:val="both"/>
        <w:rPr>
          <w:b/>
        </w:rPr>
      </w:pPr>
      <w:r w:rsidRPr="00F418FB">
        <w:rPr>
          <w:b/>
          <w:color w:val="000000"/>
        </w:rPr>
        <w:t>2.</w:t>
      </w:r>
      <w:r w:rsidRPr="00F418FB">
        <w:rPr>
          <w:color w:val="000000"/>
        </w:rPr>
        <w:t xml:space="preserve"> </w:t>
      </w:r>
      <w:r w:rsidRPr="00F418FB">
        <w:rPr>
          <w:b/>
        </w:rPr>
        <w:t>Sprendimas dėl Europos inovacijų ir technologijos instituto (EIT) strateginės inovacijų darbotvarkės</w:t>
      </w:r>
    </w:p>
    <w:p w:rsidR="007004E0" w:rsidRPr="00F418FB" w:rsidRDefault="007004E0" w:rsidP="006F3B66">
      <w:pPr>
        <w:ind w:firstLine="709"/>
        <w:jc w:val="both"/>
        <w:rPr>
          <w:color w:val="000000"/>
        </w:rPr>
      </w:pPr>
      <w:r w:rsidRPr="00F418FB">
        <w:rPr>
          <w:color w:val="000000"/>
        </w:rPr>
        <w:t>Pažangos ataskaita</w:t>
      </w:r>
    </w:p>
    <w:p w:rsidR="007004E0" w:rsidRPr="00F418FB" w:rsidRDefault="007004E0" w:rsidP="006F3B66">
      <w:pPr>
        <w:ind w:firstLine="709"/>
        <w:jc w:val="both"/>
        <w:rPr>
          <w:b/>
        </w:rPr>
      </w:pPr>
      <w:r w:rsidRPr="00F418FB">
        <w:rPr>
          <w:b/>
        </w:rPr>
        <w:t>Klausimo esmė:</w:t>
      </w:r>
    </w:p>
    <w:p w:rsidR="007004E0" w:rsidRPr="00F418FB" w:rsidRDefault="006937CF" w:rsidP="006F3B66">
      <w:pPr>
        <w:ind w:firstLine="709"/>
        <w:jc w:val="both"/>
        <w:textAlignment w:val="top"/>
        <w:rPr>
          <w:color w:val="000000"/>
        </w:rPr>
      </w:pPr>
      <w:r w:rsidRPr="00F418FB">
        <w:rPr>
          <w:color w:val="000000"/>
        </w:rPr>
        <w:t>R</w:t>
      </w:r>
      <w:r w:rsidR="007004E0" w:rsidRPr="00F418FB">
        <w:rPr>
          <w:color w:val="000000"/>
        </w:rPr>
        <w:t>eikia teisinio pagrindo tęsti Europos inovacijų instituto (toliau - EIT) veiklą po 2021 m., ir yra atnaujinamas EIT reglamentas, o EIT reglamentu nustatoma, kad turi būti patvirtinta  Strateginė inovacijų darbotvarkė (toliau – SID). Atitinkamai parengtas pasiūlymas dėl SID.</w:t>
      </w:r>
    </w:p>
    <w:p w:rsidR="007004E0" w:rsidRPr="00F418FB" w:rsidRDefault="007004E0" w:rsidP="006F3B66">
      <w:pPr>
        <w:ind w:firstLine="709"/>
        <w:jc w:val="both"/>
        <w:textAlignment w:val="top"/>
        <w:rPr>
          <w:color w:val="000000"/>
        </w:rPr>
      </w:pPr>
      <w:r w:rsidRPr="00F418FB">
        <w:rPr>
          <w:color w:val="000000"/>
        </w:rPr>
        <w:t> </w:t>
      </w:r>
    </w:p>
    <w:p w:rsidR="007004E0" w:rsidRPr="00F418FB" w:rsidRDefault="007004E0" w:rsidP="006F3B66">
      <w:pPr>
        <w:ind w:firstLine="709"/>
        <w:jc w:val="both"/>
        <w:textAlignment w:val="top"/>
        <w:rPr>
          <w:color w:val="000000"/>
        </w:rPr>
      </w:pPr>
      <w:r w:rsidRPr="00F418FB">
        <w:rPr>
          <w:color w:val="000000"/>
        </w:rPr>
        <w:t>EIT SID nustatomos naujo laikotarpio EIT prioritetinės sritys ir strategija, apibrėž</w:t>
      </w:r>
      <w:r w:rsidR="001B227F" w:rsidRPr="00F418FB">
        <w:rPr>
          <w:color w:val="000000"/>
        </w:rPr>
        <w:t>iami</w:t>
      </w:r>
      <w:r w:rsidRPr="00F418FB">
        <w:rPr>
          <w:color w:val="000000"/>
        </w:rPr>
        <w:t xml:space="preserve"> EIT tikslai, nustatomi veiksmai, veikimo būdas, numatomi rezultatai ir reikalingi ištekliai. </w:t>
      </w:r>
      <w:r w:rsidR="001B227F" w:rsidRPr="00F418FB">
        <w:rPr>
          <w:color w:val="000000"/>
        </w:rPr>
        <w:t xml:space="preserve">SID atsižvelgiama į strateginį planavimą, </w:t>
      </w:r>
      <w:r w:rsidRPr="00F418FB">
        <w:rPr>
          <w:color w:val="000000"/>
        </w:rPr>
        <w:t>užtikrina</w:t>
      </w:r>
      <w:r w:rsidR="001B227F" w:rsidRPr="00F418FB">
        <w:rPr>
          <w:color w:val="000000"/>
        </w:rPr>
        <w:t>mas</w:t>
      </w:r>
      <w:r w:rsidRPr="00F418FB">
        <w:rPr>
          <w:color w:val="000000"/>
        </w:rPr>
        <w:t xml:space="preserve"> būtin</w:t>
      </w:r>
      <w:r w:rsidR="001B227F" w:rsidRPr="00F418FB">
        <w:rPr>
          <w:color w:val="000000"/>
        </w:rPr>
        <w:t>as</w:t>
      </w:r>
      <w:r w:rsidRPr="00F418FB">
        <w:rPr>
          <w:color w:val="000000"/>
        </w:rPr>
        <w:t xml:space="preserve"> E</w:t>
      </w:r>
      <w:r w:rsidR="001B227F" w:rsidRPr="00F418FB">
        <w:rPr>
          <w:color w:val="000000"/>
        </w:rPr>
        <w:t xml:space="preserve">IT </w:t>
      </w:r>
      <w:r w:rsidRPr="00F418FB">
        <w:rPr>
          <w:color w:val="000000"/>
        </w:rPr>
        <w:t>suderinamum</w:t>
      </w:r>
      <w:r w:rsidR="001B227F" w:rsidRPr="00F418FB">
        <w:rPr>
          <w:color w:val="000000"/>
        </w:rPr>
        <w:t>as</w:t>
      </w:r>
      <w:r w:rsidRPr="00F418FB">
        <w:rPr>
          <w:color w:val="000000"/>
        </w:rPr>
        <w:t xml:space="preserve"> su programos „Europos horizontas“ (toliau – EH) pasiūlymu</w:t>
      </w:r>
      <w:r w:rsidR="001B227F" w:rsidRPr="00F418FB">
        <w:rPr>
          <w:color w:val="000000"/>
        </w:rPr>
        <w:t>, o taip pat užtikrin</w:t>
      </w:r>
      <w:r w:rsidRPr="00F418FB">
        <w:rPr>
          <w:color w:val="000000"/>
        </w:rPr>
        <w:t>a</w:t>
      </w:r>
      <w:r w:rsidR="008363CA" w:rsidRPr="00F418FB">
        <w:rPr>
          <w:color w:val="000000"/>
        </w:rPr>
        <w:t>ma</w:t>
      </w:r>
      <w:r w:rsidRPr="00F418FB">
        <w:rPr>
          <w:color w:val="000000"/>
        </w:rPr>
        <w:t xml:space="preserve"> sąveik</w:t>
      </w:r>
      <w:r w:rsidR="008363CA" w:rsidRPr="00F418FB">
        <w:rPr>
          <w:color w:val="000000"/>
        </w:rPr>
        <w:t>a</w:t>
      </w:r>
      <w:r w:rsidRPr="00F418FB">
        <w:rPr>
          <w:color w:val="000000"/>
        </w:rPr>
        <w:t xml:space="preserve"> su kitais ES prioritetais ir įsipareigojimais, nacionalinėmis ar regioninėmis programomis.</w:t>
      </w:r>
    </w:p>
    <w:p w:rsidR="007004E0" w:rsidRPr="00F418FB" w:rsidRDefault="007004E0" w:rsidP="006F3B66">
      <w:pPr>
        <w:ind w:firstLine="709"/>
        <w:jc w:val="both"/>
        <w:textAlignment w:val="top"/>
        <w:rPr>
          <w:color w:val="000000"/>
        </w:rPr>
      </w:pPr>
      <w:r w:rsidRPr="00F418FB">
        <w:rPr>
          <w:color w:val="000000"/>
        </w:rPr>
        <w:t>SID yra informacija apie EK atliktą poveikio vertinimą ir ji suformuota remiantis paskutinių EIT veiklos metų metu įgyta patirtimi</w:t>
      </w:r>
      <w:r w:rsidR="008363CA" w:rsidRPr="00F418FB">
        <w:rPr>
          <w:color w:val="000000"/>
        </w:rPr>
        <w:t xml:space="preserve">, </w:t>
      </w:r>
      <w:r w:rsidRPr="00F418FB">
        <w:rPr>
          <w:color w:val="000000"/>
        </w:rPr>
        <w:t>konsultacijų su pagrindinėmis suinteresuotosiomis šalimis rezultatais.</w:t>
      </w:r>
    </w:p>
    <w:p w:rsidR="007004E0" w:rsidRPr="00F418FB" w:rsidRDefault="007004E0" w:rsidP="006F3B66">
      <w:pPr>
        <w:ind w:firstLine="709"/>
        <w:jc w:val="both"/>
        <w:textAlignment w:val="top"/>
        <w:rPr>
          <w:color w:val="000000"/>
        </w:rPr>
      </w:pPr>
      <w:r w:rsidRPr="00F418FB">
        <w:rPr>
          <w:color w:val="000000"/>
        </w:rPr>
        <w:t>SID apibrėžiama planuojama aukštojo mokslo, mokslinių tyrimų bei inovacijų veikla ir atitinkamas biudžeto paskirstymas pagal metus (2021-2027). Taip pat SID numatomas naujų</w:t>
      </w:r>
      <w:r w:rsidR="006937CF" w:rsidRPr="00F418FB">
        <w:rPr>
          <w:color w:val="000000"/>
        </w:rPr>
        <w:t xml:space="preserve"> Žinių ir inovacijų bendrijų (</w:t>
      </w:r>
      <w:r w:rsidRPr="00F418FB">
        <w:rPr>
          <w:color w:val="000000"/>
        </w:rPr>
        <w:t>ŽIB</w:t>
      </w:r>
      <w:r w:rsidR="006937CF" w:rsidRPr="00F418FB">
        <w:rPr>
          <w:color w:val="000000"/>
        </w:rPr>
        <w:t>)</w:t>
      </w:r>
      <w:r w:rsidRPr="00F418FB">
        <w:rPr>
          <w:color w:val="000000"/>
        </w:rPr>
        <w:t xml:space="preserve"> atrankos ir skyrimo tvarkaraštis.</w:t>
      </w:r>
    </w:p>
    <w:p w:rsidR="007004E0" w:rsidRPr="00F418FB" w:rsidRDefault="007004E0" w:rsidP="006F3B66">
      <w:pPr>
        <w:ind w:firstLine="709"/>
        <w:jc w:val="both"/>
        <w:textAlignment w:val="top"/>
        <w:rPr>
          <w:color w:val="000000"/>
        </w:rPr>
      </w:pPr>
    </w:p>
    <w:p w:rsidR="007004E0" w:rsidRPr="00F418FB" w:rsidRDefault="007004E0" w:rsidP="006F3B66">
      <w:pPr>
        <w:ind w:firstLine="709"/>
        <w:jc w:val="both"/>
        <w:textAlignment w:val="top"/>
        <w:rPr>
          <w:color w:val="000000"/>
        </w:rPr>
      </w:pPr>
      <w:r w:rsidRPr="00F418FB">
        <w:rPr>
          <w:color w:val="000000"/>
          <w:u w:val="single"/>
        </w:rPr>
        <w:t>Svarbesni aspektai:</w:t>
      </w:r>
    </w:p>
    <w:p w:rsidR="007004E0" w:rsidRPr="00F418FB" w:rsidRDefault="007004E0" w:rsidP="006F3B66">
      <w:pPr>
        <w:ind w:firstLine="709"/>
        <w:jc w:val="both"/>
        <w:textAlignment w:val="top"/>
        <w:rPr>
          <w:color w:val="000000"/>
        </w:rPr>
      </w:pPr>
      <w:r w:rsidRPr="00F418FB">
        <w:rPr>
          <w:color w:val="000000"/>
        </w:rPr>
        <w:t xml:space="preserve">EIT koordinavimo funkcijas vykdys koordinuodamas ir teikdamas </w:t>
      </w:r>
      <w:r w:rsidR="006937CF" w:rsidRPr="00F418FB">
        <w:rPr>
          <w:color w:val="000000"/>
        </w:rPr>
        <w:t xml:space="preserve">paramą </w:t>
      </w:r>
      <w:r w:rsidRPr="00F418FB">
        <w:rPr>
          <w:color w:val="000000"/>
        </w:rPr>
        <w:t>ŽIB.</w:t>
      </w:r>
    </w:p>
    <w:p w:rsidR="007004E0" w:rsidRPr="00F418FB" w:rsidRDefault="007004E0" w:rsidP="006F3B66">
      <w:pPr>
        <w:ind w:firstLine="709"/>
        <w:jc w:val="both"/>
        <w:textAlignment w:val="top"/>
        <w:rPr>
          <w:color w:val="000000"/>
        </w:rPr>
      </w:pPr>
      <w:r w:rsidRPr="00F418FB">
        <w:rPr>
          <w:color w:val="000000"/>
        </w:rPr>
        <w:t xml:space="preserve">EIT įgyvendins veiklas, kurios skirtos stiprinti inovacijų ekosistemas ES, skatinti ugdyti verslumo ir inovacijų įgūdžius, pateikti rinkai naujus visuomenės uždavinių sprendinius. Tai bus įgyvendinama teikiant paramą ŽIB. </w:t>
      </w:r>
      <w:r w:rsidR="008363CA" w:rsidRPr="00F418FB">
        <w:rPr>
          <w:color w:val="000000"/>
        </w:rPr>
        <w:t>Jos veikia</w:t>
      </w:r>
      <w:r w:rsidRPr="00F418FB">
        <w:rPr>
          <w:color w:val="000000"/>
        </w:rPr>
        <w:t xml:space="preserve"> šiose srityse: klimato pokyčiai, skaitmeninis pertvarkymas, energija, maistas, sveikata, žaliavos, miesto </w:t>
      </w:r>
      <w:proofErr w:type="spellStart"/>
      <w:r w:rsidRPr="00F418FB">
        <w:rPr>
          <w:color w:val="000000"/>
        </w:rPr>
        <w:t>judumas</w:t>
      </w:r>
      <w:proofErr w:type="spellEnd"/>
      <w:r w:rsidRPr="00F418FB">
        <w:rPr>
          <w:color w:val="000000"/>
        </w:rPr>
        <w:t xml:space="preserve"> ir pridėtinės vertės gamyba. Kiekviena ŽIB paprastai turi nuo penkių iki dešimties vietos centrų</w:t>
      </w:r>
      <w:r w:rsidR="006937CF" w:rsidRPr="00F418FB">
        <w:rPr>
          <w:color w:val="000000"/>
        </w:rPr>
        <w:t>.</w:t>
      </w:r>
    </w:p>
    <w:p w:rsidR="007004E0" w:rsidRPr="00F418FB" w:rsidRDefault="007004E0" w:rsidP="006F3B66">
      <w:pPr>
        <w:ind w:firstLine="709"/>
        <w:jc w:val="both"/>
        <w:textAlignment w:val="top"/>
        <w:rPr>
          <w:color w:val="000000"/>
        </w:rPr>
      </w:pPr>
      <w:r w:rsidRPr="00F418FB">
        <w:rPr>
          <w:color w:val="000000"/>
        </w:rPr>
        <w:t xml:space="preserve">Pirmieji ŽIB („EIT Digital“, „EIT </w:t>
      </w:r>
      <w:proofErr w:type="spellStart"/>
      <w:r w:rsidRPr="00F418FB">
        <w:rPr>
          <w:color w:val="000000"/>
        </w:rPr>
        <w:t>Climate</w:t>
      </w:r>
      <w:proofErr w:type="spellEnd"/>
      <w:r w:rsidRPr="00F418FB">
        <w:rPr>
          <w:color w:val="000000"/>
        </w:rPr>
        <w:t xml:space="preserve">-KIC“ ir „EIT </w:t>
      </w:r>
      <w:proofErr w:type="spellStart"/>
      <w:r w:rsidRPr="00F418FB">
        <w:rPr>
          <w:color w:val="000000"/>
        </w:rPr>
        <w:t>InnoEnergy</w:t>
      </w:r>
      <w:proofErr w:type="spellEnd"/>
      <w:r w:rsidRPr="00F418FB">
        <w:rPr>
          <w:color w:val="000000"/>
        </w:rPr>
        <w:t xml:space="preserve">“) įsteigti 2009 m. Kiti ŽIB:   „EIT </w:t>
      </w:r>
      <w:proofErr w:type="spellStart"/>
      <w:r w:rsidRPr="00F418FB">
        <w:rPr>
          <w:color w:val="000000"/>
        </w:rPr>
        <w:t>Health</w:t>
      </w:r>
      <w:proofErr w:type="spellEnd"/>
      <w:r w:rsidRPr="00F418FB">
        <w:rPr>
          <w:color w:val="000000"/>
        </w:rPr>
        <w:t xml:space="preserve">“ „EIT </w:t>
      </w:r>
      <w:proofErr w:type="spellStart"/>
      <w:r w:rsidRPr="00F418FB">
        <w:rPr>
          <w:color w:val="000000"/>
        </w:rPr>
        <w:t>Raw</w:t>
      </w:r>
      <w:proofErr w:type="spellEnd"/>
      <w:r w:rsidRPr="00F418FB">
        <w:rPr>
          <w:color w:val="000000"/>
        </w:rPr>
        <w:t xml:space="preserve"> </w:t>
      </w:r>
      <w:proofErr w:type="spellStart"/>
      <w:r w:rsidRPr="00F418FB">
        <w:rPr>
          <w:color w:val="000000"/>
        </w:rPr>
        <w:t>Materials</w:t>
      </w:r>
      <w:proofErr w:type="spellEnd"/>
      <w:r w:rsidRPr="00F418FB">
        <w:rPr>
          <w:color w:val="000000"/>
        </w:rPr>
        <w:t xml:space="preserve">“ (2014), „EIT </w:t>
      </w:r>
      <w:proofErr w:type="spellStart"/>
      <w:r w:rsidRPr="00F418FB">
        <w:rPr>
          <w:color w:val="000000"/>
        </w:rPr>
        <w:t>Food</w:t>
      </w:r>
      <w:proofErr w:type="spellEnd"/>
      <w:r w:rsidRPr="00F418FB">
        <w:rPr>
          <w:color w:val="000000"/>
        </w:rPr>
        <w:t>“ (2016)</w:t>
      </w:r>
      <w:r w:rsidR="008363CA" w:rsidRPr="00F418FB">
        <w:rPr>
          <w:color w:val="000000"/>
        </w:rPr>
        <w:t xml:space="preserve">, </w:t>
      </w:r>
      <w:r w:rsidRPr="00F418FB">
        <w:rPr>
          <w:color w:val="000000"/>
        </w:rPr>
        <w:t xml:space="preserve">„EIT Urban </w:t>
      </w:r>
      <w:proofErr w:type="spellStart"/>
      <w:r w:rsidRPr="00F418FB">
        <w:rPr>
          <w:color w:val="000000"/>
        </w:rPr>
        <w:t>Mobility</w:t>
      </w:r>
      <w:proofErr w:type="spellEnd"/>
      <w:r w:rsidRPr="00F418FB">
        <w:rPr>
          <w:color w:val="000000"/>
        </w:rPr>
        <w:t xml:space="preserve">“ ir  „EIT </w:t>
      </w:r>
      <w:proofErr w:type="spellStart"/>
      <w:r w:rsidRPr="00F418FB">
        <w:rPr>
          <w:color w:val="000000"/>
        </w:rPr>
        <w:t>Manufacturing</w:t>
      </w:r>
      <w:proofErr w:type="spellEnd"/>
      <w:r w:rsidRPr="00F418FB">
        <w:rPr>
          <w:color w:val="000000"/>
        </w:rPr>
        <w:t xml:space="preserve">“ </w:t>
      </w:r>
      <w:r w:rsidR="008363CA" w:rsidRPr="00F418FB">
        <w:rPr>
          <w:color w:val="000000"/>
        </w:rPr>
        <w:t>(</w:t>
      </w:r>
      <w:r w:rsidRPr="00F418FB">
        <w:rPr>
          <w:color w:val="000000"/>
        </w:rPr>
        <w:t>2018</w:t>
      </w:r>
      <w:r w:rsidR="008363CA" w:rsidRPr="00F418FB">
        <w:rPr>
          <w:color w:val="000000"/>
        </w:rPr>
        <w:t>).</w:t>
      </w:r>
    </w:p>
    <w:p w:rsidR="007004E0" w:rsidRPr="00F418FB" w:rsidRDefault="007004E0" w:rsidP="006F3B66">
      <w:pPr>
        <w:ind w:firstLine="709"/>
        <w:jc w:val="both"/>
        <w:textAlignment w:val="top"/>
        <w:rPr>
          <w:color w:val="000000"/>
        </w:rPr>
      </w:pPr>
      <w:r w:rsidRPr="00F418FB">
        <w:rPr>
          <w:color w:val="000000"/>
        </w:rPr>
        <w:t>EIT skelbs kvietimus steigti naujas ŽIB pasirinktose strateginės svarbos teminėse srityse, pradedant ŽIB kūrybinių kultinių industrijų srityje (planuojama 2022 m.). Nauji ŽIB bus atrenkami remiantis kriterijais pagal atitikimą EH prioritetams, jų potencialą bei pridėtinę vertę.</w:t>
      </w:r>
    </w:p>
    <w:p w:rsidR="007004E0" w:rsidRPr="00F418FB" w:rsidRDefault="007004E0" w:rsidP="006F3B66">
      <w:pPr>
        <w:ind w:firstLine="709"/>
        <w:jc w:val="both"/>
        <w:textAlignment w:val="top"/>
        <w:rPr>
          <w:color w:val="000000"/>
        </w:rPr>
      </w:pPr>
      <w:r w:rsidRPr="00F418FB">
        <w:rPr>
          <w:color w:val="000000"/>
        </w:rPr>
        <w:t xml:space="preserve">ŽIB veikla vystoma trimis </w:t>
      </w:r>
      <w:r w:rsidR="008363CA" w:rsidRPr="00F418FB">
        <w:rPr>
          <w:color w:val="000000"/>
        </w:rPr>
        <w:t>kryptimis</w:t>
      </w:r>
      <w:r w:rsidRPr="00F418FB">
        <w:rPr>
          <w:color w:val="000000"/>
        </w:rPr>
        <w:t xml:space="preserve"> (vadinamas žinių trikampis):</w:t>
      </w:r>
    </w:p>
    <w:p w:rsidR="007004E0" w:rsidRPr="00F418FB" w:rsidRDefault="007004E0" w:rsidP="006F3B66">
      <w:pPr>
        <w:ind w:firstLine="709"/>
        <w:jc w:val="both"/>
        <w:textAlignment w:val="top"/>
        <w:rPr>
          <w:color w:val="000000"/>
        </w:rPr>
      </w:pPr>
      <w:r w:rsidRPr="00F418FB">
        <w:rPr>
          <w:color w:val="000000"/>
        </w:rPr>
        <w:t>• švietimo ir mokymo veikla, kurioje yra stipri verslumo skatinimo dalis;</w:t>
      </w:r>
    </w:p>
    <w:p w:rsidR="007004E0" w:rsidRPr="00F418FB" w:rsidRDefault="007004E0" w:rsidP="006F3B66">
      <w:pPr>
        <w:ind w:firstLine="709"/>
        <w:jc w:val="both"/>
        <w:textAlignment w:val="top"/>
        <w:rPr>
          <w:color w:val="000000"/>
        </w:rPr>
      </w:pPr>
      <w:r w:rsidRPr="00F418FB">
        <w:rPr>
          <w:color w:val="000000"/>
        </w:rPr>
        <w:t xml:space="preserve">• inovacijas remianti veikla, skirta kurti </w:t>
      </w:r>
      <w:proofErr w:type="spellStart"/>
      <w:r w:rsidRPr="00F418FB">
        <w:rPr>
          <w:color w:val="000000"/>
        </w:rPr>
        <w:t>inovatyvius</w:t>
      </w:r>
      <w:proofErr w:type="spellEnd"/>
      <w:r w:rsidRPr="00F418FB">
        <w:rPr>
          <w:color w:val="000000"/>
        </w:rPr>
        <w:t xml:space="preserve"> produktus, procesus ir paslaugas;</w:t>
      </w:r>
    </w:p>
    <w:p w:rsidR="007004E0" w:rsidRPr="00F418FB" w:rsidRDefault="007004E0" w:rsidP="006F3B66">
      <w:pPr>
        <w:ind w:firstLine="709"/>
        <w:jc w:val="both"/>
        <w:textAlignment w:val="top"/>
        <w:rPr>
          <w:color w:val="000000"/>
        </w:rPr>
      </w:pPr>
      <w:r w:rsidRPr="00F418FB">
        <w:rPr>
          <w:color w:val="000000"/>
        </w:rPr>
        <w:t>• verslo kūrimo ir palaikymo veikla.</w:t>
      </w:r>
    </w:p>
    <w:p w:rsidR="007004E0" w:rsidRPr="00F418FB" w:rsidRDefault="007004E0" w:rsidP="006F3B66">
      <w:pPr>
        <w:ind w:firstLine="709"/>
        <w:jc w:val="both"/>
        <w:textAlignment w:val="top"/>
        <w:rPr>
          <w:color w:val="000000"/>
        </w:rPr>
      </w:pPr>
      <w:r w:rsidRPr="00F418FB">
        <w:rPr>
          <w:color w:val="000000"/>
        </w:rPr>
        <w:t xml:space="preserve">Švietimas ir mokymas, talentų ir įgūdžių ugdymas yra EIT modelio pagrindas. </w:t>
      </w:r>
    </w:p>
    <w:p w:rsidR="007004E0" w:rsidRPr="00F418FB" w:rsidRDefault="007004E0" w:rsidP="006F3B66">
      <w:pPr>
        <w:ind w:firstLine="709"/>
        <w:jc w:val="both"/>
        <w:textAlignment w:val="top"/>
        <w:rPr>
          <w:color w:val="000000"/>
        </w:rPr>
      </w:pPr>
      <w:r w:rsidRPr="00F418FB">
        <w:rPr>
          <w:color w:val="000000"/>
        </w:rPr>
        <w:t> </w:t>
      </w:r>
    </w:p>
    <w:p w:rsidR="007004E0" w:rsidRPr="00F418FB" w:rsidRDefault="007004E0" w:rsidP="006F3B66">
      <w:pPr>
        <w:ind w:firstLine="709"/>
        <w:jc w:val="both"/>
        <w:textAlignment w:val="top"/>
        <w:rPr>
          <w:color w:val="000000"/>
        </w:rPr>
      </w:pPr>
      <w:r w:rsidRPr="00F418FB">
        <w:rPr>
          <w:color w:val="000000"/>
        </w:rPr>
        <w:t>Pasitelkdamas supaprastintą finansavimo modelį, EIT padidins ŽIB poveikį ir ŽIB indėlį siekiant programos EH tikslų, taip pat skatins ŽIB partnerių įsipareigojimus.</w:t>
      </w:r>
    </w:p>
    <w:p w:rsidR="007004E0" w:rsidRPr="00F418FB" w:rsidRDefault="007004E0" w:rsidP="006F3B66">
      <w:pPr>
        <w:ind w:firstLine="709"/>
        <w:jc w:val="both"/>
        <w:textAlignment w:val="top"/>
        <w:rPr>
          <w:color w:val="000000"/>
        </w:rPr>
      </w:pPr>
      <w:r w:rsidRPr="00F418FB">
        <w:rPr>
          <w:color w:val="000000"/>
        </w:rPr>
        <w:t>EIT laipsniškai mažins ŽIB veiklos finansavimo procentą. Nustatytas tikslas, kad ŽIB turi tapti finansiškai tvarios, turi sukurti ir įgyvendinti pajamas kuriančias strategijas, kad išlaikytų savo inovacijų ekosistemą ilgesnį nei dotacijoms skirtas numatytas laikotarpis.</w:t>
      </w:r>
    </w:p>
    <w:p w:rsidR="007004E0" w:rsidRPr="00F418FB" w:rsidRDefault="007004E0" w:rsidP="006F3B66">
      <w:pPr>
        <w:ind w:firstLine="709"/>
        <w:jc w:val="both"/>
        <w:textAlignment w:val="top"/>
        <w:rPr>
          <w:color w:val="000000"/>
        </w:rPr>
      </w:pPr>
      <w:r w:rsidRPr="00F418FB">
        <w:rPr>
          <w:color w:val="000000"/>
        </w:rPr>
        <w:t xml:space="preserve">EIT finansavimas bus tiesiogiai susietas su pažanga, ir, jei nebus rezultatų, jis gali būti sumažintas arba nutrauktas. Pasibaigiant 7 metų veiklos laikotarpiui ŽIB bus vertinami. </w:t>
      </w:r>
    </w:p>
    <w:p w:rsidR="007004E0" w:rsidRPr="00F418FB" w:rsidRDefault="007004E0" w:rsidP="006F3B66">
      <w:pPr>
        <w:ind w:firstLine="709"/>
        <w:jc w:val="both"/>
        <w:textAlignment w:val="top"/>
        <w:rPr>
          <w:color w:val="000000"/>
        </w:rPr>
      </w:pPr>
      <w:r w:rsidRPr="00F418FB">
        <w:rPr>
          <w:color w:val="000000"/>
        </w:rPr>
        <w:t> EIT įgyvendina Regioninę inovacijų schemą (RIS), o 2021-2027 m. šiai priemonei planuojama skirti apie 10-12% viso ŽIB skirto biudžeto.</w:t>
      </w:r>
    </w:p>
    <w:p w:rsidR="007004E0" w:rsidRPr="00F418FB" w:rsidRDefault="007004E0" w:rsidP="006F3B66">
      <w:pPr>
        <w:tabs>
          <w:tab w:val="left" w:pos="7575"/>
        </w:tabs>
        <w:ind w:firstLine="709"/>
        <w:jc w:val="both"/>
      </w:pPr>
      <w:r w:rsidRPr="00F418FB">
        <w:rPr>
          <w:color w:val="000000"/>
        </w:rPr>
        <w:t xml:space="preserve">Planuojamas visas EIT biudžetas – 3,0 mlrd. EUR. </w:t>
      </w:r>
      <w:r w:rsidRPr="00F418FB">
        <w:t xml:space="preserve">ŽIB veikloms būtų planuojama skirti apie 2,9 mlrd. EUR. Tikimasi, kad ŽIB sutelks dar apie 9 mlrd. EUR iš kitų viešųjų ir privačiųjų šaltinių. </w:t>
      </w:r>
    </w:p>
    <w:p w:rsidR="007004E0" w:rsidRPr="00F418FB" w:rsidRDefault="007004E0" w:rsidP="006F3B66">
      <w:pPr>
        <w:ind w:firstLine="709"/>
        <w:jc w:val="both"/>
        <w:textAlignment w:val="top"/>
        <w:rPr>
          <w:color w:val="000000"/>
        </w:rPr>
      </w:pPr>
      <w:r w:rsidRPr="00F418FB">
        <w:rPr>
          <w:color w:val="000000"/>
        </w:rPr>
        <w:t xml:space="preserve">Kol kas SID dar diskutuojama ir svarstomi klausimai dėl biudžeto dydžio  (ir jo dalies skyrimo RIS šalims), dėl priemonių įgyvendinimo per ŽIB, dėl </w:t>
      </w:r>
      <w:proofErr w:type="spellStart"/>
      <w:r w:rsidRPr="00F418FB">
        <w:rPr>
          <w:color w:val="000000"/>
        </w:rPr>
        <w:t>sinergijų</w:t>
      </w:r>
      <w:proofErr w:type="spellEnd"/>
      <w:r w:rsidRPr="00F418FB">
        <w:rPr>
          <w:color w:val="000000"/>
        </w:rPr>
        <w:t xml:space="preserve"> su kitomis programomis, įskaitant ERASMUS+, ilgiau nei 15 metų veikiančių ŽIB galimybės dalyvauti kvietimuose ir kt.  </w:t>
      </w:r>
    </w:p>
    <w:p w:rsidR="007004E0" w:rsidRPr="00F418FB" w:rsidRDefault="007004E0" w:rsidP="006F3B66">
      <w:pPr>
        <w:ind w:firstLine="709"/>
        <w:jc w:val="both"/>
        <w:textAlignment w:val="top"/>
        <w:rPr>
          <w:color w:val="000000"/>
        </w:rPr>
      </w:pPr>
    </w:p>
    <w:p w:rsidR="007004E0" w:rsidRPr="00F418FB" w:rsidRDefault="007004E0" w:rsidP="006F3B66">
      <w:pPr>
        <w:ind w:firstLine="709"/>
        <w:jc w:val="both"/>
        <w:textAlignment w:val="top"/>
        <w:rPr>
          <w:color w:val="000000"/>
        </w:rPr>
      </w:pPr>
      <w:r w:rsidRPr="00F418FB">
        <w:rPr>
          <w:color w:val="000000"/>
        </w:rPr>
        <w:t>Kadangi dėl SID dar reikia daugiau diskusijų,  2019 m.  lapkričio 29 d. Konkurencingumo tarybai bus teikiama pažangos ataskaita apie EIT SID, o ne siekiama priimti bendrą dalinį požiūrį.</w:t>
      </w:r>
    </w:p>
    <w:p w:rsidR="007004E0" w:rsidRPr="00F418FB" w:rsidRDefault="007004E0" w:rsidP="006F3B66">
      <w:pPr>
        <w:ind w:firstLine="709"/>
        <w:jc w:val="both"/>
        <w:rPr>
          <w:color w:val="000000"/>
        </w:rPr>
      </w:pPr>
    </w:p>
    <w:p w:rsidR="007004E0" w:rsidRPr="00F418FB" w:rsidRDefault="007004E0" w:rsidP="006F3B66">
      <w:pPr>
        <w:ind w:firstLine="709"/>
        <w:jc w:val="both"/>
        <w:rPr>
          <w:b/>
        </w:rPr>
      </w:pPr>
      <w:r w:rsidRPr="00F418FB">
        <w:rPr>
          <w:b/>
        </w:rPr>
        <w:t>Siūloma Lietuvos pozicija:</w:t>
      </w:r>
    </w:p>
    <w:p w:rsidR="007004E0" w:rsidRPr="00F418FB" w:rsidRDefault="007004E0" w:rsidP="006F3B66">
      <w:pPr>
        <w:ind w:firstLine="709"/>
        <w:jc w:val="both"/>
      </w:pPr>
    </w:p>
    <w:p w:rsidR="007004E0" w:rsidRPr="00F418FB" w:rsidRDefault="007004E0" w:rsidP="006F3B66">
      <w:pPr>
        <w:pStyle w:val="point0"/>
        <w:spacing w:before="0" w:beforeAutospacing="0" w:after="0" w:afterAutospacing="0"/>
        <w:ind w:firstLine="709"/>
        <w:jc w:val="both"/>
        <w:rPr>
          <w:color w:val="000000"/>
        </w:rPr>
      </w:pPr>
      <w:r w:rsidRPr="00F418FB">
        <w:rPr>
          <w:color w:val="000000"/>
        </w:rPr>
        <w:t xml:space="preserve">Išklausyti informaciją apie pažangos ataskaitą. </w:t>
      </w:r>
    </w:p>
    <w:p w:rsidR="007004E0" w:rsidRPr="00F418FB" w:rsidRDefault="007004E0" w:rsidP="006F3B66">
      <w:pPr>
        <w:pStyle w:val="point0"/>
        <w:spacing w:before="0" w:beforeAutospacing="0" w:after="0" w:afterAutospacing="0"/>
        <w:ind w:firstLine="709"/>
        <w:jc w:val="both"/>
        <w:rPr>
          <w:color w:val="000000"/>
        </w:rPr>
      </w:pPr>
      <w:r w:rsidRPr="00F418FB">
        <w:rPr>
          <w:color w:val="000000"/>
        </w:rPr>
        <w:t>Lietuva iš esmės pritaria strateginės inovacijų darbotvarkei (SID). Pripažįstame pirmininkaujančios valstybės pastangas ir iki šiol padarytą pažangą modeliuoti SID. Mūsų nuomone, SID tobulinimas buvo vystomas teisinga linkme. Palaikome SIA nuostatas dėl Žinių ir inovacijų bendrijų (ŽIB) stebėsenos ir vertinimo, taip pat dėl ​​naujų ŽIB steigimo.</w:t>
      </w:r>
    </w:p>
    <w:p w:rsidR="007004E0" w:rsidRPr="00F418FB" w:rsidRDefault="007004E0" w:rsidP="006F3B66">
      <w:pPr>
        <w:pStyle w:val="point0"/>
        <w:spacing w:before="0" w:beforeAutospacing="0" w:after="0" w:afterAutospacing="0"/>
        <w:ind w:left="22" w:firstLine="709"/>
        <w:jc w:val="both"/>
        <w:rPr>
          <w:color w:val="000000"/>
        </w:rPr>
      </w:pPr>
      <w:r w:rsidRPr="00F418FB">
        <w:rPr>
          <w:color w:val="000000"/>
        </w:rPr>
        <w:t xml:space="preserve">Tačiau reikia tolesnių diskusijų dėl atvirumo, ŽIB finansavimo modelio, bendradarbiavimo memorandumo ir inovacijų </w:t>
      </w:r>
      <w:proofErr w:type="spellStart"/>
      <w:r w:rsidRPr="00F418FB">
        <w:rPr>
          <w:color w:val="000000"/>
        </w:rPr>
        <w:t>pajėgumų</w:t>
      </w:r>
      <w:proofErr w:type="spellEnd"/>
      <w:r w:rsidRPr="00F418FB">
        <w:rPr>
          <w:color w:val="000000"/>
        </w:rPr>
        <w:t xml:space="preserve"> didinimo priemonės. </w:t>
      </w:r>
    </w:p>
    <w:p w:rsidR="007004E0" w:rsidRPr="00F418FB" w:rsidRDefault="007004E0" w:rsidP="006F3B66">
      <w:pPr>
        <w:pStyle w:val="point0"/>
        <w:spacing w:before="0" w:beforeAutospacing="0" w:after="0" w:afterAutospacing="0"/>
        <w:ind w:left="22" w:firstLine="709"/>
        <w:jc w:val="both"/>
        <w:rPr>
          <w:color w:val="000000"/>
        </w:rPr>
      </w:pPr>
      <w:r w:rsidRPr="00F418FB">
        <w:rPr>
          <w:color w:val="000000"/>
        </w:rPr>
        <w:t>Konkrečiau:</w:t>
      </w:r>
    </w:p>
    <w:p w:rsidR="008363CA" w:rsidRPr="00F418FB" w:rsidRDefault="007004E0" w:rsidP="006F3B66">
      <w:pPr>
        <w:pStyle w:val="point0"/>
        <w:numPr>
          <w:ilvl w:val="0"/>
          <w:numId w:val="34"/>
        </w:numPr>
        <w:spacing w:before="0" w:beforeAutospacing="0" w:after="0" w:afterAutospacing="0"/>
        <w:ind w:left="709" w:firstLine="709"/>
        <w:jc w:val="both"/>
        <w:rPr>
          <w:color w:val="000000"/>
        </w:rPr>
      </w:pPr>
      <w:r w:rsidRPr="00F418FB">
        <w:rPr>
          <w:color w:val="000000"/>
        </w:rPr>
        <w:t>Nepalaikome siūlymo dėl maksimalaus biudžeto nustatymo Regioninei inovacijų schemai (RIS)</w:t>
      </w:r>
      <w:r w:rsidR="008363CA" w:rsidRPr="00F418FB">
        <w:rPr>
          <w:color w:val="000000"/>
        </w:rPr>
        <w:t>;</w:t>
      </w:r>
    </w:p>
    <w:p w:rsidR="008363CA" w:rsidRPr="00F418FB" w:rsidRDefault="007004E0" w:rsidP="006F3B66">
      <w:pPr>
        <w:pStyle w:val="point0"/>
        <w:numPr>
          <w:ilvl w:val="0"/>
          <w:numId w:val="34"/>
        </w:numPr>
        <w:spacing w:before="0" w:beforeAutospacing="0" w:after="0" w:afterAutospacing="0"/>
        <w:ind w:left="709" w:firstLine="709"/>
        <w:jc w:val="both"/>
        <w:rPr>
          <w:color w:val="000000"/>
        </w:rPr>
      </w:pPr>
      <w:r w:rsidRPr="00F418FB">
        <w:rPr>
          <w:color w:val="000000"/>
        </w:rPr>
        <w:t>Siūlome didinti ŽIB atvirumą, keičiant ŽIB finansavimo modelį taip, kad kartu būtų atsižvelgiama į ŽIB konsorciumų dydį</w:t>
      </w:r>
      <w:r w:rsidR="008363CA" w:rsidRPr="00F418FB">
        <w:rPr>
          <w:color w:val="000000"/>
        </w:rPr>
        <w:t xml:space="preserve">; </w:t>
      </w:r>
    </w:p>
    <w:p w:rsidR="007004E0" w:rsidRPr="00F418FB" w:rsidRDefault="008363CA" w:rsidP="006F3B66">
      <w:pPr>
        <w:pStyle w:val="point0"/>
        <w:numPr>
          <w:ilvl w:val="0"/>
          <w:numId w:val="34"/>
        </w:numPr>
        <w:spacing w:before="0" w:beforeAutospacing="0" w:after="0" w:afterAutospacing="0"/>
        <w:ind w:left="709" w:firstLine="709"/>
        <w:jc w:val="both"/>
        <w:rPr>
          <w:color w:val="000000"/>
        </w:rPr>
      </w:pPr>
      <w:r w:rsidRPr="00F418FB">
        <w:rPr>
          <w:color w:val="000000"/>
        </w:rPr>
        <w:t>G</w:t>
      </w:r>
      <w:r w:rsidR="007004E0" w:rsidRPr="00F418FB">
        <w:rPr>
          <w:color w:val="000000"/>
        </w:rPr>
        <w:t>aliausiai,  negalime pritarti ŽIB finansavimo tęstinumui po 15 metų</w:t>
      </w:r>
      <w:r w:rsidR="006937CF" w:rsidRPr="00F418FB">
        <w:rPr>
          <w:color w:val="000000"/>
        </w:rPr>
        <w:t xml:space="preserve">; </w:t>
      </w:r>
      <w:r w:rsidR="007004E0" w:rsidRPr="00F418FB">
        <w:rPr>
          <w:color w:val="000000"/>
        </w:rPr>
        <w:t xml:space="preserve"> mes pasisakome už tai, kad būtų aiškiai apibrėžtos konkrečios veiklos, kurios galėtų būti finansuojamos skelbiant konkursus pagal bendradarbiavimo memorandumą.</w:t>
      </w:r>
    </w:p>
    <w:p w:rsidR="007004E0" w:rsidRPr="00F418FB" w:rsidRDefault="007004E0" w:rsidP="006F3B66">
      <w:pPr>
        <w:ind w:firstLine="709"/>
        <w:jc w:val="both"/>
        <w:rPr>
          <w:b/>
          <w:bCs/>
        </w:rPr>
      </w:pPr>
    </w:p>
    <w:p w:rsidR="007004E0" w:rsidRPr="00F418FB" w:rsidRDefault="007004E0" w:rsidP="006F3B66">
      <w:pPr>
        <w:ind w:firstLine="709"/>
        <w:jc w:val="both"/>
      </w:pPr>
    </w:p>
    <w:p w:rsidR="007004E0" w:rsidRPr="00F418FB" w:rsidRDefault="007004E0" w:rsidP="006F3B66">
      <w:pPr>
        <w:ind w:left="-76" w:firstLine="709"/>
        <w:jc w:val="both"/>
      </w:pPr>
      <w:r w:rsidRPr="00F418FB">
        <w:rPr>
          <w:b/>
          <w:bCs/>
        </w:rPr>
        <w:t xml:space="preserve">3. </w:t>
      </w:r>
      <w:r w:rsidRPr="00F418FB">
        <w:rPr>
          <w:b/>
        </w:rPr>
        <w:t>Programos „Europos horizontas“ dokumentų rinkinys. Reglamentas dėl 2021–2027 m. bendrosios mokslinių tyrimų ir inovacijų programos</w:t>
      </w:r>
    </w:p>
    <w:p w:rsidR="007004E0" w:rsidRPr="00F418FB" w:rsidRDefault="007004E0" w:rsidP="006F3B66">
      <w:pPr>
        <w:pStyle w:val="Sraopastraipa"/>
        <w:numPr>
          <w:ilvl w:val="2"/>
          <w:numId w:val="18"/>
        </w:numPr>
        <w:tabs>
          <w:tab w:val="left" w:pos="709"/>
        </w:tabs>
        <w:ind w:left="0" w:firstLine="709"/>
        <w:jc w:val="both"/>
      </w:pPr>
      <w:r w:rsidRPr="00F418FB">
        <w:t>Konstatuojamosios dalys</w:t>
      </w:r>
    </w:p>
    <w:p w:rsidR="007004E0" w:rsidRPr="00F418FB" w:rsidRDefault="007004E0" w:rsidP="006F3B66">
      <w:pPr>
        <w:pStyle w:val="Sraopastraipa"/>
        <w:numPr>
          <w:ilvl w:val="2"/>
          <w:numId w:val="18"/>
        </w:numPr>
        <w:tabs>
          <w:tab w:val="left" w:pos="709"/>
        </w:tabs>
        <w:ind w:left="0" w:firstLine="709"/>
        <w:jc w:val="both"/>
      </w:pPr>
      <w:r w:rsidRPr="00F418FB">
        <w:t>IV priedas (sinergija)</w:t>
      </w:r>
    </w:p>
    <w:p w:rsidR="007004E0" w:rsidRPr="00F418FB" w:rsidRDefault="007004E0" w:rsidP="006F3B66">
      <w:pPr>
        <w:ind w:firstLine="709"/>
        <w:jc w:val="both"/>
        <w:rPr>
          <w:color w:val="000000"/>
        </w:rPr>
      </w:pPr>
      <w:r w:rsidRPr="00F418FB">
        <w:rPr>
          <w:iCs/>
        </w:rPr>
        <w:t>Dalinis bendras požiūris</w:t>
      </w:r>
    </w:p>
    <w:p w:rsidR="007004E0" w:rsidRPr="00F418FB" w:rsidRDefault="00666863" w:rsidP="006F3B66">
      <w:pPr>
        <w:pStyle w:val="prastasiniatinklio"/>
        <w:spacing w:before="0" w:after="0"/>
        <w:ind w:firstLine="709"/>
        <w:jc w:val="both"/>
        <w:rPr>
          <w:rFonts w:ascii="Times New Roman" w:hAnsi="Times New Roman" w:cs="Times New Roman"/>
          <w:sz w:val="24"/>
          <w:szCs w:val="24"/>
        </w:rPr>
      </w:pPr>
      <w:r w:rsidRPr="00F418FB">
        <w:rPr>
          <w:rFonts w:ascii="Times New Roman" w:hAnsi="Times New Roman" w:cs="Times New Roman"/>
          <w:b/>
          <w:sz w:val="24"/>
          <w:szCs w:val="24"/>
        </w:rPr>
        <w:t>Klausimo esmė</w:t>
      </w:r>
      <w:r w:rsidRPr="00F418FB">
        <w:rPr>
          <w:rFonts w:ascii="Times New Roman" w:hAnsi="Times New Roman" w:cs="Times New Roman"/>
          <w:sz w:val="24"/>
          <w:szCs w:val="24"/>
        </w:rPr>
        <w:t>:</w:t>
      </w:r>
    </w:p>
    <w:p w:rsidR="007004E0" w:rsidRPr="00F418FB" w:rsidRDefault="007004E0" w:rsidP="006F3B66">
      <w:pPr>
        <w:pStyle w:val="prastasiniatinklio"/>
        <w:spacing w:before="0" w:after="0"/>
        <w:ind w:firstLine="709"/>
        <w:jc w:val="both"/>
        <w:rPr>
          <w:rFonts w:ascii="Times New Roman" w:hAnsi="Times New Roman" w:cs="Times New Roman"/>
          <w:sz w:val="24"/>
          <w:szCs w:val="24"/>
        </w:rPr>
      </w:pPr>
      <w:r w:rsidRPr="00F418FB">
        <w:rPr>
          <w:rFonts w:ascii="Times New Roman" w:hAnsi="Times New Roman" w:cs="Times New Roman"/>
          <w:sz w:val="24"/>
          <w:szCs w:val="24"/>
          <w:shd w:val="clear" w:color="auto" w:fill="FFFFFF"/>
        </w:rPr>
        <w:t xml:space="preserve">Konkurencingumo tarybai teikiamoje </w:t>
      </w:r>
      <w:r w:rsidR="00AB73FD" w:rsidRPr="00F418FB">
        <w:rPr>
          <w:rFonts w:ascii="Times New Roman" w:hAnsi="Times New Roman" w:cs="Times New Roman"/>
          <w:sz w:val="24"/>
          <w:szCs w:val="24"/>
          <w:shd w:val="clear" w:color="auto" w:fill="FFFFFF"/>
        </w:rPr>
        <w:t xml:space="preserve">Europos </w:t>
      </w:r>
      <w:proofErr w:type="spellStart"/>
      <w:r w:rsidR="00AB73FD" w:rsidRPr="00F418FB">
        <w:rPr>
          <w:rFonts w:ascii="Times New Roman" w:hAnsi="Times New Roman" w:cs="Times New Roman"/>
          <w:sz w:val="24"/>
          <w:szCs w:val="24"/>
          <w:shd w:val="clear" w:color="auto" w:fill="FFFFFF"/>
        </w:rPr>
        <w:t>hortizonto</w:t>
      </w:r>
      <w:proofErr w:type="spellEnd"/>
      <w:r w:rsidR="00AB73FD" w:rsidRPr="00F418FB">
        <w:rPr>
          <w:rFonts w:ascii="Times New Roman" w:hAnsi="Times New Roman" w:cs="Times New Roman"/>
          <w:sz w:val="24"/>
          <w:szCs w:val="24"/>
          <w:shd w:val="clear" w:color="auto" w:fill="FFFFFF"/>
        </w:rPr>
        <w:t xml:space="preserve"> ( toliau – </w:t>
      </w:r>
      <w:r w:rsidRPr="00F418FB">
        <w:rPr>
          <w:rFonts w:ascii="Times New Roman" w:hAnsi="Times New Roman" w:cs="Times New Roman"/>
          <w:sz w:val="24"/>
          <w:szCs w:val="24"/>
          <w:shd w:val="clear" w:color="auto" w:fill="FFFFFF"/>
        </w:rPr>
        <w:t>HEU</w:t>
      </w:r>
      <w:r w:rsidR="00AB73FD" w:rsidRPr="00F418FB">
        <w:rPr>
          <w:rFonts w:ascii="Times New Roman" w:hAnsi="Times New Roman" w:cs="Times New Roman"/>
          <w:sz w:val="24"/>
          <w:szCs w:val="24"/>
          <w:shd w:val="clear" w:color="auto" w:fill="FFFFFF"/>
        </w:rPr>
        <w:t>)</w:t>
      </w:r>
      <w:r w:rsidRPr="00F418FB">
        <w:rPr>
          <w:rFonts w:ascii="Times New Roman" w:hAnsi="Times New Roman" w:cs="Times New Roman"/>
          <w:sz w:val="24"/>
          <w:szCs w:val="24"/>
          <w:shd w:val="clear" w:color="auto" w:fill="FFFFFF"/>
        </w:rPr>
        <w:t xml:space="preserve"> reglamento ir dalyvavimo taisyklių Konstatuojamojoje  dalyje yra patikslintos nuostatos skirtos Europos ekonominės erdvės (toliau - EEA) šalių įtraukimui. </w:t>
      </w:r>
      <w:proofErr w:type="spellStart"/>
      <w:r w:rsidRPr="00F418FB">
        <w:rPr>
          <w:rFonts w:ascii="Times New Roman" w:hAnsi="Times New Roman" w:cs="Times New Roman"/>
          <w:sz w:val="24"/>
          <w:szCs w:val="24"/>
          <w:shd w:val="clear" w:color="auto" w:fill="FFFFFF"/>
        </w:rPr>
        <w:t>Sinergijų</w:t>
      </w:r>
      <w:proofErr w:type="spellEnd"/>
      <w:r w:rsidRPr="00F418FB">
        <w:rPr>
          <w:rFonts w:ascii="Times New Roman" w:hAnsi="Times New Roman" w:cs="Times New Roman"/>
          <w:sz w:val="24"/>
          <w:szCs w:val="24"/>
          <w:shd w:val="clear" w:color="auto" w:fill="FFFFFF"/>
        </w:rPr>
        <w:t xml:space="preserve"> dalis pateikiama su minimaliais </w:t>
      </w:r>
      <w:r w:rsidR="00AB73FD" w:rsidRPr="00F418FB">
        <w:rPr>
          <w:rFonts w:ascii="Times New Roman" w:hAnsi="Times New Roman" w:cs="Times New Roman"/>
          <w:sz w:val="24"/>
          <w:szCs w:val="24"/>
          <w:shd w:val="clear" w:color="auto" w:fill="FFFFFF"/>
        </w:rPr>
        <w:t>patikslinamais</w:t>
      </w:r>
      <w:r w:rsidRPr="00F418FB">
        <w:rPr>
          <w:rFonts w:ascii="Times New Roman" w:hAnsi="Times New Roman" w:cs="Times New Roman"/>
          <w:sz w:val="24"/>
          <w:szCs w:val="24"/>
          <w:shd w:val="clear" w:color="auto" w:fill="FFFFFF"/>
        </w:rPr>
        <w:t xml:space="preserve">. </w:t>
      </w:r>
      <w:proofErr w:type="spellStart"/>
      <w:r w:rsidRPr="00F418FB">
        <w:rPr>
          <w:rFonts w:ascii="Times New Roman" w:hAnsi="Times New Roman" w:cs="Times New Roman"/>
          <w:sz w:val="24"/>
          <w:szCs w:val="24"/>
          <w:shd w:val="clear" w:color="auto" w:fill="FFFFFF"/>
        </w:rPr>
        <w:t>Sinergijų</w:t>
      </w:r>
      <w:proofErr w:type="spellEnd"/>
      <w:r w:rsidRPr="00F418FB">
        <w:rPr>
          <w:rFonts w:ascii="Times New Roman" w:hAnsi="Times New Roman" w:cs="Times New Roman"/>
          <w:sz w:val="24"/>
          <w:szCs w:val="24"/>
          <w:shd w:val="clear" w:color="auto" w:fill="FFFFFF"/>
        </w:rPr>
        <w:t xml:space="preserve"> dalyje nusakomi bendrieji Europos horizonto </w:t>
      </w:r>
      <w:proofErr w:type="spellStart"/>
      <w:r w:rsidRPr="00F418FB">
        <w:rPr>
          <w:rFonts w:ascii="Times New Roman" w:hAnsi="Times New Roman" w:cs="Times New Roman"/>
          <w:sz w:val="24"/>
          <w:szCs w:val="24"/>
          <w:shd w:val="clear" w:color="auto" w:fill="FFFFFF"/>
        </w:rPr>
        <w:t>sinergijų</w:t>
      </w:r>
      <w:proofErr w:type="spellEnd"/>
      <w:r w:rsidRPr="00F418FB">
        <w:rPr>
          <w:rFonts w:ascii="Times New Roman" w:hAnsi="Times New Roman" w:cs="Times New Roman"/>
          <w:sz w:val="24"/>
          <w:szCs w:val="24"/>
          <w:shd w:val="clear" w:color="auto" w:fill="FFFFFF"/>
        </w:rPr>
        <w:t xml:space="preserve"> principai su</w:t>
      </w:r>
      <w:r w:rsidR="00AB73FD" w:rsidRPr="00F418FB">
        <w:rPr>
          <w:rFonts w:ascii="Times New Roman" w:hAnsi="Times New Roman" w:cs="Times New Roman"/>
          <w:sz w:val="24"/>
          <w:szCs w:val="24"/>
          <w:shd w:val="clear" w:color="auto" w:fill="FFFFFF"/>
        </w:rPr>
        <w:t xml:space="preserve"> pagrindinėmis ES programomis, tame tarpe ir </w:t>
      </w:r>
      <w:r w:rsidR="00AB73FD" w:rsidRPr="00F418FB">
        <w:rPr>
          <w:rFonts w:ascii="Times New Roman" w:hAnsi="Times New Roman" w:cs="Times New Roman"/>
          <w:sz w:val="24"/>
          <w:szCs w:val="24"/>
          <w:shd w:val="clear" w:color="auto" w:fill="FFFFFF"/>
        </w:rPr>
        <w:t>Europos regioninės plėtros fondu</w:t>
      </w:r>
      <w:r w:rsidR="0005245A" w:rsidRPr="00F418FB">
        <w:rPr>
          <w:rFonts w:ascii="Times New Roman" w:hAnsi="Times New Roman" w:cs="Times New Roman"/>
          <w:sz w:val="24"/>
          <w:szCs w:val="24"/>
          <w:shd w:val="clear" w:color="auto" w:fill="FFFFFF"/>
        </w:rPr>
        <w:t xml:space="preserve">. </w:t>
      </w:r>
    </w:p>
    <w:p w:rsidR="0005245A" w:rsidRPr="00F418FB" w:rsidRDefault="0005245A" w:rsidP="006F3B66">
      <w:pPr>
        <w:pStyle w:val="prastasiniatinklio"/>
        <w:spacing w:before="0" w:after="0"/>
        <w:ind w:firstLine="709"/>
        <w:jc w:val="both"/>
        <w:rPr>
          <w:rFonts w:ascii="Times New Roman" w:hAnsi="Times New Roman" w:cs="Times New Roman"/>
          <w:sz w:val="24"/>
          <w:szCs w:val="24"/>
          <w:shd w:val="clear" w:color="auto" w:fill="FFFFFF"/>
        </w:rPr>
      </w:pPr>
    </w:p>
    <w:p w:rsidR="0005245A" w:rsidRPr="00F418FB" w:rsidRDefault="0005245A" w:rsidP="006F3B66">
      <w:pPr>
        <w:pStyle w:val="prastasiniatinklio"/>
        <w:spacing w:before="0" w:after="0"/>
        <w:ind w:firstLine="709"/>
        <w:jc w:val="both"/>
        <w:rPr>
          <w:rFonts w:ascii="Times New Roman" w:hAnsi="Times New Roman" w:cs="Times New Roman"/>
          <w:sz w:val="24"/>
          <w:szCs w:val="24"/>
        </w:rPr>
      </w:pPr>
      <w:r w:rsidRPr="00F418FB">
        <w:rPr>
          <w:rFonts w:ascii="Times New Roman" w:hAnsi="Times New Roman" w:cs="Times New Roman"/>
          <w:i/>
          <w:sz w:val="24"/>
          <w:szCs w:val="24"/>
        </w:rPr>
        <w:t xml:space="preserve">Primename, </w:t>
      </w:r>
      <w:r w:rsidRPr="00F418FB">
        <w:rPr>
          <w:rFonts w:ascii="Times New Roman" w:hAnsi="Times New Roman" w:cs="Times New Roman"/>
          <w:i/>
          <w:sz w:val="24"/>
          <w:szCs w:val="24"/>
          <w:shd w:val="clear" w:color="auto" w:fill="FFFFFF"/>
        </w:rPr>
        <w:t>HEU r</w:t>
      </w:r>
      <w:r w:rsidRPr="00F418FB">
        <w:rPr>
          <w:rFonts w:ascii="Times New Roman" w:hAnsi="Times New Roman" w:cs="Times New Roman"/>
          <w:i/>
          <w:sz w:val="24"/>
          <w:szCs w:val="24"/>
        </w:rPr>
        <w:t>eglamentas ir dalyvavimo taisyklės buvo pradėt</w:t>
      </w:r>
      <w:r w:rsidRPr="00F418FB">
        <w:rPr>
          <w:rFonts w:ascii="Times New Roman" w:hAnsi="Times New Roman" w:cs="Times New Roman"/>
          <w:i/>
          <w:sz w:val="24"/>
          <w:szCs w:val="24"/>
        </w:rPr>
        <w:t>i</w:t>
      </w:r>
      <w:r w:rsidRPr="00F418FB">
        <w:rPr>
          <w:rFonts w:ascii="Times New Roman" w:hAnsi="Times New Roman" w:cs="Times New Roman"/>
          <w:i/>
          <w:sz w:val="24"/>
          <w:szCs w:val="24"/>
        </w:rPr>
        <w:t xml:space="preserve"> svarstyti 2018 m vasarą. 2019 metų pavasarį buvo pasiektas bendrasis sutarimas dėl didžiosios dalies H</w:t>
      </w:r>
      <w:r w:rsidRPr="00F418FB">
        <w:rPr>
          <w:rFonts w:ascii="Times New Roman" w:hAnsi="Times New Roman" w:cs="Times New Roman"/>
          <w:i/>
          <w:sz w:val="24"/>
          <w:szCs w:val="24"/>
          <w:shd w:val="clear" w:color="auto" w:fill="FFFFFF"/>
        </w:rPr>
        <w:t>EU reglamento ir dalyvavimo taisyklių. Į bendrąjį sutarimą nebuvo įtraukta Konst</w:t>
      </w:r>
      <w:r w:rsidR="00666863" w:rsidRPr="00F418FB">
        <w:rPr>
          <w:rFonts w:ascii="Times New Roman" w:hAnsi="Times New Roman" w:cs="Times New Roman"/>
          <w:i/>
          <w:sz w:val="24"/>
          <w:szCs w:val="24"/>
          <w:shd w:val="clear" w:color="auto" w:fill="FFFFFF"/>
        </w:rPr>
        <w:t>atuojamoji dalis ir IV priedas,</w:t>
      </w:r>
      <w:r w:rsidRPr="00F418FB">
        <w:rPr>
          <w:rFonts w:ascii="Times New Roman" w:hAnsi="Times New Roman" w:cs="Times New Roman"/>
          <w:i/>
          <w:sz w:val="24"/>
          <w:szCs w:val="24"/>
          <w:shd w:val="clear" w:color="auto" w:fill="FFFFFF"/>
        </w:rPr>
        <w:t xml:space="preserve"> skirtas </w:t>
      </w:r>
      <w:proofErr w:type="spellStart"/>
      <w:r w:rsidRPr="00F418FB">
        <w:rPr>
          <w:rFonts w:ascii="Times New Roman" w:hAnsi="Times New Roman" w:cs="Times New Roman"/>
          <w:i/>
          <w:sz w:val="24"/>
          <w:szCs w:val="24"/>
          <w:shd w:val="clear" w:color="auto" w:fill="FFFFFF"/>
        </w:rPr>
        <w:t>sinergijoms</w:t>
      </w:r>
      <w:proofErr w:type="spellEnd"/>
      <w:r w:rsidRPr="00F418FB">
        <w:rPr>
          <w:rFonts w:ascii="Times New Roman" w:hAnsi="Times New Roman" w:cs="Times New Roman"/>
          <w:sz w:val="24"/>
          <w:szCs w:val="24"/>
          <w:shd w:val="clear" w:color="auto" w:fill="FFFFFF"/>
        </w:rPr>
        <w:t>.  </w:t>
      </w:r>
    </w:p>
    <w:p w:rsidR="00666863" w:rsidRPr="00F418FB" w:rsidRDefault="00666863" w:rsidP="006F3B66">
      <w:pPr>
        <w:pStyle w:val="prastasiniatinklio"/>
        <w:spacing w:before="0" w:after="0"/>
        <w:ind w:firstLine="709"/>
        <w:jc w:val="both"/>
        <w:rPr>
          <w:rFonts w:ascii="Times New Roman" w:hAnsi="Times New Roman" w:cs="Times New Roman"/>
          <w:sz w:val="24"/>
          <w:szCs w:val="24"/>
          <w:shd w:val="clear" w:color="auto" w:fill="FFFFFF"/>
        </w:rPr>
      </w:pPr>
    </w:p>
    <w:p w:rsidR="007004E0" w:rsidRPr="00F418FB" w:rsidRDefault="00666863" w:rsidP="006F3B66">
      <w:pPr>
        <w:pStyle w:val="prastasiniatinklio"/>
        <w:spacing w:before="0" w:after="0"/>
        <w:ind w:firstLine="709"/>
        <w:jc w:val="both"/>
        <w:rPr>
          <w:rFonts w:ascii="Times New Roman" w:hAnsi="Times New Roman" w:cs="Times New Roman"/>
          <w:sz w:val="24"/>
          <w:szCs w:val="24"/>
        </w:rPr>
      </w:pPr>
      <w:r w:rsidRPr="00F418FB">
        <w:rPr>
          <w:rFonts w:ascii="Times New Roman" w:hAnsi="Times New Roman" w:cs="Times New Roman"/>
          <w:sz w:val="24"/>
          <w:szCs w:val="24"/>
          <w:shd w:val="clear" w:color="auto" w:fill="FFFFFF"/>
        </w:rPr>
        <w:t>Finansinė dalis, kuri priklauso nuo derybų dėl Daugiametės finansinės programos, išlieka neišspręsta (laužtiniuose skliaustuose) ir neįeina į bendro susitarimo sampratą.</w:t>
      </w:r>
    </w:p>
    <w:p w:rsidR="007004E0" w:rsidRPr="00F418FB" w:rsidRDefault="007004E0" w:rsidP="006F3B66">
      <w:pPr>
        <w:ind w:firstLine="709"/>
        <w:jc w:val="both"/>
      </w:pPr>
    </w:p>
    <w:p w:rsidR="007004E0" w:rsidRPr="00F418FB" w:rsidRDefault="007004E0" w:rsidP="006F3B66">
      <w:pPr>
        <w:ind w:firstLine="709"/>
        <w:jc w:val="both"/>
        <w:rPr>
          <w:b/>
          <w:bCs/>
        </w:rPr>
      </w:pPr>
      <w:r w:rsidRPr="00F418FB">
        <w:rPr>
          <w:b/>
          <w:bCs/>
        </w:rPr>
        <w:t>Siūloma Lietuvos pozicija:</w:t>
      </w:r>
    </w:p>
    <w:p w:rsidR="007004E0" w:rsidRPr="00F418FB" w:rsidRDefault="0005245A" w:rsidP="006F3B66">
      <w:pPr>
        <w:ind w:firstLine="709"/>
        <w:jc w:val="both"/>
      </w:pPr>
      <w:r w:rsidRPr="00F418FB">
        <w:t>Lietuva iš principo pritaria pateiktiems dokumentų pa</w:t>
      </w:r>
      <w:r w:rsidR="00666863" w:rsidRPr="00F418FB">
        <w:t>keitimams</w:t>
      </w:r>
      <w:r w:rsidRPr="00F418FB">
        <w:t xml:space="preserve">. </w:t>
      </w:r>
      <w:r w:rsidR="00666863" w:rsidRPr="00F418FB">
        <w:t xml:space="preserve">Kadangi </w:t>
      </w:r>
      <w:r w:rsidRPr="00F418FB">
        <w:t>Lietuvai aktual</w:t>
      </w:r>
      <w:r w:rsidR="00666863" w:rsidRPr="00F418FB">
        <w:t>i</w:t>
      </w:r>
      <w:r w:rsidRPr="00F418FB">
        <w:t xml:space="preserve"> Europos Horizonto ir Struktūrinių fondų </w:t>
      </w:r>
      <w:r w:rsidR="00666863" w:rsidRPr="00F418FB">
        <w:t>veiksminga sinergija, t</w:t>
      </w:r>
      <w:r w:rsidRPr="00F418FB">
        <w:t xml:space="preserve">ikimės tolesnio </w:t>
      </w:r>
      <w:r w:rsidR="00666863" w:rsidRPr="00F418FB">
        <w:t xml:space="preserve">vaisingo bendradarbiavimo šiuo aspektu įvairias lygmenimis. </w:t>
      </w:r>
    </w:p>
    <w:p w:rsidR="007004E0" w:rsidRPr="00F418FB" w:rsidRDefault="007004E0" w:rsidP="006F3B66">
      <w:pPr>
        <w:ind w:firstLine="709"/>
        <w:jc w:val="both"/>
      </w:pPr>
    </w:p>
    <w:p w:rsidR="007004E0" w:rsidRPr="00F418FB" w:rsidRDefault="007004E0" w:rsidP="006F3B66">
      <w:pPr>
        <w:pStyle w:val="Sraopastraipa"/>
        <w:numPr>
          <w:ilvl w:val="0"/>
          <w:numId w:val="24"/>
        </w:numPr>
        <w:ind w:left="0" w:firstLine="709"/>
        <w:jc w:val="both"/>
        <w:rPr>
          <w:b/>
        </w:rPr>
      </w:pPr>
      <w:r w:rsidRPr="00F418FB">
        <w:rPr>
          <w:b/>
        </w:rPr>
        <w:t>Euratomo programa, kuria papildoma programa „Europos horizontas“</w:t>
      </w:r>
    </w:p>
    <w:p w:rsidR="007004E0" w:rsidRPr="00F418FB" w:rsidRDefault="007004E0" w:rsidP="006F3B66">
      <w:pPr>
        <w:pStyle w:val="Sraopastraipa"/>
        <w:numPr>
          <w:ilvl w:val="0"/>
          <w:numId w:val="25"/>
        </w:numPr>
        <w:ind w:left="0" w:firstLine="709"/>
        <w:jc w:val="both"/>
        <w:rPr>
          <w:iCs/>
        </w:rPr>
      </w:pPr>
      <w:r w:rsidRPr="00F418FB">
        <w:rPr>
          <w:iCs/>
        </w:rPr>
        <w:t>Dalinis bendras požiūris</w:t>
      </w:r>
    </w:p>
    <w:p w:rsidR="007004E0" w:rsidRPr="00F418FB" w:rsidRDefault="007004E0" w:rsidP="006F3B66">
      <w:pPr>
        <w:pStyle w:val="Sraopastraipa"/>
        <w:numPr>
          <w:ilvl w:val="0"/>
          <w:numId w:val="25"/>
        </w:numPr>
        <w:ind w:left="0" w:firstLine="709"/>
        <w:jc w:val="both"/>
        <w:rPr>
          <w:b/>
        </w:rPr>
      </w:pPr>
      <w:r w:rsidRPr="00F418FB">
        <w:rPr>
          <w:iCs/>
        </w:rPr>
        <w:t>Pažangos ataskaita</w:t>
      </w:r>
    </w:p>
    <w:p w:rsidR="00FF23AC" w:rsidRPr="00F418FB" w:rsidRDefault="00FF23AC" w:rsidP="006F3B66">
      <w:pPr>
        <w:pStyle w:val="prastasiniatinklio"/>
        <w:spacing w:before="0" w:after="0"/>
        <w:ind w:firstLine="709"/>
        <w:jc w:val="both"/>
        <w:rPr>
          <w:rFonts w:ascii="Times New Roman" w:hAnsi="Times New Roman" w:cs="Times New Roman"/>
          <w:sz w:val="24"/>
          <w:szCs w:val="24"/>
        </w:rPr>
      </w:pPr>
      <w:r w:rsidRPr="00F418FB">
        <w:rPr>
          <w:rFonts w:ascii="Times New Roman" w:hAnsi="Times New Roman" w:cs="Times New Roman"/>
          <w:b/>
          <w:sz w:val="24"/>
          <w:szCs w:val="24"/>
        </w:rPr>
        <w:t>Klausimo esmė</w:t>
      </w:r>
      <w:r w:rsidRPr="00F418FB">
        <w:rPr>
          <w:rFonts w:ascii="Times New Roman" w:hAnsi="Times New Roman" w:cs="Times New Roman"/>
          <w:sz w:val="24"/>
          <w:szCs w:val="24"/>
        </w:rPr>
        <w:t>:</w:t>
      </w:r>
    </w:p>
    <w:p w:rsidR="007004E0" w:rsidRPr="00F418FB" w:rsidRDefault="00666863" w:rsidP="006F3B66">
      <w:pPr>
        <w:pStyle w:val="prastasiniatinklio"/>
        <w:spacing w:before="0" w:after="0"/>
        <w:ind w:left="-76" w:firstLine="709"/>
        <w:jc w:val="both"/>
        <w:rPr>
          <w:rFonts w:ascii="Times New Roman" w:hAnsi="Times New Roman" w:cs="Times New Roman"/>
          <w:sz w:val="24"/>
          <w:szCs w:val="24"/>
        </w:rPr>
      </w:pPr>
      <w:r w:rsidRPr="00F418FB">
        <w:rPr>
          <w:rFonts w:ascii="Times New Roman" w:hAnsi="Times New Roman" w:cs="Times New Roman"/>
          <w:sz w:val="24"/>
          <w:szCs w:val="24"/>
        </w:rPr>
        <w:t>Pasiūlymas dėl mokslinių tyrimų ir mokymo programos pagal Euratomo sutartį, kuria papildoma</w:t>
      </w:r>
      <w:r w:rsidRPr="00F418FB">
        <w:rPr>
          <w:rFonts w:ascii="Times New Roman" w:hAnsi="Times New Roman" w:cs="Times New Roman"/>
          <w:sz w:val="24"/>
          <w:szCs w:val="24"/>
        </w:rPr>
        <w:t xml:space="preserve"> programa „Europos horizontas“</w:t>
      </w:r>
      <w:r w:rsidR="00587858" w:rsidRPr="00F418FB">
        <w:rPr>
          <w:rFonts w:ascii="Times New Roman" w:hAnsi="Times New Roman" w:cs="Times New Roman"/>
          <w:sz w:val="24"/>
          <w:szCs w:val="24"/>
        </w:rPr>
        <w:t>,</w:t>
      </w:r>
      <w:r w:rsidRPr="00F418FB">
        <w:rPr>
          <w:rFonts w:ascii="Times New Roman" w:hAnsi="Times New Roman" w:cs="Times New Roman"/>
          <w:sz w:val="24"/>
          <w:szCs w:val="24"/>
        </w:rPr>
        <w:t xml:space="preserve"> yra </w:t>
      </w:r>
      <w:r w:rsidRPr="00F418FB">
        <w:rPr>
          <w:rFonts w:ascii="Times New Roman" w:hAnsi="Times New Roman" w:cs="Times New Roman"/>
          <w:sz w:val="24"/>
          <w:szCs w:val="24"/>
        </w:rPr>
        <w:t>viena iš sudedamųjų</w:t>
      </w:r>
      <w:r w:rsidRPr="00F418FB">
        <w:rPr>
          <w:rFonts w:ascii="Times New Roman" w:hAnsi="Times New Roman" w:cs="Times New Roman"/>
          <w:sz w:val="24"/>
          <w:szCs w:val="24"/>
        </w:rPr>
        <w:t xml:space="preserve"> </w:t>
      </w:r>
      <w:r w:rsidR="00B27042" w:rsidRPr="00F418FB">
        <w:rPr>
          <w:rFonts w:ascii="Times New Roman" w:hAnsi="Times New Roman" w:cs="Times New Roman"/>
          <w:sz w:val="24"/>
          <w:szCs w:val="24"/>
        </w:rPr>
        <w:t>„Europos horizonto“</w:t>
      </w:r>
      <w:r w:rsidRPr="00F418FB">
        <w:rPr>
          <w:rFonts w:ascii="Times New Roman" w:hAnsi="Times New Roman" w:cs="Times New Roman"/>
          <w:sz w:val="24"/>
          <w:szCs w:val="24"/>
        </w:rPr>
        <w:t xml:space="preserve"> paketo </w:t>
      </w:r>
      <w:r w:rsidR="007004E0" w:rsidRPr="00F418FB">
        <w:rPr>
          <w:rFonts w:ascii="Times New Roman" w:hAnsi="Times New Roman" w:cs="Times New Roman"/>
          <w:sz w:val="24"/>
          <w:szCs w:val="24"/>
        </w:rPr>
        <w:t>dalių</w:t>
      </w:r>
      <w:r w:rsidRPr="00F418FB">
        <w:rPr>
          <w:rFonts w:ascii="Times New Roman" w:hAnsi="Times New Roman" w:cs="Times New Roman"/>
          <w:sz w:val="24"/>
          <w:szCs w:val="24"/>
        </w:rPr>
        <w:t>.</w:t>
      </w:r>
    </w:p>
    <w:p w:rsidR="00587858" w:rsidRPr="00F418FB" w:rsidRDefault="00587858" w:rsidP="006F3B66">
      <w:pPr>
        <w:pStyle w:val="prastasiniatinklio"/>
        <w:spacing w:before="0" w:after="0"/>
        <w:ind w:left="-76" w:firstLine="709"/>
        <w:jc w:val="both"/>
        <w:rPr>
          <w:rFonts w:ascii="Times New Roman" w:hAnsi="Times New Roman" w:cs="Times New Roman"/>
          <w:sz w:val="24"/>
          <w:szCs w:val="24"/>
        </w:rPr>
      </w:pPr>
    </w:p>
    <w:p w:rsidR="007004E0" w:rsidRPr="00F418FB" w:rsidRDefault="007004E0" w:rsidP="006F3B66">
      <w:pPr>
        <w:pStyle w:val="prastasiniatinklio"/>
        <w:spacing w:before="0" w:after="0"/>
        <w:ind w:left="-76" w:firstLine="709"/>
        <w:jc w:val="both"/>
        <w:rPr>
          <w:rFonts w:ascii="Times New Roman" w:hAnsi="Times New Roman" w:cs="Times New Roman"/>
          <w:sz w:val="24"/>
          <w:szCs w:val="24"/>
        </w:rPr>
      </w:pPr>
      <w:r w:rsidRPr="00F418FB">
        <w:rPr>
          <w:rFonts w:ascii="Times New Roman" w:hAnsi="Times New Roman" w:cs="Times New Roman"/>
          <w:sz w:val="24"/>
          <w:szCs w:val="24"/>
        </w:rPr>
        <w:t>Pasiūlymu dėl Tarybos reglamento dėl 2021–2025 m. laikotarpio Europos atominės energijos bendrijos mokslinių tyrimų ir mokymo programos (toliau – Programa) siekiama Tarybos pritarimo penkerių metų programai</w:t>
      </w:r>
      <w:r w:rsidR="00587858" w:rsidRPr="00F418FB">
        <w:rPr>
          <w:rFonts w:ascii="Times New Roman" w:hAnsi="Times New Roman" w:cs="Times New Roman"/>
          <w:sz w:val="24"/>
          <w:szCs w:val="24"/>
        </w:rPr>
        <w:t xml:space="preserve">. Programa </w:t>
      </w:r>
      <w:r w:rsidRPr="00F418FB">
        <w:rPr>
          <w:rFonts w:ascii="Times New Roman" w:hAnsi="Times New Roman" w:cs="Times New Roman"/>
          <w:sz w:val="24"/>
          <w:szCs w:val="24"/>
        </w:rPr>
        <w:t xml:space="preserve">aprėpia </w:t>
      </w:r>
      <w:r w:rsidR="00587858" w:rsidRPr="00F418FB">
        <w:rPr>
          <w:rFonts w:ascii="Times New Roman" w:hAnsi="Times New Roman" w:cs="Times New Roman"/>
          <w:sz w:val="24"/>
          <w:szCs w:val="24"/>
        </w:rPr>
        <w:t xml:space="preserve">mokslinius tyrimus </w:t>
      </w:r>
      <w:r w:rsidR="00587858" w:rsidRPr="00F418FB">
        <w:rPr>
          <w:rFonts w:ascii="Times New Roman" w:hAnsi="Times New Roman" w:cs="Times New Roman"/>
          <w:sz w:val="24"/>
          <w:szCs w:val="24"/>
        </w:rPr>
        <w:t>branduolin</w:t>
      </w:r>
      <w:r w:rsidR="00587858" w:rsidRPr="00F418FB">
        <w:rPr>
          <w:rFonts w:ascii="Times New Roman" w:hAnsi="Times New Roman" w:cs="Times New Roman"/>
          <w:sz w:val="24"/>
          <w:szCs w:val="24"/>
        </w:rPr>
        <w:t>ės</w:t>
      </w:r>
      <w:r w:rsidR="00587858" w:rsidRPr="00F418FB">
        <w:rPr>
          <w:rFonts w:ascii="Times New Roman" w:hAnsi="Times New Roman" w:cs="Times New Roman"/>
          <w:sz w:val="24"/>
          <w:szCs w:val="24"/>
        </w:rPr>
        <w:t xml:space="preserve"> saug</w:t>
      </w:r>
      <w:r w:rsidR="00587858" w:rsidRPr="00F418FB">
        <w:rPr>
          <w:rFonts w:ascii="Times New Roman" w:hAnsi="Times New Roman" w:cs="Times New Roman"/>
          <w:sz w:val="24"/>
          <w:szCs w:val="24"/>
        </w:rPr>
        <w:t>os</w:t>
      </w:r>
      <w:r w:rsidRPr="00F418FB">
        <w:rPr>
          <w:rFonts w:ascii="Times New Roman" w:hAnsi="Times New Roman" w:cs="Times New Roman"/>
          <w:sz w:val="24"/>
          <w:szCs w:val="24"/>
        </w:rPr>
        <w:t xml:space="preserve">, </w:t>
      </w:r>
      <w:r w:rsidR="00587858" w:rsidRPr="00F418FB">
        <w:rPr>
          <w:rFonts w:ascii="Times New Roman" w:hAnsi="Times New Roman" w:cs="Times New Roman"/>
          <w:sz w:val="24"/>
          <w:szCs w:val="24"/>
        </w:rPr>
        <w:t>saugum</w:t>
      </w:r>
      <w:r w:rsidR="00587858" w:rsidRPr="00F418FB">
        <w:rPr>
          <w:rFonts w:ascii="Times New Roman" w:hAnsi="Times New Roman" w:cs="Times New Roman"/>
          <w:sz w:val="24"/>
          <w:szCs w:val="24"/>
        </w:rPr>
        <w:t>o</w:t>
      </w:r>
      <w:r w:rsidRPr="00F418FB">
        <w:rPr>
          <w:rFonts w:ascii="Times New Roman" w:hAnsi="Times New Roman" w:cs="Times New Roman"/>
          <w:sz w:val="24"/>
          <w:szCs w:val="24"/>
        </w:rPr>
        <w:t xml:space="preserve">, radioaktyviųjų atliekų ir panaudoto branduolinio kuro </w:t>
      </w:r>
      <w:r w:rsidR="00FF23AC" w:rsidRPr="00F418FB">
        <w:rPr>
          <w:rFonts w:ascii="Times New Roman" w:hAnsi="Times New Roman" w:cs="Times New Roman"/>
          <w:sz w:val="24"/>
          <w:szCs w:val="24"/>
        </w:rPr>
        <w:t>tvarkym</w:t>
      </w:r>
      <w:r w:rsidR="00FF23AC" w:rsidRPr="00F418FB">
        <w:rPr>
          <w:rFonts w:ascii="Times New Roman" w:hAnsi="Times New Roman" w:cs="Times New Roman"/>
          <w:sz w:val="24"/>
          <w:szCs w:val="24"/>
        </w:rPr>
        <w:t>o</w:t>
      </w:r>
      <w:r w:rsidRPr="00F418FB">
        <w:rPr>
          <w:rFonts w:ascii="Times New Roman" w:hAnsi="Times New Roman" w:cs="Times New Roman"/>
          <w:sz w:val="24"/>
          <w:szCs w:val="24"/>
        </w:rPr>
        <w:t xml:space="preserve">, </w:t>
      </w:r>
      <w:r w:rsidR="00587858" w:rsidRPr="00F418FB">
        <w:rPr>
          <w:rFonts w:ascii="Times New Roman" w:hAnsi="Times New Roman" w:cs="Times New Roman"/>
          <w:sz w:val="24"/>
          <w:szCs w:val="24"/>
        </w:rPr>
        <w:t>radiacin</w:t>
      </w:r>
      <w:r w:rsidR="00FF23AC" w:rsidRPr="00F418FB">
        <w:rPr>
          <w:rFonts w:ascii="Times New Roman" w:hAnsi="Times New Roman" w:cs="Times New Roman"/>
          <w:sz w:val="24"/>
          <w:szCs w:val="24"/>
        </w:rPr>
        <w:t>ės</w:t>
      </w:r>
      <w:r w:rsidR="00587858" w:rsidRPr="00F418FB">
        <w:rPr>
          <w:rFonts w:ascii="Times New Roman" w:hAnsi="Times New Roman" w:cs="Times New Roman"/>
          <w:sz w:val="24"/>
          <w:szCs w:val="24"/>
        </w:rPr>
        <w:t xml:space="preserve"> </w:t>
      </w:r>
      <w:r w:rsidR="00FF23AC" w:rsidRPr="00F418FB">
        <w:rPr>
          <w:rFonts w:ascii="Times New Roman" w:hAnsi="Times New Roman" w:cs="Times New Roman"/>
          <w:sz w:val="24"/>
          <w:szCs w:val="24"/>
        </w:rPr>
        <w:t>saug</w:t>
      </w:r>
      <w:r w:rsidR="00FF23AC" w:rsidRPr="00F418FB">
        <w:rPr>
          <w:rFonts w:ascii="Times New Roman" w:hAnsi="Times New Roman" w:cs="Times New Roman"/>
          <w:sz w:val="24"/>
          <w:szCs w:val="24"/>
        </w:rPr>
        <w:t>os</w:t>
      </w:r>
      <w:r w:rsidR="00FF23AC" w:rsidRPr="00F418FB">
        <w:rPr>
          <w:rFonts w:ascii="Times New Roman" w:hAnsi="Times New Roman" w:cs="Times New Roman"/>
          <w:sz w:val="24"/>
          <w:szCs w:val="24"/>
        </w:rPr>
        <w:t xml:space="preserve"> </w:t>
      </w:r>
      <w:r w:rsidRPr="00F418FB">
        <w:rPr>
          <w:rFonts w:ascii="Times New Roman" w:hAnsi="Times New Roman" w:cs="Times New Roman"/>
          <w:sz w:val="24"/>
          <w:szCs w:val="24"/>
        </w:rPr>
        <w:t xml:space="preserve">ir branduolio sintezės </w:t>
      </w:r>
      <w:r w:rsidR="00FF23AC" w:rsidRPr="00F418FB">
        <w:rPr>
          <w:rFonts w:ascii="Times New Roman" w:hAnsi="Times New Roman" w:cs="Times New Roman"/>
          <w:sz w:val="24"/>
          <w:szCs w:val="24"/>
        </w:rPr>
        <w:t>energetik</w:t>
      </w:r>
      <w:r w:rsidR="00FF23AC" w:rsidRPr="00F418FB">
        <w:rPr>
          <w:rFonts w:ascii="Times New Roman" w:hAnsi="Times New Roman" w:cs="Times New Roman"/>
          <w:sz w:val="24"/>
          <w:szCs w:val="24"/>
        </w:rPr>
        <w:t>os srityse</w:t>
      </w:r>
      <w:r w:rsidRPr="00F418FB">
        <w:rPr>
          <w:rFonts w:ascii="Times New Roman" w:hAnsi="Times New Roman" w:cs="Times New Roman"/>
          <w:sz w:val="24"/>
          <w:szCs w:val="24"/>
        </w:rPr>
        <w:t xml:space="preserve">, jonizuojančiosios spinduliuotės </w:t>
      </w:r>
      <w:r w:rsidR="00FF23AC" w:rsidRPr="00F418FB">
        <w:rPr>
          <w:rFonts w:ascii="Times New Roman" w:hAnsi="Times New Roman" w:cs="Times New Roman"/>
          <w:sz w:val="24"/>
          <w:szCs w:val="24"/>
        </w:rPr>
        <w:t>naudojim</w:t>
      </w:r>
      <w:r w:rsidR="00FF23AC" w:rsidRPr="00F418FB">
        <w:rPr>
          <w:rFonts w:ascii="Times New Roman" w:hAnsi="Times New Roman" w:cs="Times New Roman"/>
          <w:sz w:val="24"/>
          <w:szCs w:val="24"/>
        </w:rPr>
        <w:t>o</w:t>
      </w:r>
      <w:r w:rsidR="00FF23AC" w:rsidRPr="00F418FB">
        <w:rPr>
          <w:rFonts w:ascii="Times New Roman" w:hAnsi="Times New Roman" w:cs="Times New Roman"/>
          <w:sz w:val="24"/>
          <w:szCs w:val="24"/>
        </w:rPr>
        <w:t xml:space="preserve"> </w:t>
      </w:r>
      <w:r w:rsidRPr="00F418FB">
        <w:rPr>
          <w:rFonts w:ascii="Times New Roman" w:hAnsi="Times New Roman" w:cs="Times New Roman"/>
          <w:sz w:val="24"/>
          <w:szCs w:val="24"/>
        </w:rPr>
        <w:t xml:space="preserve">kitoms reikmėms, </w:t>
      </w:r>
      <w:r w:rsidR="00FF23AC" w:rsidRPr="00F418FB">
        <w:rPr>
          <w:rFonts w:ascii="Times New Roman" w:hAnsi="Times New Roman" w:cs="Times New Roman"/>
          <w:sz w:val="24"/>
          <w:szCs w:val="24"/>
        </w:rPr>
        <w:t>srityse. Programa</w:t>
      </w:r>
      <w:r w:rsidRPr="00F418FB">
        <w:rPr>
          <w:rFonts w:ascii="Times New Roman" w:hAnsi="Times New Roman" w:cs="Times New Roman"/>
          <w:sz w:val="24"/>
          <w:szCs w:val="24"/>
        </w:rPr>
        <w:t xml:space="preserve"> </w:t>
      </w:r>
      <w:r w:rsidR="00FF23AC" w:rsidRPr="00F418FB">
        <w:rPr>
          <w:rFonts w:ascii="Times New Roman" w:hAnsi="Times New Roman" w:cs="Times New Roman"/>
          <w:sz w:val="24"/>
          <w:szCs w:val="24"/>
        </w:rPr>
        <w:t>apima</w:t>
      </w:r>
      <w:r w:rsidR="00FF23AC" w:rsidRPr="00F418FB">
        <w:rPr>
          <w:rFonts w:ascii="Times New Roman" w:hAnsi="Times New Roman" w:cs="Times New Roman"/>
          <w:sz w:val="24"/>
          <w:szCs w:val="24"/>
        </w:rPr>
        <w:t xml:space="preserve"> </w:t>
      </w:r>
      <w:r w:rsidRPr="00F418FB">
        <w:rPr>
          <w:rFonts w:ascii="Times New Roman" w:hAnsi="Times New Roman" w:cs="Times New Roman"/>
          <w:sz w:val="24"/>
          <w:szCs w:val="24"/>
        </w:rPr>
        <w:t>švietim</w:t>
      </w:r>
      <w:r w:rsidR="00FF23AC" w:rsidRPr="00F418FB">
        <w:rPr>
          <w:rFonts w:ascii="Times New Roman" w:hAnsi="Times New Roman" w:cs="Times New Roman"/>
          <w:sz w:val="24"/>
          <w:szCs w:val="24"/>
        </w:rPr>
        <w:t>o</w:t>
      </w:r>
      <w:r w:rsidRPr="00F418FB">
        <w:rPr>
          <w:rFonts w:ascii="Times New Roman" w:hAnsi="Times New Roman" w:cs="Times New Roman"/>
          <w:sz w:val="24"/>
          <w:szCs w:val="24"/>
        </w:rPr>
        <w:t>, mokym</w:t>
      </w:r>
      <w:r w:rsidR="00FF23AC" w:rsidRPr="00F418FB">
        <w:rPr>
          <w:rFonts w:ascii="Times New Roman" w:hAnsi="Times New Roman" w:cs="Times New Roman"/>
          <w:sz w:val="24"/>
          <w:szCs w:val="24"/>
        </w:rPr>
        <w:t>o</w:t>
      </w:r>
      <w:r w:rsidRPr="00F418FB">
        <w:rPr>
          <w:rFonts w:ascii="Times New Roman" w:hAnsi="Times New Roman" w:cs="Times New Roman"/>
          <w:sz w:val="24"/>
          <w:szCs w:val="24"/>
        </w:rPr>
        <w:t xml:space="preserve"> ir prieig</w:t>
      </w:r>
      <w:r w:rsidR="00FF23AC" w:rsidRPr="00F418FB">
        <w:rPr>
          <w:rFonts w:ascii="Times New Roman" w:hAnsi="Times New Roman" w:cs="Times New Roman"/>
          <w:sz w:val="24"/>
          <w:szCs w:val="24"/>
        </w:rPr>
        <w:t>os</w:t>
      </w:r>
      <w:r w:rsidRPr="00F418FB">
        <w:rPr>
          <w:rFonts w:ascii="Times New Roman" w:hAnsi="Times New Roman" w:cs="Times New Roman"/>
          <w:sz w:val="24"/>
          <w:szCs w:val="24"/>
        </w:rPr>
        <w:t xml:space="preserve"> prie mokslinių tyrimų </w:t>
      </w:r>
      <w:r w:rsidR="00FF23AC" w:rsidRPr="00F418FB">
        <w:rPr>
          <w:rFonts w:ascii="Times New Roman" w:hAnsi="Times New Roman" w:cs="Times New Roman"/>
          <w:sz w:val="24"/>
          <w:szCs w:val="24"/>
        </w:rPr>
        <w:t>infrastruktūr</w:t>
      </w:r>
      <w:r w:rsidR="00FF23AC" w:rsidRPr="00F418FB">
        <w:rPr>
          <w:rFonts w:ascii="Times New Roman" w:hAnsi="Times New Roman" w:cs="Times New Roman"/>
          <w:sz w:val="24"/>
          <w:szCs w:val="24"/>
        </w:rPr>
        <w:t>ų veiklas</w:t>
      </w:r>
      <w:r w:rsidRPr="00F418FB">
        <w:rPr>
          <w:rFonts w:ascii="Times New Roman" w:hAnsi="Times New Roman" w:cs="Times New Roman"/>
          <w:sz w:val="24"/>
          <w:szCs w:val="24"/>
        </w:rPr>
        <w:t xml:space="preserve">. </w:t>
      </w:r>
    </w:p>
    <w:p w:rsidR="00587858" w:rsidRPr="00F418FB" w:rsidRDefault="00587858" w:rsidP="006F3B66">
      <w:pPr>
        <w:pStyle w:val="prastasiniatinklio"/>
        <w:spacing w:before="0" w:after="0"/>
        <w:ind w:left="-76" w:firstLine="709"/>
        <w:jc w:val="both"/>
        <w:rPr>
          <w:rFonts w:ascii="Times New Roman" w:hAnsi="Times New Roman" w:cs="Times New Roman"/>
          <w:sz w:val="24"/>
          <w:szCs w:val="24"/>
        </w:rPr>
      </w:pPr>
    </w:p>
    <w:p w:rsidR="007004E0" w:rsidRPr="00F418FB" w:rsidRDefault="007004E0" w:rsidP="006F3B66">
      <w:pPr>
        <w:pStyle w:val="prastasiniatinklio"/>
        <w:spacing w:before="0" w:after="0"/>
        <w:ind w:left="-76" w:firstLine="709"/>
        <w:jc w:val="both"/>
        <w:rPr>
          <w:rFonts w:ascii="Times New Roman" w:hAnsi="Times New Roman" w:cs="Times New Roman"/>
          <w:sz w:val="24"/>
          <w:szCs w:val="24"/>
        </w:rPr>
      </w:pPr>
      <w:r w:rsidRPr="00F418FB">
        <w:rPr>
          <w:rFonts w:ascii="Times New Roman" w:hAnsi="Times New Roman" w:cs="Times New Roman"/>
          <w:sz w:val="24"/>
          <w:szCs w:val="24"/>
        </w:rPr>
        <w:t xml:space="preserve">Programa </w:t>
      </w:r>
      <w:r w:rsidR="00EA2DFC" w:rsidRPr="00F418FB">
        <w:rPr>
          <w:rFonts w:ascii="Times New Roman" w:hAnsi="Times New Roman" w:cs="Times New Roman"/>
          <w:sz w:val="24"/>
          <w:szCs w:val="24"/>
        </w:rPr>
        <w:t>taikys</w:t>
      </w:r>
      <w:r w:rsidR="00EA2DFC" w:rsidRPr="00F418FB">
        <w:rPr>
          <w:rFonts w:ascii="Times New Roman" w:hAnsi="Times New Roman" w:cs="Times New Roman"/>
          <w:sz w:val="24"/>
          <w:szCs w:val="24"/>
        </w:rPr>
        <w:t xml:space="preserve"> </w:t>
      </w:r>
      <w:r w:rsidRPr="00F418FB">
        <w:rPr>
          <w:rFonts w:ascii="Times New Roman" w:hAnsi="Times New Roman" w:cs="Times New Roman"/>
          <w:sz w:val="24"/>
          <w:szCs w:val="24"/>
        </w:rPr>
        <w:t xml:space="preserve">tuos pačius instrumentus ir dalyvavimo taisykles, kaip ir </w:t>
      </w:r>
      <w:r w:rsidR="00B27042" w:rsidRPr="00F418FB">
        <w:rPr>
          <w:rFonts w:ascii="Times New Roman" w:hAnsi="Times New Roman" w:cs="Times New Roman"/>
          <w:sz w:val="24"/>
          <w:szCs w:val="24"/>
        </w:rPr>
        <w:t>„</w:t>
      </w:r>
      <w:r w:rsidRPr="00F418FB">
        <w:rPr>
          <w:rFonts w:ascii="Times New Roman" w:hAnsi="Times New Roman" w:cs="Times New Roman"/>
          <w:sz w:val="24"/>
          <w:szCs w:val="24"/>
        </w:rPr>
        <w:t>Europos horizontas</w:t>
      </w:r>
      <w:r w:rsidR="00B27042" w:rsidRPr="00F418FB">
        <w:rPr>
          <w:rFonts w:ascii="Times New Roman" w:hAnsi="Times New Roman" w:cs="Times New Roman"/>
          <w:sz w:val="24"/>
          <w:szCs w:val="24"/>
        </w:rPr>
        <w:t>“</w:t>
      </w:r>
      <w:r w:rsidRPr="00F418FB">
        <w:rPr>
          <w:rFonts w:ascii="Times New Roman" w:hAnsi="Times New Roman" w:cs="Times New Roman"/>
          <w:sz w:val="24"/>
          <w:szCs w:val="24"/>
        </w:rPr>
        <w:t xml:space="preserve">. Programa bus </w:t>
      </w:r>
      <w:r w:rsidR="00587858" w:rsidRPr="00F418FB">
        <w:rPr>
          <w:rFonts w:ascii="Times New Roman" w:hAnsi="Times New Roman" w:cs="Times New Roman"/>
          <w:sz w:val="24"/>
          <w:szCs w:val="24"/>
        </w:rPr>
        <w:t xml:space="preserve">pratęsta </w:t>
      </w:r>
      <w:r w:rsidRPr="00F418FB">
        <w:rPr>
          <w:rFonts w:ascii="Times New Roman" w:hAnsi="Times New Roman" w:cs="Times New Roman"/>
          <w:sz w:val="24"/>
          <w:szCs w:val="24"/>
        </w:rPr>
        <w:t>2025</w:t>
      </w:r>
      <w:r w:rsidR="00587858" w:rsidRPr="00F418FB">
        <w:rPr>
          <w:rFonts w:ascii="Times New Roman" w:hAnsi="Times New Roman" w:cs="Times New Roman"/>
          <w:sz w:val="24"/>
          <w:szCs w:val="24"/>
        </w:rPr>
        <w:t xml:space="preserve"> dv</w:t>
      </w:r>
      <w:r w:rsidR="00B27042" w:rsidRPr="00F418FB">
        <w:rPr>
          <w:rFonts w:ascii="Times New Roman" w:hAnsi="Times New Roman" w:cs="Times New Roman"/>
          <w:sz w:val="24"/>
          <w:szCs w:val="24"/>
        </w:rPr>
        <w:t>ej</w:t>
      </w:r>
      <w:r w:rsidR="00587858" w:rsidRPr="00F418FB">
        <w:rPr>
          <w:rFonts w:ascii="Times New Roman" w:hAnsi="Times New Roman" w:cs="Times New Roman"/>
          <w:sz w:val="24"/>
          <w:szCs w:val="24"/>
        </w:rPr>
        <w:t>iem</w:t>
      </w:r>
      <w:r w:rsidR="00EA2DFC" w:rsidRPr="00F418FB">
        <w:rPr>
          <w:rFonts w:ascii="Times New Roman" w:hAnsi="Times New Roman" w:cs="Times New Roman"/>
          <w:sz w:val="24"/>
          <w:szCs w:val="24"/>
        </w:rPr>
        <w:t>s</w:t>
      </w:r>
      <w:r w:rsidR="00587858" w:rsidRPr="00F418FB">
        <w:rPr>
          <w:rFonts w:ascii="Times New Roman" w:hAnsi="Times New Roman" w:cs="Times New Roman"/>
          <w:sz w:val="24"/>
          <w:szCs w:val="24"/>
        </w:rPr>
        <w:t xml:space="preserve"> metams</w:t>
      </w:r>
      <w:r w:rsidRPr="00F418FB">
        <w:rPr>
          <w:rFonts w:ascii="Times New Roman" w:hAnsi="Times New Roman" w:cs="Times New Roman"/>
          <w:sz w:val="24"/>
          <w:szCs w:val="24"/>
        </w:rPr>
        <w:t>, siekiant ją suderinti su daugiametės finansinės programos periodo terminais.</w:t>
      </w:r>
    </w:p>
    <w:p w:rsidR="00587858" w:rsidRPr="00F418FB" w:rsidRDefault="00587858" w:rsidP="006F3B66">
      <w:pPr>
        <w:pStyle w:val="prastasiniatinklio"/>
        <w:spacing w:before="0" w:after="0"/>
        <w:ind w:left="-76" w:firstLine="709"/>
        <w:jc w:val="both"/>
        <w:rPr>
          <w:rFonts w:ascii="Times New Roman" w:hAnsi="Times New Roman" w:cs="Times New Roman"/>
          <w:sz w:val="24"/>
          <w:szCs w:val="24"/>
        </w:rPr>
      </w:pPr>
    </w:p>
    <w:p w:rsidR="007004E0" w:rsidRPr="00F418FB" w:rsidRDefault="007004E0" w:rsidP="006F3B66">
      <w:pPr>
        <w:pStyle w:val="prastasiniatinklio"/>
        <w:spacing w:before="0" w:after="0"/>
        <w:ind w:left="-76" w:firstLine="709"/>
        <w:jc w:val="both"/>
        <w:rPr>
          <w:rFonts w:ascii="Times New Roman" w:hAnsi="Times New Roman" w:cs="Times New Roman"/>
          <w:b/>
          <w:sz w:val="24"/>
          <w:szCs w:val="24"/>
        </w:rPr>
      </w:pPr>
      <w:r w:rsidRPr="00F418FB">
        <w:rPr>
          <w:rFonts w:ascii="Times New Roman" w:hAnsi="Times New Roman" w:cs="Times New Roman"/>
          <w:b/>
          <w:sz w:val="24"/>
          <w:szCs w:val="24"/>
        </w:rPr>
        <w:t>Siūloma Lietuvos pozicija:</w:t>
      </w:r>
    </w:p>
    <w:p w:rsidR="00553BA2" w:rsidRPr="00F418FB" w:rsidRDefault="00587858" w:rsidP="006F3B66">
      <w:pPr>
        <w:pStyle w:val="prastasiniatinklio"/>
        <w:spacing w:before="0" w:after="0"/>
        <w:ind w:left="-76" w:firstLine="709"/>
        <w:jc w:val="both"/>
        <w:rPr>
          <w:rFonts w:ascii="Times New Roman" w:hAnsi="Times New Roman" w:cs="Times New Roman"/>
          <w:sz w:val="24"/>
          <w:szCs w:val="24"/>
        </w:rPr>
      </w:pPr>
      <w:r w:rsidRPr="00F418FB">
        <w:rPr>
          <w:rFonts w:ascii="Times New Roman" w:hAnsi="Times New Roman" w:cs="Times New Roman"/>
          <w:sz w:val="24"/>
          <w:szCs w:val="24"/>
        </w:rPr>
        <w:t xml:space="preserve">Lietuva dėkoja </w:t>
      </w:r>
      <w:r w:rsidR="00553BA2" w:rsidRPr="00F418FB">
        <w:rPr>
          <w:rFonts w:ascii="Times New Roman" w:hAnsi="Times New Roman" w:cs="Times New Roman"/>
          <w:sz w:val="24"/>
          <w:szCs w:val="24"/>
        </w:rPr>
        <w:t>pirmininkaujančiai</w:t>
      </w:r>
      <w:r w:rsidRPr="00F418FB">
        <w:rPr>
          <w:rFonts w:ascii="Times New Roman" w:hAnsi="Times New Roman" w:cs="Times New Roman"/>
          <w:sz w:val="24"/>
          <w:szCs w:val="24"/>
        </w:rPr>
        <w:t xml:space="preserve"> valstybei ir iš esmės pritaria jos pasiūlytam kompromisi</w:t>
      </w:r>
      <w:r w:rsidR="00C9439A" w:rsidRPr="00F418FB">
        <w:rPr>
          <w:rFonts w:ascii="Times New Roman" w:hAnsi="Times New Roman" w:cs="Times New Roman"/>
          <w:sz w:val="24"/>
          <w:szCs w:val="24"/>
        </w:rPr>
        <w:t>ni</w:t>
      </w:r>
      <w:r w:rsidRPr="00F418FB">
        <w:rPr>
          <w:rFonts w:ascii="Times New Roman" w:hAnsi="Times New Roman" w:cs="Times New Roman"/>
          <w:sz w:val="24"/>
          <w:szCs w:val="24"/>
        </w:rPr>
        <w:t>am tekstui</w:t>
      </w:r>
      <w:r w:rsidR="00553BA2" w:rsidRPr="00F418FB">
        <w:rPr>
          <w:rFonts w:ascii="Times New Roman" w:hAnsi="Times New Roman" w:cs="Times New Roman"/>
          <w:sz w:val="24"/>
          <w:szCs w:val="24"/>
        </w:rPr>
        <w:t xml:space="preserve">. </w:t>
      </w:r>
      <w:r w:rsidR="00553BA2" w:rsidRPr="00F418FB">
        <w:rPr>
          <w:rFonts w:ascii="Times New Roman" w:hAnsi="Times New Roman" w:cs="Times New Roman"/>
          <w:sz w:val="24"/>
          <w:szCs w:val="24"/>
        </w:rPr>
        <w:t>Lietuva</w:t>
      </w:r>
      <w:r w:rsidR="00EA2DFC" w:rsidRPr="00F418FB">
        <w:rPr>
          <w:rFonts w:ascii="Times New Roman" w:hAnsi="Times New Roman" w:cs="Times New Roman"/>
          <w:sz w:val="24"/>
          <w:szCs w:val="24"/>
        </w:rPr>
        <w:t xml:space="preserve"> </w:t>
      </w:r>
      <w:r w:rsidR="00EA2DFC" w:rsidRPr="00F418FB">
        <w:rPr>
          <w:rFonts w:ascii="Times New Roman" w:hAnsi="Times New Roman" w:cs="Times New Roman"/>
          <w:sz w:val="24"/>
          <w:szCs w:val="24"/>
        </w:rPr>
        <w:t>yra branduolinė valstybė</w:t>
      </w:r>
      <w:r w:rsidR="00553BA2" w:rsidRPr="00F418FB">
        <w:rPr>
          <w:rFonts w:ascii="Times New Roman" w:hAnsi="Times New Roman" w:cs="Times New Roman"/>
          <w:sz w:val="24"/>
          <w:szCs w:val="24"/>
        </w:rPr>
        <w:t>, nors šiuo metu ir neturi veikiančios branduolinės jėgainės, ja išliks daugelį metų</w:t>
      </w:r>
      <w:r w:rsidR="00EA2DFC" w:rsidRPr="00F418FB">
        <w:rPr>
          <w:rFonts w:ascii="Times New Roman" w:hAnsi="Times New Roman" w:cs="Times New Roman"/>
          <w:sz w:val="24"/>
          <w:szCs w:val="24"/>
        </w:rPr>
        <w:t xml:space="preserve">. Turime </w:t>
      </w:r>
      <w:r w:rsidR="00553BA2" w:rsidRPr="00F418FB">
        <w:rPr>
          <w:rFonts w:ascii="Times New Roman" w:hAnsi="Times New Roman" w:cs="Times New Roman"/>
          <w:sz w:val="24"/>
          <w:szCs w:val="24"/>
        </w:rPr>
        <w:t>visą branduolinę infrastruktūrą ir turi</w:t>
      </w:r>
      <w:r w:rsidR="00EA2DFC" w:rsidRPr="00F418FB">
        <w:rPr>
          <w:rFonts w:ascii="Times New Roman" w:hAnsi="Times New Roman" w:cs="Times New Roman"/>
          <w:sz w:val="24"/>
          <w:szCs w:val="24"/>
        </w:rPr>
        <w:t>me</w:t>
      </w:r>
      <w:r w:rsidR="00553BA2" w:rsidRPr="00F418FB">
        <w:rPr>
          <w:rFonts w:ascii="Times New Roman" w:hAnsi="Times New Roman" w:cs="Times New Roman"/>
          <w:sz w:val="24"/>
          <w:szCs w:val="24"/>
        </w:rPr>
        <w:t xml:space="preserve"> sustabdytą jėgainę</w:t>
      </w:r>
      <w:r w:rsidR="00B27042" w:rsidRPr="00F418FB">
        <w:rPr>
          <w:rFonts w:ascii="Times New Roman" w:hAnsi="Times New Roman" w:cs="Times New Roman"/>
          <w:sz w:val="24"/>
          <w:szCs w:val="24"/>
        </w:rPr>
        <w:t>, saugiai tvarkyti branduolines atliekas</w:t>
      </w:r>
      <w:r w:rsidR="00553BA2" w:rsidRPr="00F418FB">
        <w:rPr>
          <w:rFonts w:ascii="Times New Roman" w:hAnsi="Times New Roman" w:cs="Times New Roman"/>
          <w:sz w:val="24"/>
          <w:szCs w:val="24"/>
        </w:rPr>
        <w:t>.</w:t>
      </w:r>
      <w:r w:rsidR="00FF23AC" w:rsidRPr="00F418FB">
        <w:rPr>
          <w:rFonts w:ascii="Times New Roman" w:hAnsi="Times New Roman" w:cs="Times New Roman"/>
          <w:sz w:val="24"/>
          <w:szCs w:val="24"/>
        </w:rPr>
        <w:t xml:space="preserve"> </w:t>
      </w:r>
      <w:r w:rsidR="00B27042" w:rsidRPr="00F418FB">
        <w:rPr>
          <w:rFonts w:ascii="Times New Roman" w:hAnsi="Times New Roman" w:cs="Times New Roman"/>
          <w:sz w:val="24"/>
          <w:szCs w:val="24"/>
        </w:rPr>
        <w:t>Su branduoline sauga susiję tyrimai yra Lietuvos įsipareigojimų įgyvendinimo garantas.</w:t>
      </w:r>
    </w:p>
    <w:p w:rsidR="00FF23AC" w:rsidRPr="00F418FB" w:rsidRDefault="00EA2DFC" w:rsidP="006F3B66">
      <w:pPr>
        <w:pStyle w:val="prastasiniatinklio"/>
        <w:spacing w:before="0" w:after="0"/>
        <w:ind w:left="-76" w:firstLine="709"/>
        <w:jc w:val="both"/>
        <w:rPr>
          <w:rFonts w:ascii="Times New Roman" w:hAnsi="Times New Roman" w:cs="Times New Roman"/>
          <w:sz w:val="24"/>
          <w:szCs w:val="24"/>
        </w:rPr>
      </w:pPr>
      <w:r w:rsidRPr="00F418FB">
        <w:rPr>
          <w:rFonts w:ascii="Times New Roman" w:hAnsi="Times New Roman" w:cs="Times New Roman"/>
          <w:sz w:val="24"/>
          <w:szCs w:val="24"/>
        </w:rPr>
        <w:t xml:space="preserve">Taip pat matome didelį </w:t>
      </w:r>
      <w:r w:rsidRPr="00F418FB">
        <w:rPr>
          <w:rFonts w:ascii="Times New Roman" w:hAnsi="Times New Roman" w:cs="Times New Roman"/>
          <w:sz w:val="24"/>
          <w:szCs w:val="24"/>
        </w:rPr>
        <w:t>branduolių sinteze</w:t>
      </w:r>
      <w:r w:rsidR="00C9439A" w:rsidRPr="00F418FB">
        <w:rPr>
          <w:rFonts w:ascii="Times New Roman" w:hAnsi="Times New Roman" w:cs="Times New Roman"/>
          <w:sz w:val="24"/>
          <w:szCs w:val="24"/>
        </w:rPr>
        <w:t xml:space="preserve"> </w:t>
      </w:r>
      <w:r w:rsidR="00C9439A" w:rsidRPr="00F418FB">
        <w:rPr>
          <w:rFonts w:ascii="Times New Roman" w:hAnsi="Times New Roman" w:cs="Times New Roman"/>
          <w:sz w:val="24"/>
          <w:szCs w:val="24"/>
        </w:rPr>
        <w:t xml:space="preserve">(FUSION </w:t>
      </w:r>
      <w:proofErr w:type="spellStart"/>
      <w:r w:rsidR="00C9439A" w:rsidRPr="00F418FB">
        <w:rPr>
          <w:rFonts w:ascii="Times New Roman" w:hAnsi="Times New Roman" w:cs="Times New Roman"/>
          <w:sz w:val="24"/>
          <w:szCs w:val="24"/>
        </w:rPr>
        <w:t>energy</w:t>
      </w:r>
      <w:proofErr w:type="spellEnd"/>
      <w:r w:rsidR="00C9439A" w:rsidRPr="00F418FB">
        <w:rPr>
          <w:rFonts w:ascii="Times New Roman" w:hAnsi="Times New Roman" w:cs="Times New Roman"/>
          <w:sz w:val="24"/>
          <w:szCs w:val="24"/>
        </w:rPr>
        <w:t xml:space="preserve">) </w:t>
      </w:r>
      <w:r w:rsidRPr="00F418FB">
        <w:rPr>
          <w:rFonts w:ascii="Times New Roman" w:hAnsi="Times New Roman" w:cs="Times New Roman"/>
          <w:sz w:val="24"/>
          <w:szCs w:val="24"/>
        </w:rPr>
        <w:t>paremt</w:t>
      </w:r>
      <w:r w:rsidR="00C9439A" w:rsidRPr="00F418FB">
        <w:rPr>
          <w:rFonts w:ascii="Times New Roman" w:hAnsi="Times New Roman" w:cs="Times New Roman"/>
          <w:sz w:val="24"/>
          <w:szCs w:val="24"/>
        </w:rPr>
        <w:t>ų</w:t>
      </w:r>
      <w:r w:rsidRPr="00F418FB">
        <w:rPr>
          <w:rFonts w:ascii="Times New Roman" w:hAnsi="Times New Roman" w:cs="Times New Roman"/>
          <w:sz w:val="24"/>
          <w:szCs w:val="24"/>
        </w:rPr>
        <w:t xml:space="preserve"> </w:t>
      </w:r>
      <w:r w:rsidR="00C9439A" w:rsidRPr="00F418FB">
        <w:rPr>
          <w:rFonts w:ascii="Times New Roman" w:hAnsi="Times New Roman" w:cs="Times New Roman"/>
          <w:sz w:val="24"/>
          <w:szCs w:val="24"/>
        </w:rPr>
        <w:t>tyrimų</w:t>
      </w:r>
      <w:r w:rsidRPr="00F418FB">
        <w:rPr>
          <w:rFonts w:ascii="Times New Roman" w:hAnsi="Times New Roman" w:cs="Times New Roman"/>
          <w:sz w:val="24"/>
          <w:szCs w:val="24"/>
        </w:rPr>
        <w:t xml:space="preserve"> </w:t>
      </w:r>
      <w:r w:rsidRPr="00F418FB">
        <w:rPr>
          <w:rFonts w:ascii="Times New Roman" w:hAnsi="Times New Roman" w:cs="Times New Roman"/>
          <w:sz w:val="24"/>
          <w:szCs w:val="24"/>
        </w:rPr>
        <w:t xml:space="preserve">potencialą ir </w:t>
      </w:r>
      <w:r w:rsidR="00C9439A" w:rsidRPr="00F418FB">
        <w:rPr>
          <w:rFonts w:ascii="Times New Roman" w:hAnsi="Times New Roman" w:cs="Times New Roman"/>
          <w:sz w:val="24"/>
          <w:szCs w:val="24"/>
        </w:rPr>
        <w:t xml:space="preserve">jų panaudojimą vykdant </w:t>
      </w:r>
      <w:r w:rsidRPr="00F418FB">
        <w:rPr>
          <w:rFonts w:ascii="Times New Roman" w:hAnsi="Times New Roman" w:cs="Times New Roman"/>
          <w:sz w:val="24"/>
          <w:szCs w:val="24"/>
        </w:rPr>
        <w:t>medicinos</w:t>
      </w:r>
      <w:r w:rsidR="00C9439A" w:rsidRPr="00F418FB">
        <w:rPr>
          <w:rFonts w:ascii="Times New Roman" w:hAnsi="Times New Roman" w:cs="Times New Roman"/>
          <w:sz w:val="24"/>
          <w:szCs w:val="24"/>
        </w:rPr>
        <w:t xml:space="preserve"> tyrimus</w:t>
      </w:r>
      <w:r w:rsidRPr="00F418FB">
        <w:rPr>
          <w:rFonts w:ascii="Times New Roman" w:hAnsi="Times New Roman" w:cs="Times New Roman"/>
          <w:sz w:val="24"/>
          <w:szCs w:val="24"/>
        </w:rPr>
        <w:t xml:space="preserve">, </w:t>
      </w:r>
      <w:r w:rsidRPr="00F418FB">
        <w:rPr>
          <w:rFonts w:ascii="Times New Roman" w:hAnsi="Times New Roman" w:cs="Times New Roman"/>
          <w:sz w:val="24"/>
          <w:szCs w:val="24"/>
        </w:rPr>
        <w:t>medžiagotyr</w:t>
      </w:r>
      <w:r w:rsidR="00C9439A" w:rsidRPr="00F418FB">
        <w:rPr>
          <w:rFonts w:ascii="Times New Roman" w:hAnsi="Times New Roman" w:cs="Times New Roman"/>
          <w:sz w:val="24"/>
          <w:szCs w:val="24"/>
        </w:rPr>
        <w:t>ą</w:t>
      </w:r>
      <w:r w:rsidRPr="00F418FB">
        <w:rPr>
          <w:rFonts w:ascii="Times New Roman" w:hAnsi="Times New Roman" w:cs="Times New Roman"/>
          <w:sz w:val="24"/>
          <w:szCs w:val="24"/>
        </w:rPr>
        <w:t xml:space="preserve">, </w:t>
      </w:r>
      <w:r w:rsidR="00C9439A" w:rsidRPr="00F418FB">
        <w:rPr>
          <w:rFonts w:ascii="Times New Roman" w:hAnsi="Times New Roman" w:cs="Times New Roman"/>
          <w:sz w:val="24"/>
          <w:szCs w:val="24"/>
        </w:rPr>
        <w:t xml:space="preserve">kuriant </w:t>
      </w:r>
      <w:r w:rsidRPr="00F418FB">
        <w:rPr>
          <w:rFonts w:ascii="Times New Roman" w:hAnsi="Times New Roman" w:cs="Times New Roman"/>
          <w:sz w:val="24"/>
          <w:szCs w:val="24"/>
        </w:rPr>
        <w:t>puslaidininki</w:t>
      </w:r>
      <w:r w:rsidR="00C9439A" w:rsidRPr="00F418FB">
        <w:rPr>
          <w:rFonts w:ascii="Times New Roman" w:hAnsi="Times New Roman" w:cs="Times New Roman"/>
          <w:sz w:val="24"/>
          <w:szCs w:val="24"/>
        </w:rPr>
        <w:t>us</w:t>
      </w:r>
      <w:r w:rsidRPr="00F418FB">
        <w:rPr>
          <w:rFonts w:ascii="Times New Roman" w:hAnsi="Times New Roman" w:cs="Times New Roman"/>
          <w:sz w:val="24"/>
          <w:szCs w:val="24"/>
        </w:rPr>
        <w:t xml:space="preserve">, </w:t>
      </w:r>
      <w:r w:rsidRPr="00F418FB">
        <w:rPr>
          <w:rFonts w:ascii="Times New Roman" w:hAnsi="Times New Roman" w:cs="Times New Roman"/>
          <w:sz w:val="24"/>
          <w:szCs w:val="24"/>
        </w:rPr>
        <w:t>žemės ūk</w:t>
      </w:r>
      <w:r w:rsidR="00B27042" w:rsidRPr="00F418FB">
        <w:rPr>
          <w:rFonts w:ascii="Times New Roman" w:hAnsi="Times New Roman" w:cs="Times New Roman"/>
          <w:sz w:val="24"/>
          <w:szCs w:val="24"/>
        </w:rPr>
        <w:t>yje</w:t>
      </w:r>
      <w:r w:rsidRPr="00F418FB">
        <w:rPr>
          <w:rFonts w:ascii="Times New Roman" w:hAnsi="Times New Roman" w:cs="Times New Roman"/>
          <w:sz w:val="24"/>
          <w:szCs w:val="24"/>
        </w:rPr>
        <w:t xml:space="preserve"> ir </w:t>
      </w:r>
      <w:r w:rsidRPr="00F418FB">
        <w:rPr>
          <w:rFonts w:ascii="Times New Roman" w:hAnsi="Times New Roman" w:cs="Times New Roman"/>
          <w:sz w:val="24"/>
          <w:szCs w:val="24"/>
        </w:rPr>
        <w:t>kosmoso programo</w:t>
      </w:r>
      <w:r w:rsidR="00C9439A" w:rsidRPr="00F418FB">
        <w:rPr>
          <w:rFonts w:ascii="Times New Roman" w:hAnsi="Times New Roman" w:cs="Times New Roman"/>
          <w:sz w:val="24"/>
          <w:szCs w:val="24"/>
        </w:rPr>
        <w:t>se</w:t>
      </w:r>
      <w:r w:rsidRPr="00F418FB">
        <w:rPr>
          <w:rFonts w:ascii="Times New Roman" w:hAnsi="Times New Roman" w:cs="Times New Roman"/>
          <w:sz w:val="24"/>
          <w:szCs w:val="24"/>
        </w:rPr>
        <w:t xml:space="preserve">. </w:t>
      </w:r>
      <w:r w:rsidR="00C9439A" w:rsidRPr="00F418FB">
        <w:rPr>
          <w:rFonts w:ascii="Times New Roman" w:hAnsi="Times New Roman" w:cs="Times New Roman"/>
          <w:sz w:val="24"/>
          <w:szCs w:val="24"/>
        </w:rPr>
        <w:t>Manome kad Euratomo programa turėtų tam užtikrinti tinkamas sąlygas.</w:t>
      </w:r>
    </w:p>
    <w:p w:rsidR="00FF23AC" w:rsidRPr="00F418FB" w:rsidRDefault="00FF23AC" w:rsidP="006F3B66">
      <w:pPr>
        <w:pStyle w:val="prastasiniatinklio"/>
        <w:spacing w:before="0" w:after="0"/>
        <w:ind w:left="-76" w:firstLine="709"/>
        <w:jc w:val="both"/>
        <w:rPr>
          <w:rFonts w:ascii="Times New Roman" w:hAnsi="Times New Roman" w:cs="Times New Roman"/>
          <w:sz w:val="24"/>
          <w:szCs w:val="24"/>
        </w:rPr>
      </w:pPr>
    </w:p>
    <w:p w:rsidR="00FF23AC" w:rsidRPr="00F418FB" w:rsidRDefault="00FF23AC" w:rsidP="006F3B66">
      <w:pPr>
        <w:pStyle w:val="prastasiniatinklio"/>
        <w:spacing w:before="0" w:after="0"/>
        <w:ind w:left="-76" w:firstLine="709"/>
        <w:jc w:val="both"/>
        <w:rPr>
          <w:rFonts w:ascii="Times New Roman" w:hAnsi="Times New Roman" w:cs="Times New Roman"/>
          <w:sz w:val="24"/>
          <w:szCs w:val="24"/>
        </w:rPr>
      </w:pPr>
    </w:p>
    <w:p w:rsidR="007004E0" w:rsidRPr="00F418FB" w:rsidRDefault="007004E0" w:rsidP="006F3B66">
      <w:pPr>
        <w:pStyle w:val="Sraopastraipa"/>
        <w:numPr>
          <w:ilvl w:val="0"/>
          <w:numId w:val="26"/>
        </w:numPr>
        <w:ind w:left="0" w:firstLine="709"/>
        <w:jc w:val="both"/>
        <w:rPr>
          <w:b/>
        </w:rPr>
      </w:pPr>
      <w:r w:rsidRPr="00F418FB">
        <w:rPr>
          <w:b/>
        </w:rPr>
        <w:t xml:space="preserve">Išvados dėl atnaujintos ES </w:t>
      </w:r>
      <w:proofErr w:type="spellStart"/>
      <w:r w:rsidRPr="00F418FB">
        <w:rPr>
          <w:b/>
        </w:rPr>
        <w:t>bioekonomikos</w:t>
      </w:r>
      <w:proofErr w:type="spellEnd"/>
      <w:r w:rsidRPr="00F418FB">
        <w:rPr>
          <w:b/>
        </w:rPr>
        <w:t xml:space="preserve"> strategijos</w:t>
      </w:r>
    </w:p>
    <w:p w:rsidR="007004E0" w:rsidRPr="00F418FB" w:rsidRDefault="007004E0" w:rsidP="006F3B66">
      <w:pPr>
        <w:ind w:firstLine="709"/>
        <w:jc w:val="both"/>
        <w:rPr>
          <w:b/>
        </w:rPr>
      </w:pPr>
      <w:r w:rsidRPr="00F418FB">
        <w:rPr>
          <w:iCs/>
        </w:rPr>
        <w:t>Priėmimas</w:t>
      </w:r>
    </w:p>
    <w:p w:rsidR="007004E0" w:rsidRPr="00F418FB" w:rsidRDefault="007004E0" w:rsidP="006F3B66">
      <w:pPr>
        <w:ind w:firstLine="709"/>
        <w:jc w:val="both"/>
        <w:rPr>
          <w:color w:val="000000"/>
        </w:rPr>
      </w:pPr>
      <w:r w:rsidRPr="00F418FB">
        <w:rPr>
          <w:color w:val="000000"/>
        </w:rPr>
        <w:t xml:space="preserve">Teikiamame tvirtinti Konkurencingumo taryboje  išvadų projekte </w:t>
      </w:r>
      <w:r w:rsidR="00671456" w:rsidRPr="00F418FB">
        <w:rPr>
          <w:color w:val="000000"/>
        </w:rPr>
        <w:t xml:space="preserve">(toliau – išvados) </w:t>
      </w:r>
      <w:r w:rsidRPr="00F418FB">
        <w:rPr>
          <w:color w:val="000000"/>
        </w:rPr>
        <w:t xml:space="preserve">palankiai vertinamas komunikatas „Tvari </w:t>
      </w:r>
      <w:proofErr w:type="spellStart"/>
      <w:r w:rsidRPr="00F418FB">
        <w:rPr>
          <w:color w:val="000000"/>
        </w:rPr>
        <w:t>bioekonomika</w:t>
      </w:r>
      <w:proofErr w:type="spellEnd"/>
      <w:r w:rsidRPr="00F418FB">
        <w:rPr>
          <w:color w:val="000000"/>
        </w:rPr>
        <w:t xml:space="preserve"> Europai: ekonomikos, visuomenės ir aplinkos ryšio stiprinimas“</w:t>
      </w:r>
      <w:r w:rsidR="00671456" w:rsidRPr="00F418FB">
        <w:rPr>
          <w:color w:val="000000"/>
        </w:rPr>
        <w:t xml:space="preserve"> </w:t>
      </w:r>
      <w:r w:rsidRPr="00F418FB">
        <w:rPr>
          <w:color w:val="000000"/>
        </w:rPr>
        <w:t xml:space="preserve">(Europos </w:t>
      </w:r>
      <w:proofErr w:type="spellStart"/>
      <w:r w:rsidRPr="00F418FB">
        <w:rPr>
          <w:color w:val="000000"/>
        </w:rPr>
        <w:t>bioekonomikos</w:t>
      </w:r>
      <w:proofErr w:type="spellEnd"/>
      <w:r w:rsidRPr="00F418FB">
        <w:rPr>
          <w:color w:val="000000"/>
        </w:rPr>
        <w:t xml:space="preserve"> strategija), kuriuo siekiama paspartinti tvaraus </w:t>
      </w:r>
      <w:proofErr w:type="spellStart"/>
      <w:r w:rsidRPr="00F418FB">
        <w:rPr>
          <w:color w:val="000000"/>
        </w:rPr>
        <w:t>bioekonomikos</w:t>
      </w:r>
      <w:proofErr w:type="spellEnd"/>
      <w:r w:rsidRPr="00F418FB">
        <w:rPr>
          <w:color w:val="000000"/>
        </w:rPr>
        <w:t xml:space="preserve"> diegimo plėtrą.</w:t>
      </w:r>
      <w:r w:rsidR="00671456" w:rsidRPr="00F418FB">
        <w:rPr>
          <w:color w:val="000000"/>
        </w:rPr>
        <w:t xml:space="preserve"> </w:t>
      </w:r>
      <w:proofErr w:type="spellStart"/>
      <w:r w:rsidR="00671456" w:rsidRPr="00F418FB">
        <w:rPr>
          <w:color w:val="000000"/>
        </w:rPr>
        <w:t>B</w:t>
      </w:r>
      <w:r w:rsidRPr="00F418FB">
        <w:rPr>
          <w:color w:val="000000"/>
        </w:rPr>
        <w:t>ioekonomika</w:t>
      </w:r>
      <w:proofErr w:type="spellEnd"/>
      <w:r w:rsidRPr="00F418FB">
        <w:rPr>
          <w:color w:val="000000"/>
        </w:rPr>
        <w:t xml:space="preserve"> apima visus sektorius ir sistemas, kurie priklauso nuo biologinių išteklių.</w:t>
      </w:r>
      <w:r w:rsidR="00671456" w:rsidRPr="00F418FB">
        <w:rPr>
          <w:color w:val="000000"/>
        </w:rPr>
        <w:t xml:space="preserve"> Išvadomis r</w:t>
      </w:r>
      <w:r w:rsidRPr="00F418FB">
        <w:rPr>
          <w:color w:val="000000"/>
        </w:rPr>
        <w:t xml:space="preserve">emiamos trys pagrindines veiklos sritys: stiprinti biologinių sektorių plėtrą; atverti investicijas ir rinkas; spartinti </w:t>
      </w:r>
      <w:proofErr w:type="spellStart"/>
      <w:r w:rsidRPr="00F418FB">
        <w:rPr>
          <w:color w:val="000000"/>
        </w:rPr>
        <w:t>bioekonomikos</w:t>
      </w:r>
      <w:proofErr w:type="spellEnd"/>
      <w:r w:rsidRPr="00F418FB">
        <w:rPr>
          <w:color w:val="000000"/>
        </w:rPr>
        <w:t xml:space="preserve"> diegimą visoje Europoje.</w:t>
      </w:r>
    </w:p>
    <w:p w:rsidR="007004E0" w:rsidRPr="00F418FB" w:rsidRDefault="007004E0" w:rsidP="006F3B66">
      <w:pPr>
        <w:ind w:firstLine="709"/>
        <w:jc w:val="both"/>
        <w:rPr>
          <w:color w:val="000000"/>
        </w:rPr>
      </w:pPr>
      <w:r w:rsidRPr="00F418FB">
        <w:rPr>
          <w:color w:val="000000"/>
        </w:rPr>
        <w:t>Taip pat Tarybos išvadų projekte akcentuojami šie pagrindiniai aspektai:</w:t>
      </w:r>
    </w:p>
    <w:p w:rsidR="008363CA" w:rsidRPr="00F418FB" w:rsidRDefault="00671456" w:rsidP="006F3B66">
      <w:pPr>
        <w:pStyle w:val="Sraopastraipa"/>
        <w:numPr>
          <w:ilvl w:val="0"/>
          <w:numId w:val="34"/>
        </w:numPr>
        <w:ind w:left="0" w:firstLine="709"/>
        <w:jc w:val="both"/>
        <w:rPr>
          <w:color w:val="000000"/>
        </w:rPr>
      </w:pPr>
      <w:r w:rsidRPr="00F418FB">
        <w:rPr>
          <w:color w:val="000000"/>
        </w:rPr>
        <w:t>R</w:t>
      </w:r>
      <w:r w:rsidR="007004E0" w:rsidRPr="00F418FB">
        <w:rPr>
          <w:color w:val="000000"/>
        </w:rPr>
        <w:t>aginam</w:t>
      </w:r>
      <w:r w:rsidRPr="00F418FB">
        <w:rPr>
          <w:color w:val="000000"/>
        </w:rPr>
        <w:t>a</w:t>
      </w:r>
      <w:r w:rsidR="007004E0" w:rsidRPr="00F418FB">
        <w:rPr>
          <w:color w:val="000000"/>
        </w:rPr>
        <w:t xml:space="preserve"> nedelsiant įgyvendinti Europos </w:t>
      </w:r>
      <w:proofErr w:type="spellStart"/>
      <w:r w:rsidR="007004E0" w:rsidRPr="00F418FB">
        <w:rPr>
          <w:color w:val="000000"/>
        </w:rPr>
        <w:t>bioekonomikos</w:t>
      </w:r>
      <w:proofErr w:type="spellEnd"/>
      <w:r w:rsidR="007004E0" w:rsidRPr="00F418FB">
        <w:rPr>
          <w:color w:val="000000"/>
        </w:rPr>
        <w:t xml:space="preserve"> strategiją;</w:t>
      </w:r>
    </w:p>
    <w:p w:rsidR="008363CA" w:rsidRPr="00F418FB" w:rsidRDefault="007004E0" w:rsidP="006F3B66">
      <w:pPr>
        <w:pStyle w:val="Sraopastraipa"/>
        <w:numPr>
          <w:ilvl w:val="0"/>
          <w:numId w:val="34"/>
        </w:numPr>
        <w:ind w:left="0" w:firstLine="709"/>
        <w:jc w:val="both"/>
        <w:rPr>
          <w:color w:val="000000"/>
        </w:rPr>
      </w:pPr>
      <w:r w:rsidRPr="00F418FB">
        <w:rPr>
          <w:color w:val="000000"/>
        </w:rPr>
        <w:t xml:space="preserve">Pastebima, kad tvari </w:t>
      </w:r>
      <w:proofErr w:type="spellStart"/>
      <w:r w:rsidRPr="00F418FB">
        <w:rPr>
          <w:color w:val="000000"/>
        </w:rPr>
        <w:t>bioekonomika</w:t>
      </w:r>
      <w:proofErr w:type="spellEnd"/>
      <w:r w:rsidRPr="00F418FB">
        <w:rPr>
          <w:color w:val="000000"/>
        </w:rPr>
        <w:t xml:space="preserve"> skatina pramonės šakų konkurencingumą;</w:t>
      </w:r>
    </w:p>
    <w:p w:rsidR="008363CA" w:rsidRPr="00F418FB" w:rsidRDefault="007004E0" w:rsidP="006F3B66">
      <w:pPr>
        <w:pStyle w:val="Sraopastraipa"/>
        <w:numPr>
          <w:ilvl w:val="0"/>
          <w:numId w:val="34"/>
        </w:numPr>
        <w:ind w:left="0" w:firstLine="709"/>
        <w:jc w:val="both"/>
        <w:rPr>
          <w:color w:val="000000"/>
        </w:rPr>
      </w:pPr>
      <w:r w:rsidRPr="00F418FB">
        <w:rPr>
          <w:color w:val="000000"/>
        </w:rPr>
        <w:t xml:space="preserve">Pažymima, kad MTEPI ir investicijos į tai yra pagrindinės priemonės pereiti prie žiedinės ir tvarios </w:t>
      </w:r>
      <w:proofErr w:type="spellStart"/>
      <w:r w:rsidRPr="00F418FB">
        <w:rPr>
          <w:color w:val="000000"/>
        </w:rPr>
        <w:t>bioekonomikos</w:t>
      </w:r>
      <w:proofErr w:type="spellEnd"/>
      <w:r w:rsidRPr="00F418FB">
        <w:rPr>
          <w:color w:val="000000"/>
        </w:rPr>
        <w:t xml:space="preserve"> ir apskritai klimato požiūriu neutralios ekonomikos. Pabrėžiama bendradarbiavimo svarba mokslinių tyrimų ir inovacijų srityse</w:t>
      </w:r>
      <w:r w:rsidR="008363CA" w:rsidRPr="00F418FB">
        <w:rPr>
          <w:color w:val="000000"/>
        </w:rPr>
        <w:t>;</w:t>
      </w:r>
    </w:p>
    <w:p w:rsidR="008363CA" w:rsidRPr="00F418FB" w:rsidRDefault="007004E0" w:rsidP="006F3B66">
      <w:pPr>
        <w:pStyle w:val="Sraopastraipa"/>
        <w:numPr>
          <w:ilvl w:val="0"/>
          <w:numId w:val="34"/>
        </w:numPr>
        <w:ind w:left="0" w:firstLine="709"/>
        <w:jc w:val="both"/>
        <w:rPr>
          <w:color w:val="000000"/>
        </w:rPr>
      </w:pPr>
      <w:r w:rsidRPr="00F418FB">
        <w:rPr>
          <w:color w:val="000000"/>
        </w:rPr>
        <w:t>Pripažįsta</w:t>
      </w:r>
      <w:r w:rsidR="008363CA" w:rsidRPr="00F418FB">
        <w:rPr>
          <w:color w:val="000000"/>
        </w:rPr>
        <w:t>ma</w:t>
      </w:r>
      <w:r w:rsidRPr="00F418FB">
        <w:rPr>
          <w:color w:val="000000"/>
        </w:rPr>
        <w:t xml:space="preserve">, kad be programos "Europos horizontas" veiksmų grupės "Maistas, </w:t>
      </w:r>
      <w:proofErr w:type="spellStart"/>
      <w:r w:rsidRPr="00F418FB">
        <w:rPr>
          <w:color w:val="000000"/>
        </w:rPr>
        <w:t>bioekonomika</w:t>
      </w:r>
      <w:proofErr w:type="spellEnd"/>
      <w:r w:rsidRPr="00F418FB">
        <w:rPr>
          <w:color w:val="000000"/>
        </w:rPr>
        <w:t xml:space="preserve">, gamtiniai ištekliai, žemės ūkis ir aplinka" svarstomos galimybės skatinti </w:t>
      </w:r>
      <w:proofErr w:type="spellStart"/>
      <w:r w:rsidRPr="00F418FB">
        <w:rPr>
          <w:color w:val="000000"/>
        </w:rPr>
        <w:t>bioekonomikos</w:t>
      </w:r>
      <w:proofErr w:type="spellEnd"/>
      <w:r w:rsidRPr="00F418FB">
        <w:rPr>
          <w:color w:val="000000"/>
        </w:rPr>
        <w:t xml:space="preserve"> priemonių diegimą pasitelkiant partnerystes ir misijas</w:t>
      </w:r>
      <w:r w:rsidR="008363CA" w:rsidRPr="00F418FB">
        <w:rPr>
          <w:color w:val="000000"/>
        </w:rPr>
        <w:t>;</w:t>
      </w:r>
    </w:p>
    <w:p w:rsidR="008363CA" w:rsidRPr="00F418FB" w:rsidRDefault="007004E0" w:rsidP="006F3B66">
      <w:pPr>
        <w:pStyle w:val="Sraopastraipa"/>
        <w:numPr>
          <w:ilvl w:val="0"/>
          <w:numId w:val="34"/>
        </w:numPr>
        <w:ind w:left="0" w:firstLine="709"/>
        <w:jc w:val="both"/>
        <w:rPr>
          <w:color w:val="000000"/>
        </w:rPr>
      </w:pPr>
      <w:r w:rsidRPr="00F418FB">
        <w:rPr>
          <w:color w:val="000000"/>
        </w:rPr>
        <w:t xml:space="preserve">Pabrėžiama, kad svarbu tobulinti žinių bazę ir ją skleisti per </w:t>
      </w:r>
      <w:proofErr w:type="spellStart"/>
      <w:r w:rsidRPr="00F418FB">
        <w:rPr>
          <w:color w:val="000000"/>
        </w:rPr>
        <w:t>Bioekonomikos</w:t>
      </w:r>
      <w:proofErr w:type="spellEnd"/>
      <w:r w:rsidRPr="00F418FB">
        <w:rPr>
          <w:color w:val="000000"/>
        </w:rPr>
        <w:t xml:space="preserve"> žinių centrą</w:t>
      </w:r>
      <w:r w:rsidR="008363CA" w:rsidRPr="00F418FB">
        <w:rPr>
          <w:color w:val="000000"/>
        </w:rPr>
        <w:t>;</w:t>
      </w:r>
    </w:p>
    <w:p w:rsidR="008363CA" w:rsidRPr="00F418FB" w:rsidRDefault="007004E0" w:rsidP="006F3B66">
      <w:pPr>
        <w:pStyle w:val="Sraopastraipa"/>
        <w:numPr>
          <w:ilvl w:val="0"/>
          <w:numId w:val="34"/>
        </w:numPr>
        <w:ind w:left="0" w:firstLine="709"/>
        <w:jc w:val="both"/>
        <w:rPr>
          <w:color w:val="000000"/>
        </w:rPr>
      </w:pPr>
      <w:r w:rsidRPr="00F418FB">
        <w:rPr>
          <w:color w:val="000000"/>
        </w:rPr>
        <w:t>Pabrėžiama komunikacijos ir švietimo svarba</w:t>
      </w:r>
      <w:r w:rsidR="00671456" w:rsidRPr="00F418FB">
        <w:rPr>
          <w:color w:val="000000"/>
        </w:rPr>
        <w:t>;</w:t>
      </w:r>
    </w:p>
    <w:p w:rsidR="008363CA" w:rsidRPr="00F418FB" w:rsidRDefault="00671456" w:rsidP="006F3B66">
      <w:pPr>
        <w:pStyle w:val="Sraopastraipa"/>
        <w:numPr>
          <w:ilvl w:val="0"/>
          <w:numId w:val="34"/>
        </w:numPr>
        <w:ind w:left="0" w:firstLine="709"/>
        <w:jc w:val="both"/>
        <w:rPr>
          <w:color w:val="000000"/>
        </w:rPr>
      </w:pPr>
      <w:r w:rsidRPr="00F418FB">
        <w:rPr>
          <w:color w:val="000000"/>
        </w:rPr>
        <w:t>Pažymima, kad s</w:t>
      </w:r>
      <w:r w:rsidR="007004E0" w:rsidRPr="00F418FB">
        <w:rPr>
          <w:color w:val="000000"/>
        </w:rPr>
        <w:t>kaitmeninimas yra viena iš pagrindinių veiksnių</w:t>
      </w:r>
      <w:r w:rsidRPr="00F418FB">
        <w:rPr>
          <w:color w:val="000000"/>
        </w:rPr>
        <w:t>;</w:t>
      </w:r>
    </w:p>
    <w:p w:rsidR="008363CA" w:rsidRPr="00F418FB" w:rsidRDefault="007004E0" w:rsidP="006F3B66">
      <w:pPr>
        <w:pStyle w:val="Sraopastraipa"/>
        <w:numPr>
          <w:ilvl w:val="0"/>
          <w:numId w:val="34"/>
        </w:numPr>
        <w:ind w:left="0" w:firstLine="709"/>
        <w:jc w:val="both"/>
        <w:rPr>
          <w:color w:val="000000"/>
        </w:rPr>
      </w:pPr>
      <w:r w:rsidRPr="00F418FB">
        <w:rPr>
          <w:color w:val="000000"/>
        </w:rPr>
        <w:t xml:space="preserve">EK kviečiama užtikrinti </w:t>
      </w:r>
      <w:proofErr w:type="spellStart"/>
      <w:r w:rsidRPr="00F418FB">
        <w:rPr>
          <w:color w:val="000000"/>
        </w:rPr>
        <w:t>bioekonomikos</w:t>
      </w:r>
      <w:proofErr w:type="spellEnd"/>
      <w:r w:rsidRPr="00F418FB">
        <w:rPr>
          <w:color w:val="000000"/>
        </w:rPr>
        <w:t xml:space="preserve"> ir kitų politikos krypčių darną</w:t>
      </w:r>
      <w:r w:rsidR="008363CA" w:rsidRPr="00F418FB">
        <w:rPr>
          <w:color w:val="000000"/>
        </w:rPr>
        <w:t>;</w:t>
      </w:r>
    </w:p>
    <w:p w:rsidR="008363CA" w:rsidRPr="00F418FB" w:rsidRDefault="007004E0" w:rsidP="006F3B66">
      <w:pPr>
        <w:pStyle w:val="Sraopastraipa"/>
        <w:numPr>
          <w:ilvl w:val="0"/>
          <w:numId w:val="34"/>
        </w:numPr>
        <w:ind w:left="0" w:firstLine="709"/>
        <w:jc w:val="both"/>
        <w:rPr>
          <w:color w:val="000000"/>
        </w:rPr>
      </w:pPr>
      <w:r w:rsidRPr="00F418FB">
        <w:rPr>
          <w:color w:val="000000"/>
        </w:rPr>
        <w:t xml:space="preserve">Pabrėžiama, kad </w:t>
      </w:r>
      <w:proofErr w:type="spellStart"/>
      <w:r w:rsidRPr="00F418FB">
        <w:rPr>
          <w:color w:val="000000"/>
        </w:rPr>
        <w:t>bioekonomika</w:t>
      </w:r>
      <w:proofErr w:type="spellEnd"/>
      <w:r w:rsidRPr="00F418FB">
        <w:rPr>
          <w:color w:val="000000"/>
        </w:rPr>
        <w:t xml:space="preserve"> turėtų būti viena iš pagrindinių Europos ekologinio sutarimo įgyvendinimo sudedamųjų dalių</w:t>
      </w:r>
      <w:r w:rsidR="008363CA" w:rsidRPr="00F418FB">
        <w:rPr>
          <w:color w:val="000000"/>
        </w:rPr>
        <w:t>;</w:t>
      </w:r>
    </w:p>
    <w:p w:rsidR="007004E0" w:rsidRPr="00F418FB" w:rsidRDefault="007004E0" w:rsidP="006F3B66">
      <w:pPr>
        <w:pStyle w:val="Sraopastraipa"/>
        <w:numPr>
          <w:ilvl w:val="0"/>
          <w:numId w:val="34"/>
        </w:numPr>
        <w:ind w:left="0" w:firstLine="709"/>
        <w:jc w:val="both"/>
        <w:rPr>
          <w:color w:val="000000"/>
        </w:rPr>
      </w:pPr>
      <w:r w:rsidRPr="00F418FB">
        <w:rPr>
          <w:color w:val="000000"/>
        </w:rPr>
        <w:t xml:space="preserve">Kviečiama EK išanalizuoti politikos, ekonominės ir socialinės aplinkos būklę ir pripažįstamas poreikis įvertinti atnaujintos Europos </w:t>
      </w:r>
      <w:proofErr w:type="spellStart"/>
      <w:r w:rsidRPr="00F418FB">
        <w:rPr>
          <w:color w:val="000000"/>
        </w:rPr>
        <w:t>bioekonomikos</w:t>
      </w:r>
      <w:proofErr w:type="spellEnd"/>
      <w:r w:rsidRPr="00F418FB">
        <w:rPr>
          <w:color w:val="000000"/>
        </w:rPr>
        <w:t xml:space="preserve"> strategijos pažangą. Raginama busima EK pateikti pažangos ataskaitą ir prireikus atnaujinti veiksmų planą ir (arba) strategiją ne vėliau kaip iki 2022 m.</w:t>
      </w:r>
    </w:p>
    <w:p w:rsidR="007004E0" w:rsidRPr="00F418FB" w:rsidRDefault="007004E0" w:rsidP="006F3B66">
      <w:pPr>
        <w:ind w:firstLine="709"/>
        <w:jc w:val="both"/>
        <w:rPr>
          <w:rFonts w:ascii="Arial" w:hAnsi="Arial" w:cs="Arial"/>
          <w:color w:val="000000"/>
          <w:sz w:val="18"/>
          <w:szCs w:val="18"/>
        </w:rPr>
      </w:pPr>
    </w:p>
    <w:p w:rsidR="007004E0" w:rsidRPr="00F418FB" w:rsidRDefault="007004E0" w:rsidP="006F3B66">
      <w:pPr>
        <w:pStyle w:val="prastasiniatinklio"/>
        <w:spacing w:before="0" w:after="0"/>
        <w:ind w:left="-76" w:firstLine="709"/>
        <w:jc w:val="both"/>
        <w:rPr>
          <w:rFonts w:ascii="Times New Roman" w:hAnsi="Times New Roman" w:cs="Times New Roman"/>
          <w:b/>
          <w:sz w:val="24"/>
          <w:szCs w:val="24"/>
        </w:rPr>
      </w:pPr>
      <w:r w:rsidRPr="00F418FB">
        <w:rPr>
          <w:rFonts w:ascii="Times New Roman" w:hAnsi="Times New Roman" w:cs="Times New Roman"/>
          <w:b/>
          <w:sz w:val="24"/>
          <w:szCs w:val="24"/>
        </w:rPr>
        <w:t>Siūloma Lietuvos pozicija:</w:t>
      </w:r>
    </w:p>
    <w:p w:rsidR="007004E0" w:rsidRPr="00F418FB" w:rsidRDefault="007004E0" w:rsidP="006F3B66">
      <w:pPr>
        <w:ind w:firstLine="709"/>
        <w:jc w:val="both"/>
        <w:rPr>
          <w:rFonts w:ascii="&amp;quot" w:hAnsi="&amp;quot"/>
          <w:color w:val="000000"/>
          <w:shd w:val="clear" w:color="auto" w:fill="FFFFFF"/>
        </w:rPr>
      </w:pPr>
    </w:p>
    <w:p w:rsidR="007004E0" w:rsidRDefault="007004E0" w:rsidP="006F3B66">
      <w:pPr>
        <w:ind w:firstLine="709"/>
        <w:jc w:val="both"/>
        <w:rPr>
          <w:rFonts w:ascii="Arial" w:hAnsi="Arial" w:cs="Arial"/>
          <w:color w:val="000000"/>
          <w:sz w:val="18"/>
          <w:szCs w:val="18"/>
          <w:shd w:val="clear" w:color="auto" w:fill="FFFFFF"/>
        </w:rPr>
      </w:pPr>
      <w:r w:rsidRPr="00F418FB">
        <w:rPr>
          <w:rFonts w:ascii="&amp;quot" w:hAnsi="&amp;quot"/>
          <w:color w:val="000000"/>
          <w:shd w:val="clear" w:color="auto" w:fill="FFFFFF"/>
        </w:rPr>
        <w:t xml:space="preserve">Pritarti išvadų dėl atnaujintos </w:t>
      </w:r>
      <w:proofErr w:type="spellStart"/>
      <w:r w:rsidRPr="00F418FB">
        <w:rPr>
          <w:rFonts w:ascii="&amp;quot" w:hAnsi="&amp;quot"/>
          <w:color w:val="000000"/>
          <w:shd w:val="clear" w:color="auto" w:fill="FFFFFF"/>
        </w:rPr>
        <w:t>bioekonomikos</w:t>
      </w:r>
      <w:proofErr w:type="spellEnd"/>
      <w:r w:rsidRPr="00F418FB">
        <w:rPr>
          <w:rFonts w:ascii="&amp;quot" w:hAnsi="&amp;quot"/>
          <w:color w:val="000000"/>
          <w:shd w:val="clear" w:color="auto" w:fill="FFFFFF"/>
        </w:rPr>
        <w:t xml:space="preserve"> strategijos "Tvari </w:t>
      </w:r>
      <w:proofErr w:type="spellStart"/>
      <w:r w:rsidRPr="00F418FB">
        <w:rPr>
          <w:rFonts w:ascii="&amp;quot" w:hAnsi="&amp;quot"/>
          <w:color w:val="000000"/>
          <w:shd w:val="clear" w:color="auto" w:fill="FFFFFF"/>
        </w:rPr>
        <w:t>bioekonomika</w:t>
      </w:r>
      <w:proofErr w:type="spellEnd"/>
      <w:r w:rsidRPr="00F418FB">
        <w:rPr>
          <w:rFonts w:ascii="&amp;quot" w:hAnsi="&amp;quot"/>
          <w:color w:val="000000"/>
          <w:shd w:val="clear" w:color="auto" w:fill="FFFFFF"/>
        </w:rPr>
        <w:t>. Ekonomikos, visuomenės ir aplinkos sąsajų stiprinimas" projektui.</w:t>
      </w:r>
      <w:r>
        <w:rPr>
          <w:rFonts w:ascii="&amp;quot" w:hAnsi="&amp;quot"/>
          <w:color w:val="000000"/>
          <w:shd w:val="clear" w:color="auto" w:fill="FFFFFF"/>
        </w:rPr>
        <w:t> </w:t>
      </w:r>
      <w:r>
        <w:rPr>
          <w:rFonts w:ascii="Arial" w:hAnsi="Arial" w:cs="Arial"/>
          <w:color w:val="000000"/>
          <w:sz w:val="18"/>
          <w:szCs w:val="18"/>
          <w:shd w:val="clear" w:color="auto" w:fill="FFFFFF"/>
        </w:rPr>
        <w:t> </w:t>
      </w:r>
    </w:p>
    <w:p w:rsidR="007004E0" w:rsidRDefault="007004E0" w:rsidP="006F3B66">
      <w:pPr>
        <w:ind w:firstLine="709"/>
        <w:jc w:val="both"/>
        <w:rPr>
          <w:rFonts w:ascii="Arial" w:hAnsi="Arial" w:cs="Arial"/>
          <w:color w:val="000000"/>
          <w:sz w:val="18"/>
          <w:szCs w:val="18"/>
          <w:shd w:val="clear" w:color="auto" w:fill="FFFFFF"/>
        </w:rPr>
      </w:pPr>
    </w:p>
    <w:sectPr w:rsidR="007004E0" w:rsidSect="00AA6AB3">
      <w:headerReference w:type="even" r:id="rId11"/>
      <w:headerReference w:type="default" r:id="rId12"/>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0B4" w:rsidRDefault="003320B4" w:rsidP="00C42C13">
      <w:r>
        <w:separator/>
      </w:r>
    </w:p>
  </w:endnote>
  <w:endnote w:type="continuationSeparator" w:id="0">
    <w:p w:rsidR="003320B4" w:rsidRDefault="003320B4" w:rsidP="00C4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EC Square Sans Pro">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0B4" w:rsidRDefault="003320B4" w:rsidP="00C42C13">
      <w:r>
        <w:separator/>
      </w:r>
    </w:p>
  </w:footnote>
  <w:footnote w:type="continuationSeparator" w:id="0">
    <w:p w:rsidR="003320B4" w:rsidRDefault="003320B4" w:rsidP="00C4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734D5" w:rsidRDefault="003734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4014">
      <w:rPr>
        <w:rStyle w:val="Puslapionumeris"/>
        <w:noProof/>
      </w:rPr>
      <w:t>2</w:t>
    </w:r>
    <w:r>
      <w:rPr>
        <w:rStyle w:val="Puslapionumeris"/>
      </w:rPr>
      <w:fldChar w:fldCharType="end"/>
    </w:r>
  </w:p>
  <w:p w:rsidR="003734D5" w:rsidRDefault="003734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05A"/>
    <w:multiLevelType w:val="multilevel"/>
    <w:tmpl w:val="4EE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A43B6"/>
    <w:multiLevelType w:val="hybridMultilevel"/>
    <w:tmpl w:val="A95A71A0"/>
    <w:name w:val="Dash 12"/>
    <w:lvl w:ilvl="0" w:tplc="9FB21E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495604"/>
    <w:multiLevelType w:val="multilevel"/>
    <w:tmpl w:val="9F60CF46"/>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3"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4" w15:restartNumberingAfterBreak="0">
    <w:nsid w:val="0FF73AA6"/>
    <w:multiLevelType w:val="hybridMultilevel"/>
    <w:tmpl w:val="5C68997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5" w15:restartNumberingAfterBreak="0">
    <w:nsid w:val="199B0BCF"/>
    <w:multiLevelType w:val="hybridMultilevel"/>
    <w:tmpl w:val="53DEC37A"/>
    <w:lvl w:ilvl="0" w:tplc="B704B7A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1AF322D2"/>
    <w:multiLevelType w:val="hybridMultilevel"/>
    <w:tmpl w:val="32DA29CA"/>
    <w:lvl w:ilvl="0" w:tplc="6510826E">
      <w:start w:val="3"/>
      <w:numFmt w:val="decimal"/>
      <w:lvlText w:val="%1."/>
      <w:lvlJc w:val="left"/>
      <w:pPr>
        <w:ind w:left="2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291A36"/>
    <w:multiLevelType w:val="hybridMultilevel"/>
    <w:tmpl w:val="75221916"/>
    <w:lvl w:ilvl="0" w:tplc="8280FF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9"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C172BD7"/>
    <w:multiLevelType w:val="hybridMultilevel"/>
    <w:tmpl w:val="0BDEAF64"/>
    <w:lvl w:ilvl="0" w:tplc="C51A0B0E">
      <w:start w:val="1"/>
      <w:numFmt w:val="decimal"/>
      <w:lvlText w:val="%1."/>
      <w:lvlJc w:val="left"/>
      <w:pPr>
        <w:ind w:left="2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12" w15:restartNumberingAfterBreak="0">
    <w:nsid w:val="2F296E77"/>
    <w:multiLevelType w:val="multilevel"/>
    <w:tmpl w:val="6C30D01A"/>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13" w15:restartNumberingAfterBreak="0">
    <w:nsid w:val="30A27230"/>
    <w:multiLevelType w:val="multilevel"/>
    <w:tmpl w:val="DFF69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A602DD"/>
    <w:multiLevelType w:val="multilevel"/>
    <w:tmpl w:val="954AA234"/>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DCC3E34"/>
    <w:multiLevelType w:val="hybridMultilevel"/>
    <w:tmpl w:val="23DC2A42"/>
    <w:lvl w:ilvl="0" w:tplc="340E6A1E">
      <w:start w:val="4"/>
      <w:numFmt w:val="decimal"/>
      <w:lvlText w:val="%1."/>
      <w:lvlJc w:val="left"/>
      <w:pPr>
        <w:ind w:left="2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CC621E"/>
    <w:multiLevelType w:val="singleLevel"/>
    <w:tmpl w:val="2CD8C9DC"/>
    <w:name w:val="Dash Equal 1"/>
    <w:lvl w:ilvl="0">
      <w:start w:val="1"/>
      <w:numFmt w:val="bullet"/>
      <w:lvlRestart w:val="0"/>
      <w:pStyle w:val="DashEqual1"/>
      <w:lvlText w:val="="/>
      <w:lvlJc w:val="left"/>
      <w:pPr>
        <w:tabs>
          <w:tab w:val="num" w:pos="993"/>
        </w:tabs>
        <w:ind w:left="993" w:hanging="567"/>
      </w:pPr>
    </w:lvl>
  </w:abstractNum>
  <w:abstractNum w:abstractNumId="17" w15:restartNumberingAfterBreak="0">
    <w:nsid w:val="4F4B29D0"/>
    <w:multiLevelType w:val="hybridMultilevel"/>
    <w:tmpl w:val="B6F8D3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9" w15:restartNumberingAfterBreak="0">
    <w:nsid w:val="524265F9"/>
    <w:multiLevelType w:val="hybridMultilevel"/>
    <w:tmpl w:val="E662C5A4"/>
    <w:lvl w:ilvl="0" w:tplc="5B487196">
      <w:start w:val="1"/>
      <w:numFmt w:val="lowerLetter"/>
      <w:lvlText w:val="%1)"/>
      <w:lvlJc w:val="left"/>
      <w:pPr>
        <w:ind w:left="284"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7346D7"/>
    <w:multiLevelType w:val="hybridMultilevel"/>
    <w:tmpl w:val="90989694"/>
    <w:lvl w:ilvl="0" w:tplc="82AEF72A">
      <w:start w:val="1"/>
      <w:numFmt w:val="decimal"/>
      <w:lvlText w:val="%1."/>
      <w:lvlJc w:val="left"/>
      <w:pPr>
        <w:ind w:left="284" w:hanging="360"/>
      </w:pPr>
      <w:rPr>
        <w:rFonts w:hint="default"/>
        <w:b/>
        <w:i w:val="0"/>
      </w:rPr>
    </w:lvl>
    <w:lvl w:ilvl="1" w:tplc="04270019">
      <w:start w:val="1"/>
      <w:numFmt w:val="lowerLetter"/>
      <w:lvlText w:val="%2."/>
      <w:lvlJc w:val="left"/>
      <w:pPr>
        <w:ind w:left="1440" w:hanging="360"/>
      </w:pPr>
    </w:lvl>
    <w:lvl w:ilvl="2" w:tplc="F0D80E5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661D5"/>
    <w:multiLevelType w:val="hybridMultilevel"/>
    <w:tmpl w:val="C19649C0"/>
    <w:lvl w:ilvl="0" w:tplc="5DFCE9D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5BE35877"/>
    <w:multiLevelType w:val="hybridMultilevel"/>
    <w:tmpl w:val="794CEB00"/>
    <w:lvl w:ilvl="0" w:tplc="259C5C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C32302E"/>
    <w:multiLevelType w:val="hybridMultilevel"/>
    <w:tmpl w:val="3676A4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1B12C1"/>
    <w:multiLevelType w:val="hybridMultilevel"/>
    <w:tmpl w:val="4D646ACE"/>
    <w:lvl w:ilvl="0" w:tplc="AB567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6" w15:restartNumberingAfterBreak="0">
    <w:nsid w:val="5E8D1B55"/>
    <w:multiLevelType w:val="hybridMultilevel"/>
    <w:tmpl w:val="0414EB80"/>
    <w:lvl w:ilvl="0" w:tplc="04270017">
      <w:start w:val="1"/>
      <w:numFmt w:val="lowerLetter"/>
      <w:lvlText w:val="%1)"/>
      <w:lvlJc w:val="left"/>
      <w:pPr>
        <w:ind w:left="1800" w:hanging="360"/>
      </w:pPr>
    </w:lvl>
    <w:lvl w:ilvl="1" w:tplc="20CA35A8">
      <w:numFmt w:val="bullet"/>
      <w:lvlText w:val="·"/>
      <w:lvlJc w:val="left"/>
      <w:pPr>
        <w:ind w:left="2520" w:hanging="360"/>
      </w:pPr>
      <w:rPr>
        <w:rFonts w:ascii="Times New Roman" w:eastAsia="Times New Roman" w:hAnsi="Times New Roman" w:cs="Times New Roman" w:hint="default"/>
      </w:r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61DC0AA2"/>
    <w:multiLevelType w:val="hybridMultilevel"/>
    <w:tmpl w:val="45E6F3EA"/>
    <w:lvl w:ilvl="0" w:tplc="AA46EE3A">
      <w:start w:val="5"/>
      <w:numFmt w:val="decimal"/>
      <w:lvlText w:val="%1."/>
      <w:lvlJc w:val="left"/>
      <w:pPr>
        <w:ind w:left="2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29" w15:restartNumberingAfterBreak="0">
    <w:nsid w:val="6D035FCF"/>
    <w:multiLevelType w:val="hybridMultilevel"/>
    <w:tmpl w:val="6B4CE132"/>
    <w:lvl w:ilvl="0" w:tplc="20BE6E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27C3F47"/>
    <w:multiLevelType w:val="hybridMultilevel"/>
    <w:tmpl w:val="AF64454C"/>
    <w:lvl w:ilvl="0" w:tplc="AA46EE3A">
      <w:start w:val="5"/>
      <w:numFmt w:val="decimal"/>
      <w:lvlText w:val="%1."/>
      <w:lvlJc w:val="left"/>
      <w:pPr>
        <w:ind w:left="-76" w:hanging="360"/>
      </w:pPr>
      <w:rPr>
        <w:rFonts w:hint="default"/>
        <w:b/>
        <w:i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2" w15:restartNumberingAfterBreak="0">
    <w:nsid w:val="79A217DC"/>
    <w:multiLevelType w:val="hybridMultilevel"/>
    <w:tmpl w:val="0108D58E"/>
    <w:lvl w:ilvl="0" w:tplc="82AEF72A">
      <w:start w:val="1"/>
      <w:numFmt w:val="decimal"/>
      <w:lvlText w:val="%1."/>
      <w:lvlJc w:val="left"/>
      <w:pPr>
        <w:ind w:left="284" w:hanging="360"/>
      </w:pPr>
      <w:rPr>
        <w:rFonts w:hint="default"/>
        <w:b/>
        <w:i w:val="0"/>
      </w:rPr>
    </w:lvl>
    <w:lvl w:ilvl="1" w:tplc="04270017">
      <w:start w:val="1"/>
      <w:numFmt w:val="lowerLetter"/>
      <w:lvlText w:val="%2)"/>
      <w:lvlJc w:val="left"/>
      <w:pPr>
        <w:ind w:left="1440" w:hanging="360"/>
      </w:pPr>
    </w:lvl>
    <w:lvl w:ilvl="2" w:tplc="F0D80E50">
      <w:start w:val="1"/>
      <w:numFmt w:val="lowerLetter"/>
      <w:lvlText w:val="%3)"/>
      <w:lvlJc w:val="left"/>
      <w:pPr>
        <w:ind w:left="2400" w:hanging="4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2F0137"/>
    <w:multiLevelType w:val="hybridMultilevel"/>
    <w:tmpl w:val="F8D8141E"/>
    <w:lvl w:ilvl="0" w:tplc="56824504">
      <w:start w:val="1"/>
      <w:numFmt w:val="bullet"/>
      <w:lvlText w:val="-"/>
      <w:lvlJc w:val="left"/>
      <w:pPr>
        <w:ind w:left="1069" w:hanging="360"/>
      </w:pPr>
      <w:rPr>
        <w:rFonts w:ascii="Times New Roman" w:eastAsia="Times New Roman" w:hAnsi="Times New Roman" w:cs="Times New Roman" w:hint="default"/>
        <w:b w:val="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31"/>
  </w:num>
  <w:num w:numId="2">
    <w:abstractNumId w:val="11"/>
  </w:num>
  <w:num w:numId="3">
    <w:abstractNumId w:val="3"/>
  </w:num>
  <w:num w:numId="4">
    <w:abstractNumId w:val="12"/>
  </w:num>
  <w:num w:numId="5">
    <w:abstractNumId w:val="14"/>
  </w:num>
  <w:num w:numId="6">
    <w:abstractNumId w:val="28"/>
  </w:num>
  <w:num w:numId="7">
    <w:abstractNumId w:val="16"/>
  </w:num>
  <w:num w:numId="8">
    <w:abstractNumId w:val="8"/>
  </w:num>
  <w:num w:numId="9">
    <w:abstractNumId w:val="18"/>
  </w:num>
  <w:num w:numId="10">
    <w:abstractNumId w:val="9"/>
  </w:num>
  <w:num w:numId="11">
    <w:abstractNumId w:val="24"/>
  </w:num>
  <w:num w:numId="12">
    <w:abstractNumId w:val="7"/>
  </w:num>
  <w:num w:numId="13">
    <w:abstractNumId w:val="29"/>
  </w:num>
  <w:num w:numId="14">
    <w:abstractNumId w:val="33"/>
  </w:num>
  <w:num w:numId="15">
    <w:abstractNumId w:val="22"/>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
  </w:num>
  <w:num w:numId="21">
    <w:abstractNumId w:val="32"/>
  </w:num>
  <w:num w:numId="22">
    <w:abstractNumId w:val="26"/>
  </w:num>
  <w:num w:numId="23">
    <w:abstractNumId w:val="6"/>
  </w:num>
  <w:num w:numId="24">
    <w:abstractNumId w:val="15"/>
  </w:num>
  <w:num w:numId="25">
    <w:abstractNumId w:val="19"/>
  </w:num>
  <w:num w:numId="26">
    <w:abstractNumId w:val="27"/>
  </w:num>
  <w:num w:numId="27">
    <w:abstractNumId w:val="0"/>
  </w:num>
  <w:num w:numId="28">
    <w:abstractNumId w:val="25"/>
  </w:num>
  <w:num w:numId="29">
    <w:abstractNumId w:val="2"/>
  </w:num>
  <w:num w:numId="30">
    <w:abstractNumId w:val="30"/>
  </w:num>
  <w:num w:numId="31">
    <w:abstractNumId w:val="17"/>
  </w:num>
  <w:num w:numId="32">
    <w:abstractNumId w:val="23"/>
  </w:num>
  <w:num w:numId="33">
    <w:abstractNumId w:val="4"/>
  </w:num>
  <w:num w:numId="3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15"/>
    <w:rsid w:val="00003EBC"/>
    <w:rsid w:val="000068E2"/>
    <w:rsid w:val="00010D5C"/>
    <w:rsid w:val="000122BA"/>
    <w:rsid w:val="00012978"/>
    <w:rsid w:val="0001321F"/>
    <w:rsid w:val="00022AAD"/>
    <w:rsid w:val="000245AF"/>
    <w:rsid w:val="00027970"/>
    <w:rsid w:val="000356B3"/>
    <w:rsid w:val="00035DE5"/>
    <w:rsid w:val="00035F92"/>
    <w:rsid w:val="000401C7"/>
    <w:rsid w:val="000412AB"/>
    <w:rsid w:val="00043A16"/>
    <w:rsid w:val="00046DE2"/>
    <w:rsid w:val="00046DE7"/>
    <w:rsid w:val="0005177C"/>
    <w:rsid w:val="0005245A"/>
    <w:rsid w:val="000537C0"/>
    <w:rsid w:val="00056C28"/>
    <w:rsid w:val="0005701B"/>
    <w:rsid w:val="00061CB3"/>
    <w:rsid w:val="00065C32"/>
    <w:rsid w:val="000676BF"/>
    <w:rsid w:val="00080E20"/>
    <w:rsid w:val="00081C76"/>
    <w:rsid w:val="00084E9C"/>
    <w:rsid w:val="00086798"/>
    <w:rsid w:val="000874FD"/>
    <w:rsid w:val="00091170"/>
    <w:rsid w:val="00091E62"/>
    <w:rsid w:val="00093310"/>
    <w:rsid w:val="00094709"/>
    <w:rsid w:val="000A2524"/>
    <w:rsid w:val="000A3FB2"/>
    <w:rsid w:val="000A5F81"/>
    <w:rsid w:val="000B2B04"/>
    <w:rsid w:val="000B2E84"/>
    <w:rsid w:val="000C0288"/>
    <w:rsid w:val="000C06CE"/>
    <w:rsid w:val="000C117C"/>
    <w:rsid w:val="000C15DF"/>
    <w:rsid w:val="000C1CF1"/>
    <w:rsid w:val="000C5109"/>
    <w:rsid w:val="000C7C6C"/>
    <w:rsid w:val="000D01BE"/>
    <w:rsid w:val="000D3B84"/>
    <w:rsid w:val="000E3DC9"/>
    <w:rsid w:val="000F3B1E"/>
    <w:rsid w:val="00107417"/>
    <w:rsid w:val="00107C43"/>
    <w:rsid w:val="00112477"/>
    <w:rsid w:val="00114FFC"/>
    <w:rsid w:val="00115E4E"/>
    <w:rsid w:val="00121613"/>
    <w:rsid w:val="00124BFC"/>
    <w:rsid w:val="00125E66"/>
    <w:rsid w:val="0012645B"/>
    <w:rsid w:val="00126D3D"/>
    <w:rsid w:val="00131D38"/>
    <w:rsid w:val="00132013"/>
    <w:rsid w:val="001326B6"/>
    <w:rsid w:val="00134014"/>
    <w:rsid w:val="00137754"/>
    <w:rsid w:val="00137A05"/>
    <w:rsid w:val="001401E6"/>
    <w:rsid w:val="00140F2B"/>
    <w:rsid w:val="0014761D"/>
    <w:rsid w:val="00152661"/>
    <w:rsid w:val="00152E49"/>
    <w:rsid w:val="00166FED"/>
    <w:rsid w:val="001820D1"/>
    <w:rsid w:val="001911FC"/>
    <w:rsid w:val="00192C22"/>
    <w:rsid w:val="001A2971"/>
    <w:rsid w:val="001A4ECA"/>
    <w:rsid w:val="001B227F"/>
    <w:rsid w:val="001C4A10"/>
    <w:rsid w:val="001C6272"/>
    <w:rsid w:val="001C6E35"/>
    <w:rsid w:val="001C7BC0"/>
    <w:rsid w:val="001D092E"/>
    <w:rsid w:val="001D2E15"/>
    <w:rsid w:val="001E1FB6"/>
    <w:rsid w:val="001E36D6"/>
    <w:rsid w:val="001E4F98"/>
    <w:rsid w:val="001E5226"/>
    <w:rsid w:val="001E52C2"/>
    <w:rsid w:val="001F072C"/>
    <w:rsid w:val="001F1179"/>
    <w:rsid w:val="001F37FE"/>
    <w:rsid w:val="002051E6"/>
    <w:rsid w:val="00213F4C"/>
    <w:rsid w:val="0022025D"/>
    <w:rsid w:val="00224873"/>
    <w:rsid w:val="0022784D"/>
    <w:rsid w:val="00231B43"/>
    <w:rsid w:val="00234045"/>
    <w:rsid w:val="00243F66"/>
    <w:rsid w:val="00251FE2"/>
    <w:rsid w:val="002544FD"/>
    <w:rsid w:val="00256B96"/>
    <w:rsid w:val="00260FEF"/>
    <w:rsid w:val="002618F4"/>
    <w:rsid w:val="00261DD1"/>
    <w:rsid w:val="00272805"/>
    <w:rsid w:val="00274A64"/>
    <w:rsid w:val="00275B74"/>
    <w:rsid w:val="002803D8"/>
    <w:rsid w:val="00280552"/>
    <w:rsid w:val="00282B85"/>
    <w:rsid w:val="0029241A"/>
    <w:rsid w:val="002952B8"/>
    <w:rsid w:val="00296E6E"/>
    <w:rsid w:val="00297B20"/>
    <w:rsid w:val="002A0404"/>
    <w:rsid w:val="002A5169"/>
    <w:rsid w:val="002A61A5"/>
    <w:rsid w:val="002A67C1"/>
    <w:rsid w:val="002A767D"/>
    <w:rsid w:val="002B0260"/>
    <w:rsid w:val="002B499D"/>
    <w:rsid w:val="002C2AF5"/>
    <w:rsid w:val="002C3767"/>
    <w:rsid w:val="002C4192"/>
    <w:rsid w:val="002C45BE"/>
    <w:rsid w:val="002C63BB"/>
    <w:rsid w:val="002C7004"/>
    <w:rsid w:val="002D0068"/>
    <w:rsid w:val="002D0FD9"/>
    <w:rsid w:val="002D2F07"/>
    <w:rsid w:val="003015B1"/>
    <w:rsid w:val="00305C78"/>
    <w:rsid w:val="00310106"/>
    <w:rsid w:val="0031286D"/>
    <w:rsid w:val="003139B4"/>
    <w:rsid w:val="003140FA"/>
    <w:rsid w:val="003210B6"/>
    <w:rsid w:val="00322193"/>
    <w:rsid w:val="00327293"/>
    <w:rsid w:val="0033182F"/>
    <w:rsid w:val="003320B4"/>
    <w:rsid w:val="00332EF2"/>
    <w:rsid w:val="003406DF"/>
    <w:rsid w:val="0034643D"/>
    <w:rsid w:val="003465DE"/>
    <w:rsid w:val="00346884"/>
    <w:rsid w:val="0035137E"/>
    <w:rsid w:val="003565CE"/>
    <w:rsid w:val="003566B1"/>
    <w:rsid w:val="003567AA"/>
    <w:rsid w:val="00362638"/>
    <w:rsid w:val="003629A2"/>
    <w:rsid w:val="00366CA6"/>
    <w:rsid w:val="0036704F"/>
    <w:rsid w:val="003734D5"/>
    <w:rsid w:val="00377282"/>
    <w:rsid w:val="0038214E"/>
    <w:rsid w:val="00390888"/>
    <w:rsid w:val="00395A8C"/>
    <w:rsid w:val="003966ED"/>
    <w:rsid w:val="00396E46"/>
    <w:rsid w:val="003A2A5A"/>
    <w:rsid w:val="003A4BAA"/>
    <w:rsid w:val="003B3699"/>
    <w:rsid w:val="003B6462"/>
    <w:rsid w:val="003C1A07"/>
    <w:rsid w:val="003C35A9"/>
    <w:rsid w:val="003C4C6B"/>
    <w:rsid w:val="003D1710"/>
    <w:rsid w:val="003D2A18"/>
    <w:rsid w:val="003D6C51"/>
    <w:rsid w:val="003E12A3"/>
    <w:rsid w:val="003E2E70"/>
    <w:rsid w:val="003E7127"/>
    <w:rsid w:val="003F2C4D"/>
    <w:rsid w:val="003F3284"/>
    <w:rsid w:val="004018EC"/>
    <w:rsid w:val="0040198F"/>
    <w:rsid w:val="00401EE6"/>
    <w:rsid w:val="00405859"/>
    <w:rsid w:val="00411D6B"/>
    <w:rsid w:val="004123D0"/>
    <w:rsid w:val="0041510D"/>
    <w:rsid w:val="0042755E"/>
    <w:rsid w:val="00427EB4"/>
    <w:rsid w:val="0043536E"/>
    <w:rsid w:val="0045327A"/>
    <w:rsid w:val="00453830"/>
    <w:rsid w:val="00455228"/>
    <w:rsid w:val="004553BA"/>
    <w:rsid w:val="0046210E"/>
    <w:rsid w:val="004626F2"/>
    <w:rsid w:val="00462873"/>
    <w:rsid w:val="0046593D"/>
    <w:rsid w:val="00470988"/>
    <w:rsid w:val="004765D3"/>
    <w:rsid w:val="00484A74"/>
    <w:rsid w:val="00486402"/>
    <w:rsid w:val="004A3BC6"/>
    <w:rsid w:val="004A3E24"/>
    <w:rsid w:val="004B0B6F"/>
    <w:rsid w:val="004B1896"/>
    <w:rsid w:val="004B25EA"/>
    <w:rsid w:val="004D16BC"/>
    <w:rsid w:val="004D6418"/>
    <w:rsid w:val="004D6C5F"/>
    <w:rsid w:val="004E21BF"/>
    <w:rsid w:val="004E2B5F"/>
    <w:rsid w:val="004E48B7"/>
    <w:rsid w:val="004E6335"/>
    <w:rsid w:val="004E6595"/>
    <w:rsid w:val="004F22F4"/>
    <w:rsid w:val="004F24F2"/>
    <w:rsid w:val="004F2E38"/>
    <w:rsid w:val="004F7F76"/>
    <w:rsid w:val="005007A8"/>
    <w:rsid w:val="0050112D"/>
    <w:rsid w:val="00504E9C"/>
    <w:rsid w:val="005068D9"/>
    <w:rsid w:val="005143A4"/>
    <w:rsid w:val="00515513"/>
    <w:rsid w:val="005205AA"/>
    <w:rsid w:val="0052229C"/>
    <w:rsid w:val="005225BA"/>
    <w:rsid w:val="00542948"/>
    <w:rsid w:val="005440BA"/>
    <w:rsid w:val="00550FFD"/>
    <w:rsid w:val="00553BA2"/>
    <w:rsid w:val="00565861"/>
    <w:rsid w:val="00565BEE"/>
    <w:rsid w:val="00566D75"/>
    <w:rsid w:val="005709BF"/>
    <w:rsid w:val="00571100"/>
    <w:rsid w:val="0057370A"/>
    <w:rsid w:val="00574A8F"/>
    <w:rsid w:val="005768F5"/>
    <w:rsid w:val="00576E7C"/>
    <w:rsid w:val="0057735C"/>
    <w:rsid w:val="00584CA5"/>
    <w:rsid w:val="00585D95"/>
    <w:rsid w:val="00587858"/>
    <w:rsid w:val="0059295F"/>
    <w:rsid w:val="005A36FF"/>
    <w:rsid w:val="005A5AF1"/>
    <w:rsid w:val="005A5B51"/>
    <w:rsid w:val="005B17FF"/>
    <w:rsid w:val="005B3F26"/>
    <w:rsid w:val="005B4FC8"/>
    <w:rsid w:val="005B7588"/>
    <w:rsid w:val="005C08BB"/>
    <w:rsid w:val="005C325E"/>
    <w:rsid w:val="005D5902"/>
    <w:rsid w:val="005E3226"/>
    <w:rsid w:val="005E5332"/>
    <w:rsid w:val="005E64AE"/>
    <w:rsid w:val="00603549"/>
    <w:rsid w:val="006101AB"/>
    <w:rsid w:val="00622F85"/>
    <w:rsid w:val="00623EA4"/>
    <w:rsid w:val="00630A78"/>
    <w:rsid w:val="00631EC0"/>
    <w:rsid w:val="00633243"/>
    <w:rsid w:val="00642002"/>
    <w:rsid w:val="00643001"/>
    <w:rsid w:val="006519D0"/>
    <w:rsid w:val="00652C08"/>
    <w:rsid w:val="0065412A"/>
    <w:rsid w:val="00655D37"/>
    <w:rsid w:val="00657625"/>
    <w:rsid w:val="00663076"/>
    <w:rsid w:val="00666863"/>
    <w:rsid w:val="006673A2"/>
    <w:rsid w:val="006674B0"/>
    <w:rsid w:val="00667AC0"/>
    <w:rsid w:val="00671456"/>
    <w:rsid w:val="006724ED"/>
    <w:rsid w:val="00675A51"/>
    <w:rsid w:val="006937CF"/>
    <w:rsid w:val="006967A2"/>
    <w:rsid w:val="00697056"/>
    <w:rsid w:val="006A10D1"/>
    <w:rsid w:val="006A5776"/>
    <w:rsid w:val="006B0529"/>
    <w:rsid w:val="006B61DC"/>
    <w:rsid w:val="006C0408"/>
    <w:rsid w:val="006C14E8"/>
    <w:rsid w:val="006C5300"/>
    <w:rsid w:val="006C61E1"/>
    <w:rsid w:val="006C73CD"/>
    <w:rsid w:val="006D04A7"/>
    <w:rsid w:val="006E1C5F"/>
    <w:rsid w:val="006E5801"/>
    <w:rsid w:val="006E7BBB"/>
    <w:rsid w:val="006F3B66"/>
    <w:rsid w:val="007004E0"/>
    <w:rsid w:val="0070673A"/>
    <w:rsid w:val="00716D1F"/>
    <w:rsid w:val="00720AA4"/>
    <w:rsid w:val="00722811"/>
    <w:rsid w:val="00727485"/>
    <w:rsid w:val="00730C3E"/>
    <w:rsid w:val="00731055"/>
    <w:rsid w:val="007335B2"/>
    <w:rsid w:val="007335D8"/>
    <w:rsid w:val="007369DB"/>
    <w:rsid w:val="00740705"/>
    <w:rsid w:val="0074286E"/>
    <w:rsid w:val="00746F35"/>
    <w:rsid w:val="00754FF1"/>
    <w:rsid w:val="00761A01"/>
    <w:rsid w:val="00770945"/>
    <w:rsid w:val="007717DE"/>
    <w:rsid w:val="007727EF"/>
    <w:rsid w:val="00773853"/>
    <w:rsid w:val="00783A2D"/>
    <w:rsid w:val="007915EF"/>
    <w:rsid w:val="00791E80"/>
    <w:rsid w:val="007961D6"/>
    <w:rsid w:val="00796A5B"/>
    <w:rsid w:val="007A3DFB"/>
    <w:rsid w:val="007A5EA4"/>
    <w:rsid w:val="007B2256"/>
    <w:rsid w:val="007C067C"/>
    <w:rsid w:val="007C3404"/>
    <w:rsid w:val="007C45A5"/>
    <w:rsid w:val="007C6D8A"/>
    <w:rsid w:val="007D16BB"/>
    <w:rsid w:val="007E167B"/>
    <w:rsid w:val="007E31F7"/>
    <w:rsid w:val="007F0118"/>
    <w:rsid w:val="007F3768"/>
    <w:rsid w:val="007F44B9"/>
    <w:rsid w:val="00810CE6"/>
    <w:rsid w:val="008169B3"/>
    <w:rsid w:val="00831B18"/>
    <w:rsid w:val="00835791"/>
    <w:rsid w:val="00835860"/>
    <w:rsid w:val="008363CA"/>
    <w:rsid w:val="00837E3B"/>
    <w:rsid w:val="00842189"/>
    <w:rsid w:val="0084335D"/>
    <w:rsid w:val="00844533"/>
    <w:rsid w:val="0085236B"/>
    <w:rsid w:val="00871AE1"/>
    <w:rsid w:val="00872D7A"/>
    <w:rsid w:val="008761C6"/>
    <w:rsid w:val="00876216"/>
    <w:rsid w:val="00886B96"/>
    <w:rsid w:val="0088779D"/>
    <w:rsid w:val="00887959"/>
    <w:rsid w:val="008917AE"/>
    <w:rsid w:val="0089325A"/>
    <w:rsid w:val="00894F08"/>
    <w:rsid w:val="008965A1"/>
    <w:rsid w:val="008A3F7D"/>
    <w:rsid w:val="008A6C1B"/>
    <w:rsid w:val="008A7585"/>
    <w:rsid w:val="008B0568"/>
    <w:rsid w:val="008B402A"/>
    <w:rsid w:val="008B5A4B"/>
    <w:rsid w:val="008C1E1F"/>
    <w:rsid w:val="008C32BD"/>
    <w:rsid w:val="008C5359"/>
    <w:rsid w:val="008D4FD4"/>
    <w:rsid w:val="008D6563"/>
    <w:rsid w:val="008D6E4C"/>
    <w:rsid w:val="008E24DB"/>
    <w:rsid w:val="008E5A27"/>
    <w:rsid w:val="008E5C13"/>
    <w:rsid w:val="008F3355"/>
    <w:rsid w:val="00900DC1"/>
    <w:rsid w:val="009027CD"/>
    <w:rsid w:val="00911458"/>
    <w:rsid w:val="00911FDF"/>
    <w:rsid w:val="009132A8"/>
    <w:rsid w:val="00930E8C"/>
    <w:rsid w:val="00935218"/>
    <w:rsid w:val="00936937"/>
    <w:rsid w:val="00945F34"/>
    <w:rsid w:val="00946875"/>
    <w:rsid w:val="00946EFD"/>
    <w:rsid w:val="00956DCE"/>
    <w:rsid w:val="00956DD6"/>
    <w:rsid w:val="009605B1"/>
    <w:rsid w:val="00972DB5"/>
    <w:rsid w:val="009824C7"/>
    <w:rsid w:val="00986BDB"/>
    <w:rsid w:val="009918A3"/>
    <w:rsid w:val="00991A31"/>
    <w:rsid w:val="009921CF"/>
    <w:rsid w:val="00992213"/>
    <w:rsid w:val="0099769A"/>
    <w:rsid w:val="009A1948"/>
    <w:rsid w:val="009A2841"/>
    <w:rsid w:val="009A700A"/>
    <w:rsid w:val="009A7933"/>
    <w:rsid w:val="009B2D0A"/>
    <w:rsid w:val="009B51B0"/>
    <w:rsid w:val="009B6981"/>
    <w:rsid w:val="009C6E7F"/>
    <w:rsid w:val="009D5D51"/>
    <w:rsid w:val="009D64D2"/>
    <w:rsid w:val="009D75BE"/>
    <w:rsid w:val="009E242A"/>
    <w:rsid w:val="009E24C7"/>
    <w:rsid w:val="009F6881"/>
    <w:rsid w:val="00A046BD"/>
    <w:rsid w:val="00A077B9"/>
    <w:rsid w:val="00A131D9"/>
    <w:rsid w:val="00A14A01"/>
    <w:rsid w:val="00A17173"/>
    <w:rsid w:val="00A20608"/>
    <w:rsid w:val="00A227F8"/>
    <w:rsid w:val="00A24686"/>
    <w:rsid w:val="00A26FC1"/>
    <w:rsid w:val="00A27DE2"/>
    <w:rsid w:val="00A27EB0"/>
    <w:rsid w:val="00A32DAA"/>
    <w:rsid w:val="00A365F6"/>
    <w:rsid w:val="00A42F58"/>
    <w:rsid w:val="00A460E5"/>
    <w:rsid w:val="00A52B77"/>
    <w:rsid w:val="00A56444"/>
    <w:rsid w:val="00A57C22"/>
    <w:rsid w:val="00A6522C"/>
    <w:rsid w:val="00A66C98"/>
    <w:rsid w:val="00A71029"/>
    <w:rsid w:val="00A9207C"/>
    <w:rsid w:val="00A948E0"/>
    <w:rsid w:val="00A95BD6"/>
    <w:rsid w:val="00A9768B"/>
    <w:rsid w:val="00AA05A0"/>
    <w:rsid w:val="00AA6AB3"/>
    <w:rsid w:val="00AA745F"/>
    <w:rsid w:val="00AA7532"/>
    <w:rsid w:val="00AB15C4"/>
    <w:rsid w:val="00AB34C1"/>
    <w:rsid w:val="00AB73FD"/>
    <w:rsid w:val="00AD2BE4"/>
    <w:rsid w:val="00AD6682"/>
    <w:rsid w:val="00AD7811"/>
    <w:rsid w:val="00AE6445"/>
    <w:rsid w:val="00AF02B6"/>
    <w:rsid w:val="00AF27CB"/>
    <w:rsid w:val="00AF3E4F"/>
    <w:rsid w:val="00AF5285"/>
    <w:rsid w:val="00AF645A"/>
    <w:rsid w:val="00AF68EC"/>
    <w:rsid w:val="00B075E8"/>
    <w:rsid w:val="00B1141A"/>
    <w:rsid w:val="00B27042"/>
    <w:rsid w:val="00B31047"/>
    <w:rsid w:val="00B31E37"/>
    <w:rsid w:val="00B32054"/>
    <w:rsid w:val="00B3752C"/>
    <w:rsid w:val="00B40A45"/>
    <w:rsid w:val="00B4273A"/>
    <w:rsid w:val="00B42DC1"/>
    <w:rsid w:val="00B44D8D"/>
    <w:rsid w:val="00B50AF6"/>
    <w:rsid w:val="00B51072"/>
    <w:rsid w:val="00B53200"/>
    <w:rsid w:val="00B532A2"/>
    <w:rsid w:val="00B53FD5"/>
    <w:rsid w:val="00B617DF"/>
    <w:rsid w:val="00B72CA0"/>
    <w:rsid w:val="00B73CCB"/>
    <w:rsid w:val="00B73EBC"/>
    <w:rsid w:val="00B75DAD"/>
    <w:rsid w:val="00B84944"/>
    <w:rsid w:val="00B90725"/>
    <w:rsid w:val="00B908BC"/>
    <w:rsid w:val="00B969DE"/>
    <w:rsid w:val="00B97FC3"/>
    <w:rsid w:val="00BB0F1E"/>
    <w:rsid w:val="00BD0722"/>
    <w:rsid w:val="00BE1906"/>
    <w:rsid w:val="00BE1D7A"/>
    <w:rsid w:val="00BE3FC5"/>
    <w:rsid w:val="00BE574F"/>
    <w:rsid w:val="00BF5011"/>
    <w:rsid w:val="00C005D7"/>
    <w:rsid w:val="00C00A33"/>
    <w:rsid w:val="00C05F66"/>
    <w:rsid w:val="00C06FD7"/>
    <w:rsid w:val="00C129F6"/>
    <w:rsid w:val="00C12ACA"/>
    <w:rsid w:val="00C23693"/>
    <w:rsid w:val="00C236BB"/>
    <w:rsid w:val="00C24B46"/>
    <w:rsid w:val="00C36CB4"/>
    <w:rsid w:val="00C42C13"/>
    <w:rsid w:val="00C44F14"/>
    <w:rsid w:val="00C451EC"/>
    <w:rsid w:val="00C5068E"/>
    <w:rsid w:val="00C50854"/>
    <w:rsid w:val="00C52481"/>
    <w:rsid w:val="00C651FB"/>
    <w:rsid w:val="00C65C3C"/>
    <w:rsid w:val="00C661CD"/>
    <w:rsid w:val="00C67684"/>
    <w:rsid w:val="00C71EE8"/>
    <w:rsid w:val="00C81907"/>
    <w:rsid w:val="00C86B83"/>
    <w:rsid w:val="00C9439A"/>
    <w:rsid w:val="00CB0A62"/>
    <w:rsid w:val="00CB3ABD"/>
    <w:rsid w:val="00CB4A8E"/>
    <w:rsid w:val="00CC24F2"/>
    <w:rsid w:val="00CC5E3B"/>
    <w:rsid w:val="00CD3515"/>
    <w:rsid w:val="00CD35E4"/>
    <w:rsid w:val="00CD5E6B"/>
    <w:rsid w:val="00CE1856"/>
    <w:rsid w:val="00CE4EAF"/>
    <w:rsid w:val="00CF3F78"/>
    <w:rsid w:val="00D01AB9"/>
    <w:rsid w:val="00D10E2B"/>
    <w:rsid w:val="00D11179"/>
    <w:rsid w:val="00D14B99"/>
    <w:rsid w:val="00D17A1C"/>
    <w:rsid w:val="00D20358"/>
    <w:rsid w:val="00D25399"/>
    <w:rsid w:val="00D30C39"/>
    <w:rsid w:val="00D440D4"/>
    <w:rsid w:val="00D47249"/>
    <w:rsid w:val="00D5028C"/>
    <w:rsid w:val="00D535D4"/>
    <w:rsid w:val="00D554E0"/>
    <w:rsid w:val="00D611D8"/>
    <w:rsid w:val="00D617DB"/>
    <w:rsid w:val="00D625DF"/>
    <w:rsid w:val="00D626D5"/>
    <w:rsid w:val="00D7016A"/>
    <w:rsid w:val="00D732E8"/>
    <w:rsid w:val="00D7713E"/>
    <w:rsid w:val="00D91EA9"/>
    <w:rsid w:val="00D93935"/>
    <w:rsid w:val="00DA1D55"/>
    <w:rsid w:val="00DA2EF7"/>
    <w:rsid w:val="00DA37DC"/>
    <w:rsid w:val="00DA4706"/>
    <w:rsid w:val="00DA5D96"/>
    <w:rsid w:val="00DA6C46"/>
    <w:rsid w:val="00DA7AC3"/>
    <w:rsid w:val="00DB2F6A"/>
    <w:rsid w:val="00DC0F01"/>
    <w:rsid w:val="00DC290E"/>
    <w:rsid w:val="00DC7BA2"/>
    <w:rsid w:val="00DD2659"/>
    <w:rsid w:val="00DD6FA8"/>
    <w:rsid w:val="00DD7BB0"/>
    <w:rsid w:val="00DE52C7"/>
    <w:rsid w:val="00DE6601"/>
    <w:rsid w:val="00DF1415"/>
    <w:rsid w:val="00DF770B"/>
    <w:rsid w:val="00E03372"/>
    <w:rsid w:val="00E05BB4"/>
    <w:rsid w:val="00E1164D"/>
    <w:rsid w:val="00E133A1"/>
    <w:rsid w:val="00E23727"/>
    <w:rsid w:val="00E24969"/>
    <w:rsid w:val="00E24D87"/>
    <w:rsid w:val="00E32316"/>
    <w:rsid w:val="00E352B6"/>
    <w:rsid w:val="00E437F7"/>
    <w:rsid w:val="00E50D78"/>
    <w:rsid w:val="00E55369"/>
    <w:rsid w:val="00E604BB"/>
    <w:rsid w:val="00E758F1"/>
    <w:rsid w:val="00E76C6A"/>
    <w:rsid w:val="00E8210F"/>
    <w:rsid w:val="00E843E9"/>
    <w:rsid w:val="00E845B7"/>
    <w:rsid w:val="00E8567F"/>
    <w:rsid w:val="00E8622D"/>
    <w:rsid w:val="00E90B67"/>
    <w:rsid w:val="00E91E8B"/>
    <w:rsid w:val="00E92E80"/>
    <w:rsid w:val="00E97235"/>
    <w:rsid w:val="00E9742D"/>
    <w:rsid w:val="00EA2DFC"/>
    <w:rsid w:val="00EA3374"/>
    <w:rsid w:val="00EA4D24"/>
    <w:rsid w:val="00EA579C"/>
    <w:rsid w:val="00EA57C6"/>
    <w:rsid w:val="00EA70FE"/>
    <w:rsid w:val="00EB2298"/>
    <w:rsid w:val="00EB25EB"/>
    <w:rsid w:val="00EB6398"/>
    <w:rsid w:val="00EC3650"/>
    <w:rsid w:val="00ED37FC"/>
    <w:rsid w:val="00EE1E4F"/>
    <w:rsid w:val="00EE3212"/>
    <w:rsid w:val="00EF41CA"/>
    <w:rsid w:val="00EF6472"/>
    <w:rsid w:val="00EF6C2C"/>
    <w:rsid w:val="00EF7C5D"/>
    <w:rsid w:val="00F01765"/>
    <w:rsid w:val="00F026C1"/>
    <w:rsid w:val="00F07B43"/>
    <w:rsid w:val="00F154D6"/>
    <w:rsid w:val="00F175A9"/>
    <w:rsid w:val="00F22FFB"/>
    <w:rsid w:val="00F23BDF"/>
    <w:rsid w:val="00F26F6E"/>
    <w:rsid w:val="00F30D77"/>
    <w:rsid w:val="00F32001"/>
    <w:rsid w:val="00F34FD5"/>
    <w:rsid w:val="00F37096"/>
    <w:rsid w:val="00F418FB"/>
    <w:rsid w:val="00F41997"/>
    <w:rsid w:val="00F554FF"/>
    <w:rsid w:val="00F55FEB"/>
    <w:rsid w:val="00F56CE0"/>
    <w:rsid w:val="00F56FF6"/>
    <w:rsid w:val="00F659BC"/>
    <w:rsid w:val="00F72486"/>
    <w:rsid w:val="00F857F8"/>
    <w:rsid w:val="00F91415"/>
    <w:rsid w:val="00F921C1"/>
    <w:rsid w:val="00F932E6"/>
    <w:rsid w:val="00FA04EA"/>
    <w:rsid w:val="00FA3676"/>
    <w:rsid w:val="00FA6519"/>
    <w:rsid w:val="00FB36A4"/>
    <w:rsid w:val="00FB652B"/>
    <w:rsid w:val="00FD037B"/>
    <w:rsid w:val="00FD06C0"/>
    <w:rsid w:val="00FD3A94"/>
    <w:rsid w:val="00FE09F4"/>
    <w:rsid w:val="00FE1285"/>
    <w:rsid w:val="00FF108B"/>
    <w:rsid w:val="00FF23AC"/>
    <w:rsid w:val="00FF4712"/>
    <w:rsid w:val="00FF5C74"/>
    <w:rsid w:val="0277AD24"/>
    <w:rsid w:val="7B68D7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03670"/>
  <w15:docId w15:val="{E69CBA2E-FBA3-43C5-BAE1-8DE42E5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locked="1"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41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99"/>
    <w:rsid w:val="00107C43"/>
    <w:pPr>
      <w:spacing w:after="200" w:line="276" w:lineRule="auto"/>
      <w:ind w:left="720"/>
      <w:contextualSpacing/>
    </w:pPr>
    <w:rPr>
      <w:rFonts w:ascii="Calibri" w:hAnsi="Calibri"/>
      <w:sz w:val="22"/>
      <w:szCs w:val="22"/>
      <w:lang w:val="en-US" w:eastAsia="en-US"/>
    </w:rPr>
  </w:style>
  <w:style w:type="character" w:styleId="Komentaronuoroda">
    <w:name w:val="annotation reference"/>
    <w:basedOn w:val="Numatytasispastraiposriftas"/>
    <w:uiPriority w:val="99"/>
    <w:semiHidden/>
    <w:rsid w:val="0057370A"/>
    <w:rPr>
      <w:rFonts w:cs="Times New Roman"/>
      <w:sz w:val="16"/>
    </w:rPr>
  </w:style>
  <w:style w:type="paragraph" w:styleId="Komentarotekstas">
    <w:name w:val="annotation text"/>
    <w:basedOn w:val="prastasis"/>
    <w:link w:val="KomentarotekstasDiagrama"/>
    <w:uiPriority w:val="99"/>
    <w:semiHidden/>
    <w:rsid w:val="0057370A"/>
    <w:rPr>
      <w:sz w:val="20"/>
      <w:szCs w:val="20"/>
    </w:rPr>
  </w:style>
  <w:style w:type="character" w:customStyle="1" w:styleId="KomentarotekstasDiagrama">
    <w:name w:val="Komentaro tekstas Diagrama"/>
    <w:basedOn w:val="Numatytasispastraiposriftas"/>
    <w:link w:val="Komentarotekstas"/>
    <w:uiPriority w:val="99"/>
    <w:semiHidden/>
    <w:locked/>
    <w:rsid w:val="009B2D0A"/>
    <w:rPr>
      <w:rFonts w:cs="Times New Roman"/>
    </w:rPr>
  </w:style>
  <w:style w:type="paragraph" w:styleId="Debesliotekstas">
    <w:name w:val="Balloon Text"/>
    <w:basedOn w:val="prastasis"/>
    <w:link w:val="DebesliotekstasDiagrama"/>
    <w:uiPriority w:val="99"/>
    <w:semiHidden/>
    <w:rsid w:val="005737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6F7B"/>
    <w:rPr>
      <w:sz w:val="0"/>
      <w:szCs w:val="0"/>
    </w:rPr>
  </w:style>
  <w:style w:type="character" w:styleId="Hipersaitas">
    <w:name w:val="Hyperlink"/>
    <w:basedOn w:val="Numatytasispastraiposriftas"/>
    <w:uiPriority w:val="99"/>
    <w:rsid w:val="005D5902"/>
    <w:rPr>
      <w:rFonts w:cs="Times New Roman"/>
      <w:color w:val="0000FF"/>
      <w:u w:val="single"/>
    </w:rPr>
  </w:style>
  <w:style w:type="paragraph" w:customStyle="1" w:styleId="PointManual">
    <w:name w:val="Point Manual"/>
    <w:basedOn w:val="prastasis"/>
    <w:uiPriority w:val="99"/>
    <w:rsid w:val="00AB15C4"/>
    <w:pPr>
      <w:spacing w:before="200"/>
      <w:ind w:left="567" w:hanging="567"/>
    </w:pPr>
  </w:style>
  <w:style w:type="paragraph" w:customStyle="1" w:styleId="Dash1">
    <w:name w:val="Dash 1"/>
    <w:basedOn w:val="prastasis"/>
    <w:uiPriority w:val="99"/>
    <w:rsid w:val="00AB15C4"/>
    <w:pPr>
      <w:numPr>
        <w:numId w:val="1"/>
      </w:numPr>
      <w:outlineLvl w:val="0"/>
    </w:pPr>
  </w:style>
  <w:style w:type="paragraph" w:customStyle="1" w:styleId="PointManual1">
    <w:name w:val="Point Manual (1)"/>
    <w:basedOn w:val="prastasis"/>
    <w:uiPriority w:val="99"/>
    <w:rsid w:val="00AB15C4"/>
    <w:pPr>
      <w:ind w:left="1134" w:hanging="567"/>
      <w:outlineLvl w:val="0"/>
    </w:pPr>
  </w:style>
  <w:style w:type="paragraph" w:customStyle="1" w:styleId="Dash2">
    <w:name w:val="Dash 2"/>
    <w:basedOn w:val="prastasis"/>
    <w:uiPriority w:val="99"/>
    <w:rsid w:val="00AB15C4"/>
    <w:pPr>
      <w:numPr>
        <w:numId w:val="2"/>
      </w:numPr>
      <w:outlineLvl w:val="1"/>
    </w:pPr>
  </w:style>
  <w:style w:type="paragraph" w:styleId="Antrats">
    <w:name w:val="header"/>
    <w:basedOn w:val="prastasis"/>
    <w:link w:val="AntratsDiagrama"/>
    <w:uiPriority w:val="99"/>
    <w:rsid w:val="00C42C13"/>
    <w:pPr>
      <w:tabs>
        <w:tab w:val="center" w:pos="4819"/>
        <w:tab w:val="right" w:pos="9638"/>
      </w:tabs>
    </w:pPr>
  </w:style>
  <w:style w:type="character" w:customStyle="1" w:styleId="AntratsDiagrama">
    <w:name w:val="Antraštės Diagrama"/>
    <w:basedOn w:val="Numatytasispastraiposriftas"/>
    <w:link w:val="Antrats"/>
    <w:uiPriority w:val="99"/>
    <w:locked/>
    <w:rsid w:val="00C42C13"/>
    <w:rPr>
      <w:sz w:val="24"/>
    </w:rPr>
  </w:style>
  <w:style w:type="paragraph" w:styleId="Porat">
    <w:name w:val="footer"/>
    <w:basedOn w:val="prastasis"/>
    <w:link w:val="PoratDiagrama"/>
    <w:uiPriority w:val="99"/>
    <w:rsid w:val="00C42C13"/>
    <w:pPr>
      <w:tabs>
        <w:tab w:val="center" w:pos="4819"/>
        <w:tab w:val="right" w:pos="9638"/>
      </w:tabs>
    </w:pPr>
  </w:style>
  <w:style w:type="character" w:customStyle="1" w:styleId="PoratDiagrama">
    <w:name w:val="Poraštė Diagrama"/>
    <w:basedOn w:val="Numatytasispastraiposriftas"/>
    <w:link w:val="Porat"/>
    <w:uiPriority w:val="99"/>
    <w:locked/>
    <w:rsid w:val="00C42C13"/>
    <w:rPr>
      <w:sz w:val="24"/>
    </w:rPr>
  </w:style>
  <w:style w:type="paragraph" w:customStyle="1" w:styleId="Bullet1">
    <w:name w:val="Bullet 1"/>
    <w:basedOn w:val="prastasis"/>
    <w:uiPriority w:val="99"/>
    <w:rsid w:val="009B2D0A"/>
    <w:pPr>
      <w:numPr>
        <w:numId w:val="3"/>
      </w:numPr>
      <w:spacing w:before="120" w:after="120" w:line="360" w:lineRule="auto"/>
      <w:outlineLvl w:val="0"/>
    </w:pPr>
  </w:style>
  <w:style w:type="paragraph" w:styleId="Komentarotema">
    <w:name w:val="annotation subject"/>
    <w:basedOn w:val="Komentarotekstas"/>
    <w:next w:val="Komentarotekstas"/>
    <w:link w:val="KomentarotemaDiagrama"/>
    <w:uiPriority w:val="99"/>
    <w:rsid w:val="009B2D0A"/>
    <w:rPr>
      <w:b/>
      <w:bCs/>
    </w:rPr>
  </w:style>
  <w:style w:type="character" w:customStyle="1" w:styleId="KomentarotemaDiagrama">
    <w:name w:val="Komentaro tema Diagrama"/>
    <w:basedOn w:val="KomentarotekstasDiagrama"/>
    <w:link w:val="Komentarotema"/>
    <w:uiPriority w:val="99"/>
    <w:locked/>
    <w:rsid w:val="009B2D0A"/>
    <w:rPr>
      <w:rFonts w:cs="Times New Roman"/>
      <w:b/>
    </w:rPr>
  </w:style>
  <w:style w:type="paragraph" w:styleId="Pataisymai">
    <w:name w:val="Revision"/>
    <w:hidden/>
    <w:uiPriority w:val="99"/>
    <w:semiHidden/>
    <w:rsid w:val="009B2D0A"/>
    <w:rPr>
      <w:sz w:val="24"/>
      <w:szCs w:val="24"/>
    </w:rPr>
  </w:style>
  <w:style w:type="paragraph" w:styleId="Dokumentoinaostekstas">
    <w:name w:val="endnote text"/>
    <w:basedOn w:val="prastasis"/>
    <w:link w:val="DokumentoinaostekstasDiagrama"/>
    <w:uiPriority w:val="99"/>
    <w:rsid w:val="009B2D0A"/>
    <w:rPr>
      <w:sz w:val="20"/>
      <w:szCs w:val="20"/>
    </w:rPr>
  </w:style>
  <w:style w:type="character" w:customStyle="1" w:styleId="DokumentoinaostekstasDiagrama">
    <w:name w:val="Dokumento išnašos tekstas Diagrama"/>
    <w:basedOn w:val="Numatytasispastraiposriftas"/>
    <w:link w:val="Dokumentoinaostekstas"/>
    <w:uiPriority w:val="99"/>
    <w:locked/>
    <w:rsid w:val="009B2D0A"/>
    <w:rPr>
      <w:rFonts w:cs="Times New Roman"/>
    </w:rPr>
  </w:style>
  <w:style w:type="character" w:styleId="Dokumentoinaosnumeris">
    <w:name w:val="endnote reference"/>
    <w:basedOn w:val="Numatytasispastraiposriftas"/>
    <w:uiPriority w:val="99"/>
    <w:rsid w:val="009B2D0A"/>
    <w:rPr>
      <w:rFonts w:cs="Times New Roman"/>
      <w:vertAlign w:val="superscript"/>
    </w:rPr>
  </w:style>
  <w:style w:type="paragraph" w:styleId="prastasiniatinklio">
    <w:name w:val="Normal (Web)"/>
    <w:basedOn w:val="prastasis"/>
    <w:uiPriority w:val="99"/>
    <w:rsid w:val="00C661CD"/>
    <w:pPr>
      <w:spacing w:before="120" w:after="120" w:line="240" w:lineRule="atLeast"/>
    </w:pPr>
    <w:rPr>
      <w:rFonts w:ascii="Arial" w:hAnsi="Arial" w:cs="Arial"/>
      <w:color w:val="000000"/>
      <w:sz w:val="18"/>
      <w:szCs w:val="18"/>
    </w:rPr>
  </w:style>
  <w:style w:type="character" w:styleId="Grietas">
    <w:name w:val="Strong"/>
    <w:basedOn w:val="Numatytasispastraiposriftas"/>
    <w:uiPriority w:val="22"/>
    <w:qFormat/>
    <w:rsid w:val="00C661CD"/>
    <w:rPr>
      <w:rFonts w:cs="Times New Roman"/>
      <w:b/>
    </w:rPr>
  </w:style>
  <w:style w:type="paragraph" w:styleId="Puslapioinaostekstas">
    <w:name w:val="footnote text"/>
    <w:basedOn w:val="prastasis"/>
    <w:link w:val="PuslapioinaostekstasDiagrama"/>
    <w:uiPriority w:val="99"/>
    <w:rsid w:val="00131D38"/>
    <w:rPr>
      <w:sz w:val="20"/>
      <w:szCs w:val="20"/>
    </w:rPr>
  </w:style>
  <w:style w:type="character" w:customStyle="1" w:styleId="PuslapioinaostekstasDiagrama">
    <w:name w:val="Puslapio išnašos tekstas Diagrama"/>
    <w:basedOn w:val="Numatytasispastraiposriftas"/>
    <w:link w:val="Puslapioinaostekstas"/>
    <w:uiPriority w:val="99"/>
    <w:locked/>
    <w:rsid w:val="00131D38"/>
    <w:rPr>
      <w:rFonts w:cs="Times New Roman"/>
    </w:rPr>
  </w:style>
  <w:style w:type="character" w:styleId="Puslapioinaosnuoroda">
    <w:name w:val="footnote reference"/>
    <w:basedOn w:val="Numatytasispastraiposriftas"/>
    <w:uiPriority w:val="99"/>
    <w:rsid w:val="00131D38"/>
    <w:rPr>
      <w:rFonts w:cs="Times New Roman"/>
      <w:vertAlign w:val="superscript"/>
    </w:rPr>
  </w:style>
  <w:style w:type="paragraph" w:customStyle="1" w:styleId="Text3">
    <w:name w:val="Text 3"/>
    <w:basedOn w:val="prastasis"/>
    <w:link w:val="Text3Char"/>
    <w:uiPriority w:val="99"/>
    <w:rsid w:val="00E1164D"/>
    <w:pPr>
      <w:ind w:left="1701"/>
      <w:outlineLvl w:val="2"/>
    </w:pPr>
    <w:rPr>
      <w:lang w:eastAsia="en-US"/>
    </w:rPr>
  </w:style>
  <w:style w:type="paragraph" w:customStyle="1" w:styleId="Text4">
    <w:name w:val="Text 4"/>
    <w:basedOn w:val="prastasis"/>
    <w:uiPriority w:val="99"/>
    <w:rsid w:val="00E1164D"/>
    <w:pPr>
      <w:ind w:left="2268"/>
      <w:outlineLvl w:val="3"/>
    </w:pPr>
    <w:rPr>
      <w:lang w:eastAsia="en-US"/>
    </w:rPr>
  </w:style>
  <w:style w:type="paragraph" w:customStyle="1" w:styleId="Text5">
    <w:name w:val="Text 5"/>
    <w:basedOn w:val="prastasis"/>
    <w:uiPriority w:val="99"/>
    <w:rsid w:val="00E1164D"/>
    <w:pPr>
      <w:ind w:left="2835"/>
      <w:outlineLvl w:val="4"/>
    </w:pPr>
    <w:rPr>
      <w:lang w:eastAsia="en-US"/>
    </w:rPr>
  </w:style>
  <w:style w:type="paragraph" w:styleId="Sraopastraipa">
    <w:name w:val="List Paragraph"/>
    <w:basedOn w:val="prastasis"/>
    <w:uiPriority w:val="99"/>
    <w:qFormat/>
    <w:rsid w:val="00CE1856"/>
    <w:pPr>
      <w:ind w:left="1296"/>
    </w:pPr>
  </w:style>
  <w:style w:type="paragraph" w:customStyle="1" w:styleId="Default">
    <w:name w:val="Default"/>
    <w:uiPriority w:val="99"/>
    <w:rsid w:val="00CE1856"/>
    <w:pPr>
      <w:autoSpaceDE w:val="0"/>
      <w:autoSpaceDN w:val="0"/>
      <w:adjustRightInd w:val="0"/>
    </w:pPr>
    <w:rPr>
      <w:rFonts w:ascii="EC Square Sans Pro" w:hAnsi="EC Square Sans Pro" w:cs="EC Square Sans Pro"/>
      <w:color w:val="000000"/>
      <w:sz w:val="24"/>
      <w:szCs w:val="24"/>
    </w:rPr>
  </w:style>
  <w:style w:type="character" w:customStyle="1" w:styleId="hps">
    <w:name w:val="hps"/>
    <w:uiPriority w:val="99"/>
    <w:rsid w:val="00CE1856"/>
  </w:style>
  <w:style w:type="character" w:customStyle="1" w:styleId="aa5f5ft1">
    <w:name w:val="a__a_5f__5f_t1"/>
    <w:uiPriority w:val="99"/>
    <w:rsid w:val="00CE1856"/>
  </w:style>
  <w:style w:type="paragraph" w:customStyle="1" w:styleId="Text2">
    <w:name w:val="Text 2"/>
    <w:basedOn w:val="prastasis"/>
    <w:uiPriority w:val="99"/>
    <w:rsid w:val="004B1896"/>
    <w:pPr>
      <w:ind w:left="1134"/>
      <w:outlineLvl w:val="1"/>
    </w:pPr>
    <w:rPr>
      <w:lang w:val="en-GB" w:eastAsia="en-US"/>
    </w:rPr>
  </w:style>
  <w:style w:type="paragraph" w:customStyle="1" w:styleId="Pointabc">
    <w:name w:val="Point abc"/>
    <w:basedOn w:val="prastasis"/>
    <w:rsid w:val="004B1896"/>
    <w:pPr>
      <w:numPr>
        <w:ilvl w:val="1"/>
        <w:numId w:val="4"/>
      </w:numPr>
      <w:spacing w:before="200"/>
    </w:pPr>
    <w:rPr>
      <w:lang w:val="en-GB" w:eastAsia="en-US"/>
    </w:rPr>
  </w:style>
  <w:style w:type="paragraph" w:customStyle="1" w:styleId="Pointabc1">
    <w:name w:val="Point abc (1)"/>
    <w:basedOn w:val="prastasis"/>
    <w:rsid w:val="004B1896"/>
    <w:pPr>
      <w:numPr>
        <w:ilvl w:val="3"/>
        <w:numId w:val="4"/>
      </w:numPr>
      <w:outlineLvl w:val="0"/>
    </w:pPr>
    <w:rPr>
      <w:lang w:val="en-GB" w:eastAsia="en-US"/>
    </w:rPr>
  </w:style>
  <w:style w:type="paragraph" w:customStyle="1" w:styleId="Pointabc2">
    <w:name w:val="Point abc (2)"/>
    <w:basedOn w:val="prastasis"/>
    <w:rsid w:val="004B1896"/>
    <w:pPr>
      <w:numPr>
        <w:ilvl w:val="5"/>
        <w:numId w:val="4"/>
      </w:numPr>
      <w:outlineLvl w:val="1"/>
    </w:pPr>
    <w:rPr>
      <w:lang w:val="en-GB" w:eastAsia="en-US"/>
    </w:rPr>
  </w:style>
  <w:style w:type="paragraph" w:customStyle="1" w:styleId="Pointabc3">
    <w:name w:val="Point abc (3)"/>
    <w:basedOn w:val="prastasis"/>
    <w:rsid w:val="004B1896"/>
    <w:pPr>
      <w:numPr>
        <w:ilvl w:val="7"/>
        <w:numId w:val="4"/>
      </w:numPr>
      <w:outlineLvl w:val="2"/>
    </w:pPr>
    <w:rPr>
      <w:lang w:val="en-GB" w:eastAsia="en-US"/>
    </w:rPr>
  </w:style>
  <w:style w:type="paragraph" w:customStyle="1" w:styleId="Pointabc4">
    <w:name w:val="Point abc (4)"/>
    <w:basedOn w:val="prastasis"/>
    <w:rsid w:val="004B1896"/>
    <w:pPr>
      <w:numPr>
        <w:ilvl w:val="8"/>
        <w:numId w:val="4"/>
      </w:numPr>
      <w:outlineLvl w:val="3"/>
    </w:pPr>
    <w:rPr>
      <w:lang w:val="en-GB" w:eastAsia="en-US"/>
    </w:rPr>
  </w:style>
  <w:style w:type="paragraph" w:customStyle="1" w:styleId="Point123">
    <w:name w:val="Point 123"/>
    <w:basedOn w:val="prastasis"/>
    <w:rsid w:val="004B1896"/>
    <w:pPr>
      <w:numPr>
        <w:numId w:val="4"/>
      </w:numPr>
      <w:spacing w:before="200"/>
    </w:pPr>
    <w:rPr>
      <w:lang w:val="en-GB" w:eastAsia="en-US"/>
    </w:rPr>
  </w:style>
  <w:style w:type="paragraph" w:customStyle="1" w:styleId="Point1231">
    <w:name w:val="Point 123 (1)"/>
    <w:basedOn w:val="prastasis"/>
    <w:rsid w:val="004B1896"/>
    <w:pPr>
      <w:numPr>
        <w:ilvl w:val="2"/>
        <w:numId w:val="4"/>
      </w:numPr>
      <w:outlineLvl w:val="0"/>
    </w:pPr>
    <w:rPr>
      <w:lang w:val="en-GB" w:eastAsia="en-US"/>
    </w:rPr>
  </w:style>
  <w:style w:type="paragraph" w:customStyle="1" w:styleId="Point1232">
    <w:name w:val="Point 123 (2)"/>
    <w:basedOn w:val="prastasis"/>
    <w:rsid w:val="004B1896"/>
    <w:pPr>
      <w:numPr>
        <w:ilvl w:val="4"/>
        <w:numId w:val="4"/>
      </w:numPr>
      <w:outlineLvl w:val="1"/>
    </w:pPr>
    <w:rPr>
      <w:lang w:val="en-GB" w:eastAsia="en-US"/>
    </w:rPr>
  </w:style>
  <w:style w:type="paragraph" w:customStyle="1" w:styleId="Point1233">
    <w:name w:val="Point 123 (3)"/>
    <w:basedOn w:val="prastasis"/>
    <w:rsid w:val="004B1896"/>
    <w:pPr>
      <w:numPr>
        <w:ilvl w:val="6"/>
        <w:numId w:val="4"/>
      </w:numPr>
      <w:outlineLvl w:val="2"/>
    </w:pPr>
    <w:rPr>
      <w:lang w:val="en-GB" w:eastAsia="en-US"/>
    </w:rPr>
  </w:style>
  <w:style w:type="character" w:customStyle="1" w:styleId="Text3Char">
    <w:name w:val="Text 3 Char"/>
    <w:link w:val="Text3"/>
    <w:uiPriority w:val="99"/>
    <w:locked/>
    <w:rsid w:val="004B1896"/>
    <w:rPr>
      <w:sz w:val="24"/>
      <w:lang w:eastAsia="en-US"/>
    </w:rPr>
  </w:style>
  <w:style w:type="paragraph" w:customStyle="1" w:styleId="HeadingIVX">
    <w:name w:val="Heading IVX"/>
    <w:basedOn w:val="prastasis"/>
    <w:next w:val="prastasis"/>
    <w:uiPriority w:val="99"/>
    <w:rsid w:val="00137A05"/>
    <w:pPr>
      <w:numPr>
        <w:numId w:val="5"/>
      </w:numPr>
      <w:spacing w:before="480"/>
      <w:outlineLvl w:val="0"/>
    </w:pPr>
    <w:rPr>
      <w:b/>
      <w:caps/>
      <w:u w:val="single"/>
    </w:rPr>
  </w:style>
  <w:style w:type="paragraph" w:customStyle="1" w:styleId="astandard3520normal">
    <w:name w:val="a_standard__35__20_normal"/>
    <w:basedOn w:val="prastasis"/>
    <w:uiPriority w:val="99"/>
    <w:rsid w:val="00754FF1"/>
    <w:pPr>
      <w:spacing w:before="100" w:beforeAutospacing="1" w:after="100" w:afterAutospacing="1"/>
    </w:pPr>
  </w:style>
  <w:style w:type="character" w:customStyle="1" w:styleId="at1">
    <w:name w:val="a__t1"/>
    <w:uiPriority w:val="99"/>
    <w:rsid w:val="00754FF1"/>
  </w:style>
  <w:style w:type="paragraph" w:customStyle="1" w:styleId="astandardp1">
    <w:name w:val="a_standard_p1"/>
    <w:basedOn w:val="prastasis"/>
    <w:uiPriority w:val="99"/>
    <w:rsid w:val="00754FF1"/>
    <w:pPr>
      <w:spacing w:before="100" w:beforeAutospacing="1" w:after="100" w:afterAutospacing="1"/>
    </w:pPr>
  </w:style>
  <w:style w:type="character" w:customStyle="1" w:styleId="apple-converted-space">
    <w:name w:val="apple-converted-space"/>
    <w:uiPriority w:val="99"/>
    <w:rsid w:val="00754FF1"/>
  </w:style>
  <w:style w:type="character" w:customStyle="1" w:styleId="hpsatn">
    <w:name w:val="hps atn"/>
    <w:uiPriority w:val="99"/>
    <w:rsid w:val="00A71029"/>
  </w:style>
  <w:style w:type="character" w:styleId="Emfaz">
    <w:name w:val="Emphasis"/>
    <w:basedOn w:val="Numatytasispastraiposriftas"/>
    <w:uiPriority w:val="20"/>
    <w:qFormat/>
    <w:rsid w:val="00A71029"/>
    <w:rPr>
      <w:rFonts w:cs="Times New Roman"/>
      <w:i/>
    </w:rPr>
  </w:style>
  <w:style w:type="character" w:styleId="Puslapionumeris">
    <w:name w:val="page number"/>
    <w:basedOn w:val="Numatytasispastraiposriftas"/>
    <w:uiPriority w:val="99"/>
    <w:rsid w:val="00E23727"/>
    <w:rPr>
      <w:rFonts w:cs="Times New Roman"/>
    </w:rPr>
  </w:style>
  <w:style w:type="paragraph" w:customStyle="1" w:styleId="Text1">
    <w:name w:val="Text 1"/>
    <w:basedOn w:val="prastasis"/>
    <w:uiPriority w:val="99"/>
    <w:rsid w:val="002544FD"/>
    <w:pPr>
      <w:ind w:left="567"/>
      <w:outlineLvl w:val="0"/>
    </w:pPr>
  </w:style>
  <w:style w:type="paragraph" w:customStyle="1" w:styleId="Dash">
    <w:name w:val="Dash"/>
    <w:basedOn w:val="prastasis"/>
    <w:uiPriority w:val="99"/>
    <w:rsid w:val="00F857F8"/>
    <w:pPr>
      <w:numPr>
        <w:numId w:val="6"/>
      </w:numPr>
      <w:spacing w:before="120" w:after="120" w:line="360" w:lineRule="auto"/>
    </w:pPr>
  </w:style>
  <w:style w:type="paragraph" w:customStyle="1" w:styleId="Bullet3">
    <w:name w:val="Bullet 3"/>
    <w:basedOn w:val="prastasis"/>
    <w:uiPriority w:val="99"/>
    <w:rsid w:val="008917AE"/>
    <w:pPr>
      <w:numPr>
        <w:numId w:val="8"/>
      </w:numPr>
      <w:outlineLvl w:val="2"/>
    </w:pPr>
    <w:rPr>
      <w:lang w:val="en-GB" w:eastAsia="en-US"/>
    </w:rPr>
  </w:style>
  <w:style w:type="paragraph" w:customStyle="1" w:styleId="DashEqual1">
    <w:name w:val="Dash Equal 1"/>
    <w:basedOn w:val="Dash1"/>
    <w:uiPriority w:val="99"/>
    <w:rsid w:val="008917AE"/>
    <w:pPr>
      <w:numPr>
        <w:numId w:val="7"/>
      </w:numPr>
      <w:tabs>
        <w:tab w:val="clear" w:pos="993"/>
        <w:tab w:val="num" w:pos="1134"/>
      </w:tabs>
      <w:ind w:left="1134"/>
    </w:pPr>
    <w:rPr>
      <w:lang w:val="en-GB" w:eastAsia="en-US"/>
    </w:rPr>
  </w:style>
  <w:style w:type="paragraph" w:customStyle="1" w:styleId="PointDoubleManual">
    <w:name w:val="Point Double Manual"/>
    <w:basedOn w:val="prastasis"/>
    <w:uiPriority w:val="99"/>
    <w:rsid w:val="008917AE"/>
    <w:pPr>
      <w:tabs>
        <w:tab w:val="left" w:pos="567"/>
      </w:tabs>
      <w:spacing w:before="200"/>
      <w:ind w:left="1134" w:hanging="1134"/>
    </w:pPr>
    <w:rPr>
      <w:lang w:val="en-GB" w:eastAsia="en-US"/>
    </w:rPr>
  </w:style>
  <w:style w:type="paragraph" w:customStyle="1" w:styleId="DashEqual2">
    <w:name w:val="Dash Equal 2"/>
    <w:basedOn w:val="Dash2"/>
    <w:uiPriority w:val="99"/>
    <w:rsid w:val="008917AE"/>
    <w:pPr>
      <w:numPr>
        <w:numId w:val="9"/>
      </w:numPr>
    </w:pPr>
    <w:rPr>
      <w:lang w:val="en-GB" w:eastAsia="en-US"/>
    </w:rPr>
  </w:style>
  <w:style w:type="paragraph" w:customStyle="1" w:styleId="HeadingCentered">
    <w:name w:val="Heading Centered"/>
    <w:basedOn w:val="prastasis"/>
    <w:next w:val="prastasis"/>
    <w:uiPriority w:val="99"/>
    <w:rsid w:val="005E5332"/>
    <w:pPr>
      <w:spacing w:before="360" w:after="120" w:line="360" w:lineRule="auto"/>
      <w:jc w:val="center"/>
      <w:outlineLvl w:val="0"/>
    </w:pPr>
    <w:rPr>
      <w:b/>
      <w:caps/>
      <w:u w:val="single"/>
      <w:lang w:val="en-GB" w:eastAsia="en-US"/>
    </w:rPr>
  </w:style>
  <w:style w:type="paragraph" w:styleId="Pagrindinistekstas">
    <w:name w:val="Body Text"/>
    <w:basedOn w:val="prastasis"/>
    <w:link w:val="PagrindinistekstasDiagrama"/>
    <w:uiPriority w:val="99"/>
    <w:rsid w:val="00EB2298"/>
    <w:pPr>
      <w:widowControl w:val="0"/>
      <w:ind w:left="1080"/>
    </w:pPr>
    <w:rPr>
      <w:rFonts w:cs="Arial"/>
    </w:rPr>
  </w:style>
  <w:style w:type="character" w:customStyle="1" w:styleId="PagrindinistekstasDiagrama">
    <w:name w:val="Pagrindinis tekstas Diagrama"/>
    <w:basedOn w:val="Numatytasispastraiposriftas"/>
    <w:link w:val="Pagrindinistekstas"/>
    <w:uiPriority w:val="99"/>
    <w:locked/>
    <w:rsid w:val="00EB2298"/>
    <w:rPr>
      <w:rFonts w:cs="Arial"/>
      <w:sz w:val="24"/>
      <w:szCs w:val="24"/>
    </w:rPr>
  </w:style>
  <w:style w:type="table" w:styleId="Lentelstinklelis">
    <w:name w:val="Table Grid"/>
    <w:basedOn w:val="prastojilentel"/>
    <w:uiPriority w:val="99"/>
    <w:rsid w:val="00296E6E"/>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rsid w:val="001401E6"/>
    <w:pPr>
      <w:spacing w:after="160" w:line="259" w:lineRule="auto"/>
      <w:ind w:left="720"/>
      <w:contextualSpacing/>
    </w:pPr>
    <w:rPr>
      <w:rFonts w:ascii="Calibri" w:hAnsi="Calibri"/>
      <w:sz w:val="22"/>
      <w:szCs w:val="22"/>
      <w:lang w:eastAsia="en-US"/>
    </w:rPr>
  </w:style>
  <w:style w:type="paragraph" w:customStyle="1" w:styleId="Heading123">
    <w:name w:val="Heading 123"/>
    <w:basedOn w:val="prastasis"/>
    <w:next w:val="prastasis"/>
    <w:uiPriority w:val="99"/>
    <w:rsid w:val="009B51B0"/>
    <w:pPr>
      <w:numPr>
        <w:numId w:val="10"/>
      </w:numPr>
      <w:spacing w:before="360" w:after="120" w:line="360" w:lineRule="auto"/>
      <w:outlineLvl w:val="0"/>
    </w:pPr>
    <w:rPr>
      <w:b/>
      <w:caps/>
      <w:szCs w:val="22"/>
      <w:u w:val="single"/>
      <w:lang w:eastAsia="en-US"/>
    </w:rPr>
  </w:style>
  <w:style w:type="character" w:customStyle="1" w:styleId="tlid-translation">
    <w:name w:val="tlid-translation"/>
    <w:basedOn w:val="Numatytasispastraiposriftas"/>
    <w:rsid w:val="00A26FC1"/>
  </w:style>
  <w:style w:type="paragraph" w:customStyle="1" w:styleId="Standard">
    <w:name w:val="Standard"/>
    <w:qFormat/>
    <w:rsid w:val="00B40A45"/>
    <w:pPr>
      <w:suppressAutoHyphens/>
      <w:textAlignment w:val="baseline"/>
    </w:pPr>
    <w:rPr>
      <w:rFonts w:ascii="Liberation Serif" w:eastAsia="SimSun" w:hAnsi="Liberation Serif" w:cs="Lucida Sans"/>
      <w:color w:val="00000A"/>
      <w:sz w:val="24"/>
      <w:szCs w:val="24"/>
      <w:lang w:eastAsia="zh-CN" w:bidi="hi-IN"/>
    </w:rPr>
  </w:style>
  <w:style w:type="paragraph" w:styleId="Paprastasistekstas">
    <w:name w:val="Plain Text"/>
    <w:basedOn w:val="prastasis"/>
    <w:link w:val="PaprastasistekstasDiagrama"/>
    <w:uiPriority w:val="99"/>
    <w:semiHidden/>
    <w:unhideWhenUsed/>
    <w:rsid w:val="00137754"/>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137754"/>
    <w:rPr>
      <w:rFonts w:ascii="Calibri" w:eastAsiaTheme="minorHAnsi" w:hAnsi="Calibri" w:cstheme="minorBidi"/>
      <w:szCs w:val="21"/>
      <w:lang w:eastAsia="en-US"/>
    </w:rPr>
  </w:style>
  <w:style w:type="paragraph" w:customStyle="1" w:styleId="point0">
    <w:name w:val="point0"/>
    <w:basedOn w:val="prastasis"/>
    <w:rsid w:val="00137754"/>
    <w:pPr>
      <w:spacing w:before="100" w:beforeAutospacing="1" w:after="100" w:afterAutospacing="1"/>
    </w:pPr>
  </w:style>
  <w:style w:type="paragraph" w:customStyle="1" w:styleId="Dash3">
    <w:name w:val="Dash 3"/>
    <w:basedOn w:val="prastasis"/>
    <w:rsid w:val="00930E8C"/>
    <w:pPr>
      <w:numPr>
        <w:numId w:val="28"/>
      </w:numPr>
      <w:spacing w:before="120" w:after="120" w:line="360" w:lineRule="auto"/>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600">
      <w:bodyDiv w:val="1"/>
      <w:marLeft w:val="0"/>
      <w:marRight w:val="0"/>
      <w:marTop w:val="0"/>
      <w:marBottom w:val="0"/>
      <w:divBdr>
        <w:top w:val="none" w:sz="0" w:space="0" w:color="auto"/>
        <w:left w:val="none" w:sz="0" w:space="0" w:color="auto"/>
        <w:bottom w:val="none" w:sz="0" w:space="0" w:color="auto"/>
        <w:right w:val="none" w:sz="0" w:space="0" w:color="auto"/>
      </w:divBdr>
    </w:div>
    <w:div w:id="184751363">
      <w:bodyDiv w:val="1"/>
      <w:marLeft w:val="0"/>
      <w:marRight w:val="0"/>
      <w:marTop w:val="0"/>
      <w:marBottom w:val="0"/>
      <w:divBdr>
        <w:top w:val="none" w:sz="0" w:space="0" w:color="auto"/>
        <w:left w:val="none" w:sz="0" w:space="0" w:color="auto"/>
        <w:bottom w:val="none" w:sz="0" w:space="0" w:color="auto"/>
        <w:right w:val="none" w:sz="0" w:space="0" w:color="auto"/>
      </w:divBdr>
    </w:div>
    <w:div w:id="394594055">
      <w:marLeft w:val="0"/>
      <w:marRight w:val="0"/>
      <w:marTop w:val="0"/>
      <w:marBottom w:val="0"/>
      <w:divBdr>
        <w:top w:val="none" w:sz="0" w:space="0" w:color="auto"/>
        <w:left w:val="none" w:sz="0" w:space="0" w:color="auto"/>
        <w:bottom w:val="none" w:sz="0" w:space="2" w:color="auto"/>
        <w:right w:val="none" w:sz="0" w:space="0" w:color="auto"/>
      </w:divBdr>
    </w:div>
    <w:div w:id="394594057">
      <w:marLeft w:val="0"/>
      <w:marRight w:val="0"/>
      <w:marTop w:val="0"/>
      <w:marBottom w:val="0"/>
      <w:divBdr>
        <w:top w:val="none" w:sz="0" w:space="0" w:color="auto"/>
        <w:left w:val="none" w:sz="0" w:space="0" w:color="auto"/>
        <w:bottom w:val="none" w:sz="0" w:space="2" w:color="auto"/>
        <w:right w:val="none" w:sz="0" w:space="0" w:color="auto"/>
      </w:divBdr>
    </w:div>
    <w:div w:id="394594061">
      <w:marLeft w:val="0"/>
      <w:marRight w:val="0"/>
      <w:marTop w:val="0"/>
      <w:marBottom w:val="0"/>
      <w:divBdr>
        <w:top w:val="none" w:sz="0" w:space="0" w:color="auto"/>
        <w:left w:val="none" w:sz="0" w:space="0" w:color="auto"/>
        <w:bottom w:val="none" w:sz="0" w:space="0" w:color="auto"/>
        <w:right w:val="none" w:sz="0" w:space="0" w:color="auto"/>
      </w:divBdr>
      <w:divsChild>
        <w:div w:id="394594125">
          <w:marLeft w:val="0"/>
          <w:marRight w:val="0"/>
          <w:marTop w:val="0"/>
          <w:marBottom w:val="0"/>
          <w:divBdr>
            <w:top w:val="none" w:sz="0" w:space="0" w:color="auto"/>
            <w:left w:val="none" w:sz="0" w:space="0" w:color="auto"/>
            <w:bottom w:val="none" w:sz="0" w:space="0" w:color="auto"/>
            <w:right w:val="none" w:sz="0" w:space="0" w:color="auto"/>
          </w:divBdr>
          <w:divsChild>
            <w:div w:id="39459416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8">
                  <w:marLeft w:val="0"/>
                  <w:marRight w:val="0"/>
                  <w:marTop w:val="0"/>
                  <w:marBottom w:val="0"/>
                  <w:divBdr>
                    <w:top w:val="none" w:sz="0" w:space="0" w:color="auto"/>
                    <w:left w:val="none" w:sz="0" w:space="0" w:color="auto"/>
                    <w:bottom w:val="none" w:sz="0" w:space="0" w:color="auto"/>
                    <w:right w:val="none" w:sz="0" w:space="0" w:color="auto"/>
                  </w:divBdr>
                  <w:divsChild>
                    <w:div w:id="394594121">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7">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2">
                                      <w:marLeft w:val="0"/>
                                      <w:marRight w:val="0"/>
                                      <w:marTop w:val="75"/>
                                      <w:marBottom w:val="0"/>
                                      <w:divBdr>
                                        <w:top w:val="none" w:sz="0" w:space="0" w:color="auto"/>
                                        <w:left w:val="none" w:sz="0" w:space="0" w:color="auto"/>
                                        <w:bottom w:val="none" w:sz="0" w:space="0" w:color="auto"/>
                                        <w:right w:val="none" w:sz="0" w:space="0" w:color="auto"/>
                                      </w:divBdr>
                                      <w:divsChild>
                                        <w:div w:id="394594120">
                                          <w:marLeft w:val="0"/>
                                          <w:marRight w:val="0"/>
                                          <w:marTop w:val="0"/>
                                          <w:marBottom w:val="0"/>
                                          <w:divBdr>
                                            <w:top w:val="none" w:sz="0" w:space="0" w:color="auto"/>
                                            <w:left w:val="none" w:sz="0" w:space="0" w:color="auto"/>
                                            <w:bottom w:val="none" w:sz="0" w:space="0" w:color="auto"/>
                                            <w:right w:val="none" w:sz="0" w:space="0" w:color="auto"/>
                                          </w:divBdr>
                                          <w:divsChild>
                                            <w:div w:id="394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63">
      <w:marLeft w:val="0"/>
      <w:marRight w:val="0"/>
      <w:marTop w:val="0"/>
      <w:marBottom w:val="0"/>
      <w:divBdr>
        <w:top w:val="none" w:sz="0" w:space="0" w:color="auto"/>
        <w:left w:val="none" w:sz="0" w:space="0" w:color="auto"/>
        <w:bottom w:val="none" w:sz="0" w:space="0" w:color="auto"/>
        <w:right w:val="none" w:sz="0" w:space="0" w:color="auto"/>
      </w:divBdr>
      <w:divsChild>
        <w:div w:id="394594130">
          <w:marLeft w:val="0"/>
          <w:marRight w:val="0"/>
          <w:marTop w:val="0"/>
          <w:marBottom w:val="0"/>
          <w:divBdr>
            <w:top w:val="none" w:sz="0" w:space="0" w:color="auto"/>
            <w:left w:val="none" w:sz="0" w:space="0" w:color="auto"/>
            <w:bottom w:val="none" w:sz="0" w:space="0" w:color="auto"/>
            <w:right w:val="none" w:sz="0" w:space="0" w:color="auto"/>
          </w:divBdr>
          <w:divsChild>
            <w:div w:id="39459411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5">
                  <w:marLeft w:val="0"/>
                  <w:marRight w:val="0"/>
                  <w:marTop w:val="0"/>
                  <w:marBottom w:val="0"/>
                  <w:divBdr>
                    <w:top w:val="none" w:sz="0" w:space="0" w:color="auto"/>
                    <w:left w:val="none" w:sz="0" w:space="0" w:color="auto"/>
                    <w:bottom w:val="none" w:sz="0" w:space="0" w:color="auto"/>
                    <w:right w:val="none" w:sz="0" w:space="0" w:color="auto"/>
                  </w:divBdr>
                  <w:divsChild>
                    <w:div w:id="39459409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60">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6">
                                  <w:marLeft w:val="0"/>
                                  <w:marRight w:val="0"/>
                                  <w:marTop w:val="0"/>
                                  <w:marBottom w:val="0"/>
                                  <w:divBdr>
                                    <w:top w:val="single" w:sz="2" w:space="5" w:color="D4D4D4"/>
                                    <w:left w:val="single" w:sz="6" w:space="5" w:color="D4D4D4"/>
                                    <w:bottom w:val="single" w:sz="6" w:space="5" w:color="D4D4D4"/>
                                    <w:right w:val="single" w:sz="6" w:space="5" w:color="D4D4D4"/>
                                  </w:divBdr>
                                  <w:divsChild>
                                    <w:div w:id="394594066">
                                      <w:marLeft w:val="0"/>
                                      <w:marRight w:val="0"/>
                                      <w:marTop w:val="75"/>
                                      <w:marBottom w:val="0"/>
                                      <w:divBdr>
                                        <w:top w:val="none" w:sz="0" w:space="0" w:color="auto"/>
                                        <w:left w:val="none" w:sz="0" w:space="0" w:color="auto"/>
                                        <w:bottom w:val="none" w:sz="0" w:space="0" w:color="auto"/>
                                        <w:right w:val="none" w:sz="0" w:space="0" w:color="auto"/>
                                      </w:divBdr>
                                      <w:divsChild>
                                        <w:div w:id="394594056">
                                          <w:marLeft w:val="0"/>
                                          <w:marRight w:val="0"/>
                                          <w:marTop w:val="75"/>
                                          <w:marBottom w:val="0"/>
                                          <w:divBdr>
                                            <w:top w:val="none" w:sz="0" w:space="0" w:color="auto"/>
                                            <w:left w:val="none" w:sz="0" w:space="0" w:color="auto"/>
                                            <w:bottom w:val="none" w:sz="0" w:space="0" w:color="auto"/>
                                            <w:right w:val="none" w:sz="0" w:space="0" w:color="auto"/>
                                          </w:divBdr>
                                          <w:divsChild>
                                            <w:div w:id="394594141">
                                              <w:marLeft w:val="0"/>
                                              <w:marRight w:val="0"/>
                                              <w:marTop w:val="0"/>
                                              <w:marBottom w:val="0"/>
                                              <w:divBdr>
                                                <w:top w:val="none" w:sz="0" w:space="0" w:color="auto"/>
                                                <w:left w:val="none" w:sz="0" w:space="0" w:color="auto"/>
                                                <w:bottom w:val="none" w:sz="0" w:space="0" w:color="auto"/>
                                                <w:right w:val="none" w:sz="0" w:space="0" w:color="auto"/>
                                              </w:divBdr>
                                              <w:divsChild>
                                                <w:div w:id="394594136">
                                                  <w:marLeft w:val="0"/>
                                                  <w:marRight w:val="0"/>
                                                  <w:marTop w:val="0"/>
                                                  <w:marBottom w:val="0"/>
                                                  <w:divBdr>
                                                    <w:top w:val="none" w:sz="0" w:space="0" w:color="auto"/>
                                                    <w:left w:val="none" w:sz="0" w:space="0" w:color="auto"/>
                                                    <w:bottom w:val="none" w:sz="0" w:space="0" w:color="auto"/>
                                                    <w:right w:val="none" w:sz="0" w:space="0" w:color="auto"/>
                                                  </w:divBdr>
                                                  <w:divsChild>
                                                    <w:div w:id="394594171">
                                                      <w:marLeft w:val="0"/>
                                                      <w:marRight w:val="0"/>
                                                      <w:marTop w:val="0"/>
                                                      <w:marBottom w:val="0"/>
                                                      <w:divBdr>
                                                        <w:top w:val="none" w:sz="0" w:space="0" w:color="auto"/>
                                                        <w:left w:val="none" w:sz="0" w:space="0" w:color="auto"/>
                                                        <w:bottom w:val="none" w:sz="0" w:space="0" w:color="auto"/>
                                                        <w:right w:val="none" w:sz="0" w:space="0" w:color="auto"/>
                                                      </w:divBdr>
                                                      <w:divsChild>
                                                        <w:div w:id="394594142">
                                                          <w:marLeft w:val="0"/>
                                                          <w:marRight w:val="0"/>
                                                          <w:marTop w:val="0"/>
                                                          <w:marBottom w:val="0"/>
                                                          <w:divBdr>
                                                            <w:top w:val="none" w:sz="0" w:space="0" w:color="auto"/>
                                                            <w:left w:val="none" w:sz="0" w:space="0" w:color="auto"/>
                                                            <w:bottom w:val="none" w:sz="0" w:space="0" w:color="auto"/>
                                                            <w:right w:val="none" w:sz="0" w:space="0" w:color="auto"/>
                                                          </w:divBdr>
                                                          <w:divsChild>
                                                            <w:div w:id="3945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065">
      <w:marLeft w:val="0"/>
      <w:marRight w:val="0"/>
      <w:marTop w:val="0"/>
      <w:marBottom w:val="0"/>
      <w:divBdr>
        <w:top w:val="none" w:sz="0" w:space="0" w:color="auto"/>
        <w:left w:val="none" w:sz="0" w:space="0" w:color="auto"/>
        <w:bottom w:val="none" w:sz="0" w:space="0" w:color="auto"/>
        <w:right w:val="none" w:sz="0" w:space="0" w:color="auto"/>
      </w:divBdr>
      <w:divsChild>
        <w:div w:id="394594086">
          <w:marLeft w:val="0"/>
          <w:marRight w:val="0"/>
          <w:marTop w:val="0"/>
          <w:marBottom w:val="0"/>
          <w:divBdr>
            <w:top w:val="none" w:sz="0" w:space="0" w:color="auto"/>
            <w:left w:val="none" w:sz="0" w:space="0" w:color="auto"/>
            <w:bottom w:val="none" w:sz="0" w:space="0" w:color="auto"/>
            <w:right w:val="none" w:sz="0" w:space="0" w:color="auto"/>
          </w:divBdr>
          <w:divsChild>
            <w:div w:id="39459415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3">
                  <w:marLeft w:val="0"/>
                  <w:marRight w:val="0"/>
                  <w:marTop w:val="0"/>
                  <w:marBottom w:val="0"/>
                  <w:divBdr>
                    <w:top w:val="none" w:sz="0" w:space="0" w:color="auto"/>
                    <w:left w:val="none" w:sz="0" w:space="0" w:color="auto"/>
                    <w:bottom w:val="none" w:sz="0" w:space="0" w:color="auto"/>
                    <w:right w:val="none" w:sz="0" w:space="0" w:color="auto"/>
                  </w:divBdr>
                  <w:divsChild>
                    <w:div w:id="39459407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3">
                              <w:marLeft w:val="0"/>
                              <w:marRight w:val="0"/>
                              <w:marTop w:val="0"/>
                              <w:marBottom w:val="0"/>
                              <w:divBdr>
                                <w:top w:val="single" w:sz="2" w:space="0" w:color="868B91"/>
                                <w:left w:val="single" w:sz="2" w:space="0" w:color="868B91"/>
                                <w:bottom w:val="single" w:sz="2" w:space="0" w:color="868B91"/>
                                <w:right w:val="single" w:sz="2" w:space="0" w:color="868B91"/>
                              </w:divBdr>
                              <w:divsChild>
                                <w:div w:id="394594103">
                                  <w:marLeft w:val="0"/>
                                  <w:marRight w:val="0"/>
                                  <w:marTop w:val="0"/>
                                  <w:marBottom w:val="0"/>
                                  <w:divBdr>
                                    <w:top w:val="single" w:sz="2" w:space="5" w:color="D4D4D4"/>
                                    <w:left w:val="single" w:sz="6" w:space="5" w:color="D4D4D4"/>
                                    <w:bottom w:val="single" w:sz="6" w:space="5" w:color="D4D4D4"/>
                                    <w:right w:val="single" w:sz="6" w:space="5" w:color="D4D4D4"/>
                                  </w:divBdr>
                                  <w:divsChild>
                                    <w:div w:id="394594139">
                                      <w:marLeft w:val="0"/>
                                      <w:marRight w:val="0"/>
                                      <w:marTop w:val="75"/>
                                      <w:marBottom w:val="0"/>
                                      <w:divBdr>
                                        <w:top w:val="none" w:sz="0" w:space="0" w:color="auto"/>
                                        <w:left w:val="none" w:sz="0" w:space="0" w:color="auto"/>
                                        <w:bottom w:val="none" w:sz="0" w:space="0" w:color="auto"/>
                                        <w:right w:val="none" w:sz="0" w:space="0" w:color="auto"/>
                                      </w:divBdr>
                                      <w:divsChild>
                                        <w:div w:id="394594096">
                                          <w:marLeft w:val="0"/>
                                          <w:marRight w:val="0"/>
                                          <w:marTop w:val="0"/>
                                          <w:marBottom w:val="0"/>
                                          <w:divBdr>
                                            <w:top w:val="none" w:sz="0" w:space="0" w:color="auto"/>
                                            <w:left w:val="none" w:sz="0" w:space="0" w:color="auto"/>
                                            <w:bottom w:val="none" w:sz="0" w:space="0" w:color="auto"/>
                                            <w:right w:val="none" w:sz="0" w:space="0" w:color="auto"/>
                                          </w:divBdr>
                                          <w:divsChild>
                                            <w:div w:id="3945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73">
      <w:marLeft w:val="0"/>
      <w:marRight w:val="0"/>
      <w:marTop w:val="0"/>
      <w:marBottom w:val="0"/>
      <w:divBdr>
        <w:top w:val="none" w:sz="0" w:space="0" w:color="auto"/>
        <w:left w:val="none" w:sz="0" w:space="0" w:color="auto"/>
        <w:bottom w:val="none" w:sz="0" w:space="0" w:color="auto"/>
        <w:right w:val="none" w:sz="0" w:space="0" w:color="auto"/>
      </w:divBdr>
    </w:div>
    <w:div w:id="394594077">
      <w:marLeft w:val="0"/>
      <w:marRight w:val="0"/>
      <w:marTop w:val="0"/>
      <w:marBottom w:val="0"/>
      <w:divBdr>
        <w:top w:val="none" w:sz="0" w:space="0" w:color="auto"/>
        <w:left w:val="none" w:sz="0" w:space="0" w:color="auto"/>
        <w:bottom w:val="none" w:sz="0" w:space="0" w:color="auto"/>
        <w:right w:val="none" w:sz="0" w:space="0" w:color="auto"/>
      </w:divBdr>
      <w:divsChild>
        <w:div w:id="394594100">
          <w:marLeft w:val="0"/>
          <w:marRight w:val="0"/>
          <w:marTop w:val="0"/>
          <w:marBottom w:val="0"/>
          <w:divBdr>
            <w:top w:val="none" w:sz="0" w:space="0" w:color="auto"/>
            <w:left w:val="none" w:sz="0" w:space="0" w:color="auto"/>
            <w:bottom w:val="none" w:sz="0" w:space="0" w:color="auto"/>
            <w:right w:val="none" w:sz="0" w:space="0" w:color="auto"/>
          </w:divBdr>
          <w:divsChild>
            <w:div w:id="394594062">
              <w:marLeft w:val="0"/>
              <w:marRight w:val="0"/>
              <w:marTop w:val="0"/>
              <w:marBottom w:val="120"/>
              <w:divBdr>
                <w:top w:val="none" w:sz="0" w:space="0" w:color="auto"/>
                <w:left w:val="none" w:sz="0" w:space="0" w:color="auto"/>
                <w:bottom w:val="none" w:sz="0" w:space="0" w:color="auto"/>
                <w:right w:val="none" w:sz="0" w:space="0" w:color="auto"/>
              </w:divBdr>
              <w:divsChild>
                <w:div w:id="394594068">
                  <w:marLeft w:val="0"/>
                  <w:marRight w:val="0"/>
                  <w:marTop w:val="0"/>
                  <w:marBottom w:val="120"/>
                  <w:divBdr>
                    <w:top w:val="none" w:sz="0" w:space="0" w:color="auto"/>
                    <w:left w:val="none" w:sz="0" w:space="0" w:color="auto"/>
                    <w:bottom w:val="none" w:sz="0" w:space="0" w:color="auto"/>
                    <w:right w:val="none" w:sz="0" w:space="0" w:color="auto"/>
                  </w:divBdr>
                  <w:divsChild>
                    <w:div w:id="394594161">
                      <w:marLeft w:val="0"/>
                      <w:marRight w:val="0"/>
                      <w:marTop w:val="0"/>
                      <w:marBottom w:val="0"/>
                      <w:divBdr>
                        <w:top w:val="none" w:sz="0" w:space="0" w:color="auto"/>
                        <w:left w:val="none" w:sz="0" w:space="0" w:color="auto"/>
                        <w:bottom w:val="none" w:sz="0" w:space="0" w:color="auto"/>
                        <w:right w:val="none" w:sz="0" w:space="0" w:color="auto"/>
                      </w:divBdr>
                      <w:divsChild>
                        <w:div w:id="3945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080">
      <w:marLeft w:val="0"/>
      <w:marRight w:val="0"/>
      <w:marTop w:val="0"/>
      <w:marBottom w:val="0"/>
      <w:divBdr>
        <w:top w:val="none" w:sz="0" w:space="0" w:color="auto"/>
        <w:left w:val="none" w:sz="0" w:space="0" w:color="auto"/>
        <w:bottom w:val="none" w:sz="0" w:space="0" w:color="auto"/>
        <w:right w:val="none" w:sz="0" w:space="0" w:color="auto"/>
      </w:divBdr>
    </w:div>
    <w:div w:id="394594094">
      <w:marLeft w:val="0"/>
      <w:marRight w:val="0"/>
      <w:marTop w:val="0"/>
      <w:marBottom w:val="0"/>
      <w:divBdr>
        <w:top w:val="none" w:sz="0" w:space="0" w:color="auto"/>
        <w:left w:val="none" w:sz="0" w:space="0" w:color="auto"/>
        <w:bottom w:val="none" w:sz="0" w:space="0" w:color="auto"/>
        <w:right w:val="none" w:sz="0" w:space="0" w:color="auto"/>
      </w:divBdr>
    </w:div>
    <w:div w:id="394594101">
      <w:marLeft w:val="0"/>
      <w:marRight w:val="0"/>
      <w:marTop w:val="0"/>
      <w:marBottom w:val="0"/>
      <w:divBdr>
        <w:top w:val="none" w:sz="0" w:space="0" w:color="auto"/>
        <w:left w:val="none" w:sz="0" w:space="0" w:color="auto"/>
        <w:bottom w:val="none" w:sz="0" w:space="2" w:color="auto"/>
        <w:right w:val="none" w:sz="0" w:space="0" w:color="auto"/>
      </w:divBdr>
    </w:div>
    <w:div w:id="394594111">
      <w:marLeft w:val="0"/>
      <w:marRight w:val="0"/>
      <w:marTop w:val="0"/>
      <w:marBottom w:val="0"/>
      <w:divBdr>
        <w:top w:val="none" w:sz="0" w:space="0" w:color="auto"/>
        <w:left w:val="none" w:sz="0" w:space="0" w:color="auto"/>
        <w:bottom w:val="none" w:sz="0" w:space="0" w:color="auto"/>
        <w:right w:val="none" w:sz="0" w:space="0" w:color="auto"/>
      </w:divBdr>
      <w:divsChild>
        <w:div w:id="394594104">
          <w:marLeft w:val="0"/>
          <w:marRight w:val="0"/>
          <w:marTop w:val="0"/>
          <w:marBottom w:val="0"/>
          <w:divBdr>
            <w:top w:val="none" w:sz="0" w:space="0" w:color="auto"/>
            <w:left w:val="none" w:sz="0" w:space="0" w:color="auto"/>
            <w:bottom w:val="none" w:sz="0" w:space="0" w:color="auto"/>
            <w:right w:val="none" w:sz="0" w:space="0" w:color="auto"/>
          </w:divBdr>
          <w:divsChild>
            <w:div w:id="39459411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7">
                  <w:marLeft w:val="0"/>
                  <w:marRight w:val="0"/>
                  <w:marTop w:val="0"/>
                  <w:marBottom w:val="0"/>
                  <w:divBdr>
                    <w:top w:val="none" w:sz="0" w:space="0" w:color="auto"/>
                    <w:left w:val="none" w:sz="0" w:space="0" w:color="auto"/>
                    <w:bottom w:val="none" w:sz="0" w:space="0" w:color="auto"/>
                    <w:right w:val="none" w:sz="0" w:space="0" w:color="auto"/>
                  </w:divBdr>
                  <w:divsChild>
                    <w:div w:id="394594085">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4">
                                  <w:marLeft w:val="0"/>
                                  <w:marRight w:val="0"/>
                                  <w:marTop w:val="0"/>
                                  <w:marBottom w:val="0"/>
                                  <w:divBdr>
                                    <w:top w:val="single" w:sz="2" w:space="5" w:color="D4D4D4"/>
                                    <w:left w:val="single" w:sz="6" w:space="5" w:color="D4D4D4"/>
                                    <w:bottom w:val="single" w:sz="6" w:space="5" w:color="D4D4D4"/>
                                    <w:right w:val="single" w:sz="6" w:space="5" w:color="D4D4D4"/>
                                  </w:divBdr>
                                  <w:divsChild>
                                    <w:div w:id="394594091">
                                      <w:marLeft w:val="0"/>
                                      <w:marRight w:val="0"/>
                                      <w:marTop w:val="75"/>
                                      <w:marBottom w:val="0"/>
                                      <w:divBdr>
                                        <w:top w:val="none" w:sz="0" w:space="0" w:color="auto"/>
                                        <w:left w:val="none" w:sz="0" w:space="0" w:color="auto"/>
                                        <w:bottom w:val="none" w:sz="0" w:space="0" w:color="auto"/>
                                        <w:right w:val="none" w:sz="0" w:space="0" w:color="auto"/>
                                      </w:divBdr>
                                      <w:divsChild>
                                        <w:div w:id="394594102">
                                          <w:marLeft w:val="0"/>
                                          <w:marRight w:val="0"/>
                                          <w:marTop w:val="75"/>
                                          <w:marBottom w:val="0"/>
                                          <w:divBdr>
                                            <w:top w:val="none" w:sz="0" w:space="0" w:color="auto"/>
                                            <w:left w:val="none" w:sz="0" w:space="0" w:color="auto"/>
                                            <w:bottom w:val="none" w:sz="0" w:space="0" w:color="auto"/>
                                            <w:right w:val="none" w:sz="0" w:space="0" w:color="auto"/>
                                          </w:divBdr>
                                          <w:divsChild>
                                            <w:div w:id="394594084">
                                              <w:marLeft w:val="0"/>
                                              <w:marRight w:val="0"/>
                                              <w:marTop w:val="0"/>
                                              <w:marBottom w:val="0"/>
                                              <w:divBdr>
                                                <w:top w:val="none" w:sz="0" w:space="0" w:color="auto"/>
                                                <w:left w:val="none" w:sz="0" w:space="0" w:color="auto"/>
                                                <w:bottom w:val="none" w:sz="0" w:space="0" w:color="auto"/>
                                                <w:right w:val="none" w:sz="0" w:space="0" w:color="auto"/>
                                              </w:divBdr>
                                              <w:divsChild>
                                                <w:div w:id="394594076">
                                                  <w:marLeft w:val="0"/>
                                                  <w:marRight w:val="0"/>
                                                  <w:marTop w:val="0"/>
                                                  <w:marBottom w:val="0"/>
                                                  <w:divBdr>
                                                    <w:top w:val="none" w:sz="0" w:space="0" w:color="auto"/>
                                                    <w:left w:val="none" w:sz="0" w:space="0" w:color="auto"/>
                                                    <w:bottom w:val="none" w:sz="0" w:space="0" w:color="auto"/>
                                                    <w:right w:val="none" w:sz="0" w:space="0" w:color="auto"/>
                                                  </w:divBdr>
                                                  <w:divsChild>
                                                    <w:div w:id="394594059">
                                                      <w:marLeft w:val="0"/>
                                                      <w:marRight w:val="0"/>
                                                      <w:marTop w:val="0"/>
                                                      <w:marBottom w:val="0"/>
                                                      <w:divBdr>
                                                        <w:top w:val="none" w:sz="0" w:space="0" w:color="auto"/>
                                                        <w:left w:val="none" w:sz="0" w:space="0" w:color="auto"/>
                                                        <w:bottom w:val="none" w:sz="0" w:space="0" w:color="auto"/>
                                                        <w:right w:val="none" w:sz="0" w:space="0" w:color="auto"/>
                                                      </w:divBdr>
                                                      <w:divsChild>
                                                        <w:div w:id="394594106">
                                                          <w:marLeft w:val="0"/>
                                                          <w:marRight w:val="0"/>
                                                          <w:marTop w:val="0"/>
                                                          <w:marBottom w:val="0"/>
                                                          <w:divBdr>
                                                            <w:top w:val="none" w:sz="0" w:space="0" w:color="auto"/>
                                                            <w:left w:val="none" w:sz="0" w:space="0" w:color="auto"/>
                                                            <w:bottom w:val="none" w:sz="0" w:space="0" w:color="auto"/>
                                                            <w:right w:val="none" w:sz="0" w:space="0" w:color="auto"/>
                                                          </w:divBdr>
                                                          <w:divsChild>
                                                            <w:div w:id="3945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14">
      <w:marLeft w:val="0"/>
      <w:marRight w:val="0"/>
      <w:marTop w:val="0"/>
      <w:marBottom w:val="0"/>
      <w:divBdr>
        <w:top w:val="none" w:sz="0" w:space="0" w:color="auto"/>
        <w:left w:val="none" w:sz="0" w:space="0" w:color="auto"/>
        <w:bottom w:val="none" w:sz="0" w:space="0" w:color="auto"/>
        <w:right w:val="none" w:sz="0" w:space="0" w:color="auto"/>
      </w:divBdr>
      <w:divsChild>
        <w:div w:id="394594079">
          <w:marLeft w:val="0"/>
          <w:marRight w:val="0"/>
          <w:marTop w:val="0"/>
          <w:marBottom w:val="0"/>
          <w:divBdr>
            <w:top w:val="none" w:sz="0" w:space="0" w:color="auto"/>
            <w:left w:val="none" w:sz="0" w:space="0" w:color="auto"/>
            <w:bottom w:val="none" w:sz="0" w:space="0" w:color="auto"/>
            <w:right w:val="none" w:sz="0" w:space="0" w:color="auto"/>
          </w:divBdr>
          <w:divsChild>
            <w:div w:id="394594074">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2">
                  <w:marLeft w:val="0"/>
                  <w:marRight w:val="0"/>
                  <w:marTop w:val="0"/>
                  <w:marBottom w:val="0"/>
                  <w:divBdr>
                    <w:top w:val="none" w:sz="0" w:space="0" w:color="auto"/>
                    <w:left w:val="none" w:sz="0" w:space="0" w:color="auto"/>
                    <w:bottom w:val="none" w:sz="0" w:space="0" w:color="auto"/>
                    <w:right w:val="none" w:sz="0" w:space="0" w:color="auto"/>
                  </w:divBdr>
                  <w:divsChild>
                    <w:div w:id="39459414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6">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6">
                                  <w:marLeft w:val="0"/>
                                  <w:marRight w:val="0"/>
                                  <w:marTop w:val="0"/>
                                  <w:marBottom w:val="0"/>
                                  <w:divBdr>
                                    <w:top w:val="single" w:sz="2" w:space="5" w:color="D4D4D4"/>
                                    <w:left w:val="single" w:sz="6" w:space="5" w:color="D4D4D4"/>
                                    <w:bottom w:val="single" w:sz="6" w:space="5" w:color="D4D4D4"/>
                                    <w:right w:val="single" w:sz="6" w:space="5" w:color="D4D4D4"/>
                                  </w:divBdr>
                                  <w:divsChild>
                                    <w:div w:id="394594166">
                                      <w:marLeft w:val="0"/>
                                      <w:marRight w:val="0"/>
                                      <w:marTop w:val="75"/>
                                      <w:marBottom w:val="0"/>
                                      <w:divBdr>
                                        <w:top w:val="none" w:sz="0" w:space="0" w:color="auto"/>
                                        <w:left w:val="none" w:sz="0" w:space="0" w:color="auto"/>
                                        <w:bottom w:val="none" w:sz="0" w:space="0" w:color="auto"/>
                                        <w:right w:val="none" w:sz="0" w:space="0" w:color="auto"/>
                                      </w:divBdr>
                                      <w:divsChild>
                                        <w:div w:id="394594093">
                                          <w:marLeft w:val="0"/>
                                          <w:marRight w:val="0"/>
                                          <w:marTop w:val="75"/>
                                          <w:marBottom w:val="0"/>
                                          <w:divBdr>
                                            <w:top w:val="none" w:sz="0" w:space="0" w:color="auto"/>
                                            <w:left w:val="none" w:sz="0" w:space="0" w:color="auto"/>
                                            <w:bottom w:val="none" w:sz="0" w:space="0" w:color="auto"/>
                                            <w:right w:val="none" w:sz="0" w:space="0" w:color="auto"/>
                                          </w:divBdr>
                                          <w:divsChild>
                                            <w:div w:id="394594124">
                                              <w:marLeft w:val="0"/>
                                              <w:marRight w:val="0"/>
                                              <w:marTop w:val="0"/>
                                              <w:marBottom w:val="0"/>
                                              <w:divBdr>
                                                <w:top w:val="none" w:sz="0" w:space="0" w:color="auto"/>
                                                <w:left w:val="none" w:sz="0" w:space="0" w:color="auto"/>
                                                <w:bottom w:val="none" w:sz="0" w:space="0" w:color="auto"/>
                                                <w:right w:val="none" w:sz="0" w:space="0" w:color="auto"/>
                                              </w:divBdr>
                                              <w:divsChild>
                                                <w:div w:id="394594169">
                                                  <w:marLeft w:val="0"/>
                                                  <w:marRight w:val="0"/>
                                                  <w:marTop w:val="0"/>
                                                  <w:marBottom w:val="0"/>
                                                  <w:divBdr>
                                                    <w:top w:val="none" w:sz="0" w:space="0" w:color="auto"/>
                                                    <w:left w:val="none" w:sz="0" w:space="0" w:color="auto"/>
                                                    <w:bottom w:val="none" w:sz="0" w:space="0" w:color="auto"/>
                                                    <w:right w:val="none" w:sz="0" w:space="0" w:color="auto"/>
                                                  </w:divBdr>
                                                  <w:divsChild>
                                                    <w:div w:id="394594160">
                                                      <w:marLeft w:val="0"/>
                                                      <w:marRight w:val="0"/>
                                                      <w:marTop w:val="0"/>
                                                      <w:marBottom w:val="0"/>
                                                      <w:divBdr>
                                                        <w:top w:val="none" w:sz="0" w:space="0" w:color="auto"/>
                                                        <w:left w:val="none" w:sz="0" w:space="0" w:color="auto"/>
                                                        <w:bottom w:val="none" w:sz="0" w:space="0" w:color="auto"/>
                                                        <w:right w:val="none" w:sz="0" w:space="0" w:color="auto"/>
                                                      </w:divBdr>
                                                      <w:divsChild>
                                                        <w:div w:id="394594137">
                                                          <w:marLeft w:val="0"/>
                                                          <w:marRight w:val="0"/>
                                                          <w:marTop w:val="0"/>
                                                          <w:marBottom w:val="0"/>
                                                          <w:divBdr>
                                                            <w:top w:val="none" w:sz="0" w:space="0" w:color="auto"/>
                                                            <w:left w:val="none" w:sz="0" w:space="0" w:color="auto"/>
                                                            <w:bottom w:val="none" w:sz="0" w:space="0" w:color="auto"/>
                                                            <w:right w:val="none" w:sz="0" w:space="0" w:color="auto"/>
                                                          </w:divBdr>
                                                          <w:divsChild>
                                                            <w:div w:id="3945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28">
      <w:marLeft w:val="0"/>
      <w:marRight w:val="0"/>
      <w:marTop w:val="0"/>
      <w:marBottom w:val="0"/>
      <w:divBdr>
        <w:top w:val="none" w:sz="0" w:space="0" w:color="auto"/>
        <w:left w:val="none" w:sz="0" w:space="0" w:color="auto"/>
        <w:bottom w:val="none" w:sz="0" w:space="0" w:color="auto"/>
        <w:right w:val="none" w:sz="0" w:space="0" w:color="auto"/>
      </w:divBdr>
    </w:div>
    <w:div w:id="394594129">
      <w:marLeft w:val="0"/>
      <w:marRight w:val="0"/>
      <w:marTop w:val="0"/>
      <w:marBottom w:val="0"/>
      <w:divBdr>
        <w:top w:val="none" w:sz="0" w:space="0" w:color="auto"/>
        <w:left w:val="none" w:sz="0" w:space="0" w:color="auto"/>
        <w:bottom w:val="none" w:sz="0" w:space="0" w:color="auto"/>
        <w:right w:val="none" w:sz="0" w:space="0" w:color="auto"/>
      </w:divBdr>
      <w:divsChild>
        <w:div w:id="394594095">
          <w:marLeft w:val="0"/>
          <w:marRight w:val="0"/>
          <w:marTop w:val="0"/>
          <w:marBottom w:val="0"/>
          <w:divBdr>
            <w:top w:val="none" w:sz="0" w:space="0" w:color="auto"/>
            <w:left w:val="none" w:sz="0" w:space="0" w:color="auto"/>
            <w:bottom w:val="none" w:sz="0" w:space="0" w:color="auto"/>
            <w:right w:val="none" w:sz="0" w:space="0" w:color="auto"/>
          </w:divBdr>
          <w:divsChild>
            <w:div w:id="394594140">
              <w:marLeft w:val="0"/>
              <w:marRight w:val="0"/>
              <w:marTop w:val="0"/>
              <w:marBottom w:val="120"/>
              <w:divBdr>
                <w:top w:val="none" w:sz="0" w:space="0" w:color="auto"/>
                <w:left w:val="none" w:sz="0" w:space="0" w:color="auto"/>
                <w:bottom w:val="none" w:sz="0" w:space="0" w:color="auto"/>
                <w:right w:val="none" w:sz="0" w:space="0" w:color="auto"/>
              </w:divBdr>
              <w:divsChild>
                <w:div w:id="394594070">
                  <w:marLeft w:val="0"/>
                  <w:marRight w:val="0"/>
                  <w:marTop w:val="0"/>
                  <w:marBottom w:val="120"/>
                  <w:divBdr>
                    <w:top w:val="none" w:sz="0" w:space="0" w:color="auto"/>
                    <w:left w:val="none" w:sz="0" w:space="0" w:color="auto"/>
                    <w:bottom w:val="none" w:sz="0" w:space="0" w:color="auto"/>
                    <w:right w:val="none" w:sz="0" w:space="0" w:color="auto"/>
                  </w:divBdr>
                  <w:divsChild>
                    <w:div w:id="394594138">
                      <w:marLeft w:val="0"/>
                      <w:marRight w:val="0"/>
                      <w:marTop w:val="0"/>
                      <w:marBottom w:val="0"/>
                      <w:divBdr>
                        <w:top w:val="none" w:sz="0" w:space="0" w:color="auto"/>
                        <w:left w:val="none" w:sz="0" w:space="0" w:color="auto"/>
                        <w:bottom w:val="none" w:sz="0" w:space="0" w:color="auto"/>
                        <w:right w:val="none" w:sz="0" w:space="0" w:color="auto"/>
                      </w:divBdr>
                      <w:divsChild>
                        <w:div w:id="394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133">
      <w:marLeft w:val="0"/>
      <w:marRight w:val="0"/>
      <w:marTop w:val="0"/>
      <w:marBottom w:val="0"/>
      <w:divBdr>
        <w:top w:val="none" w:sz="0" w:space="0" w:color="auto"/>
        <w:left w:val="none" w:sz="0" w:space="0" w:color="auto"/>
        <w:bottom w:val="none" w:sz="0" w:space="0" w:color="auto"/>
        <w:right w:val="none" w:sz="0" w:space="0" w:color="auto"/>
      </w:divBdr>
    </w:div>
    <w:div w:id="394594134">
      <w:marLeft w:val="0"/>
      <w:marRight w:val="0"/>
      <w:marTop w:val="0"/>
      <w:marBottom w:val="0"/>
      <w:divBdr>
        <w:top w:val="none" w:sz="0" w:space="0" w:color="auto"/>
        <w:left w:val="none" w:sz="0" w:space="0" w:color="auto"/>
        <w:bottom w:val="none" w:sz="0" w:space="0" w:color="auto"/>
        <w:right w:val="none" w:sz="0" w:space="0" w:color="auto"/>
      </w:divBdr>
    </w:div>
    <w:div w:id="394594135">
      <w:marLeft w:val="0"/>
      <w:marRight w:val="0"/>
      <w:marTop w:val="0"/>
      <w:marBottom w:val="0"/>
      <w:divBdr>
        <w:top w:val="none" w:sz="0" w:space="0" w:color="auto"/>
        <w:left w:val="none" w:sz="0" w:space="0" w:color="auto"/>
        <w:bottom w:val="none" w:sz="0" w:space="0" w:color="auto"/>
        <w:right w:val="none" w:sz="0" w:space="0" w:color="auto"/>
      </w:divBdr>
      <w:divsChild>
        <w:div w:id="394594119">
          <w:marLeft w:val="0"/>
          <w:marRight w:val="0"/>
          <w:marTop w:val="0"/>
          <w:marBottom w:val="0"/>
          <w:divBdr>
            <w:top w:val="none" w:sz="0" w:space="0" w:color="auto"/>
            <w:left w:val="none" w:sz="0" w:space="0" w:color="auto"/>
            <w:bottom w:val="none" w:sz="0" w:space="0" w:color="auto"/>
            <w:right w:val="none" w:sz="0" w:space="0" w:color="auto"/>
          </w:divBdr>
          <w:divsChild>
            <w:div w:id="39459410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2">
                  <w:marLeft w:val="0"/>
                  <w:marRight w:val="0"/>
                  <w:marTop w:val="0"/>
                  <w:marBottom w:val="0"/>
                  <w:divBdr>
                    <w:top w:val="none" w:sz="0" w:space="0" w:color="auto"/>
                    <w:left w:val="none" w:sz="0" w:space="0" w:color="auto"/>
                    <w:bottom w:val="none" w:sz="0" w:space="0" w:color="auto"/>
                    <w:right w:val="none" w:sz="0" w:space="0" w:color="auto"/>
                  </w:divBdr>
                  <w:divsChild>
                    <w:div w:id="394594145">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9">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7">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5">
                                  <w:marLeft w:val="0"/>
                                  <w:marRight w:val="0"/>
                                  <w:marTop w:val="0"/>
                                  <w:marBottom w:val="0"/>
                                  <w:divBdr>
                                    <w:top w:val="single" w:sz="2" w:space="5" w:color="D4D4D4"/>
                                    <w:left w:val="single" w:sz="6" w:space="5" w:color="D4D4D4"/>
                                    <w:bottom w:val="single" w:sz="6" w:space="5" w:color="D4D4D4"/>
                                    <w:right w:val="single" w:sz="6" w:space="5" w:color="D4D4D4"/>
                                  </w:divBdr>
                                  <w:divsChild>
                                    <w:div w:id="394594115">
                                      <w:marLeft w:val="0"/>
                                      <w:marRight w:val="0"/>
                                      <w:marTop w:val="75"/>
                                      <w:marBottom w:val="0"/>
                                      <w:divBdr>
                                        <w:top w:val="none" w:sz="0" w:space="0" w:color="auto"/>
                                        <w:left w:val="none" w:sz="0" w:space="0" w:color="auto"/>
                                        <w:bottom w:val="none" w:sz="0" w:space="0" w:color="auto"/>
                                        <w:right w:val="none" w:sz="0" w:space="0" w:color="auto"/>
                                      </w:divBdr>
                                      <w:divsChild>
                                        <w:div w:id="394594159">
                                          <w:marLeft w:val="0"/>
                                          <w:marRight w:val="0"/>
                                          <w:marTop w:val="75"/>
                                          <w:marBottom w:val="0"/>
                                          <w:divBdr>
                                            <w:top w:val="none" w:sz="0" w:space="0" w:color="auto"/>
                                            <w:left w:val="none" w:sz="0" w:space="0" w:color="auto"/>
                                            <w:bottom w:val="none" w:sz="0" w:space="0" w:color="auto"/>
                                            <w:right w:val="none" w:sz="0" w:space="0" w:color="auto"/>
                                          </w:divBdr>
                                          <w:divsChild>
                                            <w:div w:id="394594078">
                                              <w:marLeft w:val="0"/>
                                              <w:marRight w:val="0"/>
                                              <w:marTop w:val="0"/>
                                              <w:marBottom w:val="0"/>
                                              <w:divBdr>
                                                <w:top w:val="none" w:sz="0" w:space="0" w:color="auto"/>
                                                <w:left w:val="none" w:sz="0" w:space="0" w:color="auto"/>
                                                <w:bottom w:val="none" w:sz="0" w:space="0" w:color="auto"/>
                                                <w:right w:val="none" w:sz="0" w:space="0" w:color="auto"/>
                                              </w:divBdr>
                                              <w:divsChild>
                                                <w:div w:id="394594107">
                                                  <w:marLeft w:val="0"/>
                                                  <w:marRight w:val="0"/>
                                                  <w:marTop w:val="0"/>
                                                  <w:marBottom w:val="0"/>
                                                  <w:divBdr>
                                                    <w:top w:val="none" w:sz="0" w:space="0" w:color="auto"/>
                                                    <w:left w:val="none" w:sz="0" w:space="0" w:color="auto"/>
                                                    <w:bottom w:val="none" w:sz="0" w:space="0" w:color="auto"/>
                                                    <w:right w:val="none" w:sz="0" w:space="0" w:color="auto"/>
                                                  </w:divBdr>
                                                  <w:divsChild>
                                                    <w:div w:id="394594144">
                                                      <w:marLeft w:val="0"/>
                                                      <w:marRight w:val="0"/>
                                                      <w:marTop w:val="0"/>
                                                      <w:marBottom w:val="0"/>
                                                      <w:divBdr>
                                                        <w:top w:val="none" w:sz="0" w:space="0" w:color="auto"/>
                                                        <w:left w:val="none" w:sz="0" w:space="0" w:color="auto"/>
                                                        <w:bottom w:val="none" w:sz="0" w:space="0" w:color="auto"/>
                                                        <w:right w:val="none" w:sz="0" w:space="0" w:color="auto"/>
                                                      </w:divBdr>
                                                      <w:divsChild>
                                                        <w:div w:id="394594109">
                                                          <w:marLeft w:val="0"/>
                                                          <w:marRight w:val="0"/>
                                                          <w:marTop w:val="0"/>
                                                          <w:marBottom w:val="0"/>
                                                          <w:divBdr>
                                                            <w:top w:val="none" w:sz="0" w:space="0" w:color="auto"/>
                                                            <w:left w:val="none" w:sz="0" w:space="0" w:color="auto"/>
                                                            <w:bottom w:val="none" w:sz="0" w:space="0" w:color="auto"/>
                                                            <w:right w:val="none" w:sz="0" w:space="0" w:color="auto"/>
                                                          </w:divBdr>
                                                          <w:divsChild>
                                                            <w:div w:id="39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48">
      <w:marLeft w:val="0"/>
      <w:marRight w:val="0"/>
      <w:marTop w:val="0"/>
      <w:marBottom w:val="0"/>
      <w:divBdr>
        <w:top w:val="none" w:sz="0" w:space="0" w:color="auto"/>
        <w:left w:val="none" w:sz="0" w:space="0" w:color="auto"/>
        <w:bottom w:val="none" w:sz="0" w:space="0" w:color="auto"/>
        <w:right w:val="none" w:sz="0" w:space="0" w:color="auto"/>
      </w:divBdr>
    </w:div>
    <w:div w:id="394594151">
      <w:marLeft w:val="0"/>
      <w:marRight w:val="0"/>
      <w:marTop w:val="0"/>
      <w:marBottom w:val="0"/>
      <w:divBdr>
        <w:top w:val="none" w:sz="0" w:space="0" w:color="auto"/>
        <w:left w:val="none" w:sz="0" w:space="0" w:color="auto"/>
        <w:bottom w:val="none" w:sz="0" w:space="0" w:color="auto"/>
        <w:right w:val="none" w:sz="0" w:space="0" w:color="auto"/>
      </w:divBdr>
    </w:div>
    <w:div w:id="394594157">
      <w:marLeft w:val="0"/>
      <w:marRight w:val="0"/>
      <w:marTop w:val="0"/>
      <w:marBottom w:val="0"/>
      <w:divBdr>
        <w:top w:val="none" w:sz="0" w:space="0" w:color="auto"/>
        <w:left w:val="none" w:sz="0" w:space="0" w:color="auto"/>
        <w:bottom w:val="none" w:sz="0" w:space="0" w:color="auto"/>
        <w:right w:val="none" w:sz="0" w:space="0" w:color="auto"/>
      </w:divBdr>
    </w:div>
    <w:div w:id="394594163">
      <w:marLeft w:val="0"/>
      <w:marRight w:val="0"/>
      <w:marTop w:val="0"/>
      <w:marBottom w:val="0"/>
      <w:divBdr>
        <w:top w:val="none" w:sz="0" w:space="0" w:color="auto"/>
        <w:left w:val="none" w:sz="0" w:space="0" w:color="auto"/>
        <w:bottom w:val="none" w:sz="0" w:space="2" w:color="auto"/>
        <w:right w:val="none" w:sz="0" w:space="0" w:color="auto"/>
      </w:divBdr>
    </w:div>
    <w:div w:id="394594170">
      <w:marLeft w:val="0"/>
      <w:marRight w:val="0"/>
      <w:marTop w:val="0"/>
      <w:marBottom w:val="0"/>
      <w:divBdr>
        <w:top w:val="none" w:sz="0" w:space="0" w:color="auto"/>
        <w:left w:val="none" w:sz="0" w:space="0" w:color="auto"/>
        <w:bottom w:val="none" w:sz="0" w:space="0" w:color="auto"/>
        <w:right w:val="none" w:sz="0" w:space="0" w:color="auto"/>
      </w:divBdr>
      <w:divsChild>
        <w:div w:id="394594150">
          <w:marLeft w:val="0"/>
          <w:marRight w:val="0"/>
          <w:marTop w:val="0"/>
          <w:marBottom w:val="0"/>
          <w:divBdr>
            <w:top w:val="none" w:sz="0" w:space="0" w:color="auto"/>
            <w:left w:val="none" w:sz="0" w:space="0" w:color="auto"/>
            <w:bottom w:val="none" w:sz="0" w:space="0" w:color="auto"/>
            <w:right w:val="none" w:sz="0" w:space="0" w:color="auto"/>
          </w:divBdr>
          <w:divsChild>
            <w:div w:id="39459408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4">
                  <w:marLeft w:val="0"/>
                  <w:marRight w:val="0"/>
                  <w:marTop w:val="0"/>
                  <w:marBottom w:val="0"/>
                  <w:divBdr>
                    <w:top w:val="none" w:sz="0" w:space="0" w:color="auto"/>
                    <w:left w:val="none" w:sz="0" w:space="0" w:color="auto"/>
                    <w:bottom w:val="none" w:sz="0" w:space="0" w:color="auto"/>
                    <w:right w:val="none" w:sz="0" w:space="0" w:color="auto"/>
                  </w:divBdr>
                  <w:divsChild>
                    <w:div w:id="39459413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0">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6">
                                      <w:marLeft w:val="0"/>
                                      <w:marRight w:val="0"/>
                                      <w:marTop w:val="75"/>
                                      <w:marBottom w:val="0"/>
                                      <w:divBdr>
                                        <w:top w:val="none" w:sz="0" w:space="0" w:color="auto"/>
                                        <w:left w:val="none" w:sz="0" w:space="0" w:color="auto"/>
                                        <w:bottom w:val="none" w:sz="0" w:space="0" w:color="auto"/>
                                        <w:right w:val="none" w:sz="0" w:space="0" w:color="auto"/>
                                      </w:divBdr>
                                      <w:divsChild>
                                        <w:div w:id="394594155">
                                          <w:marLeft w:val="0"/>
                                          <w:marRight w:val="0"/>
                                          <w:marTop w:val="0"/>
                                          <w:marBottom w:val="0"/>
                                          <w:divBdr>
                                            <w:top w:val="none" w:sz="0" w:space="0" w:color="auto"/>
                                            <w:left w:val="none" w:sz="0" w:space="0" w:color="auto"/>
                                            <w:bottom w:val="none" w:sz="0" w:space="0" w:color="auto"/>
                                            <w:right w:val="none" w:sz="0" w:space="0" w:color="auto"/>
                                          </w:divBdr>
                                          <w:divsChild>
                                            <w:div w:id="3945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172">
      <w:marLeft w:val="0"/>
      <w:marRight w:val="0"/>
      <w:marTop w:val="0"/>
      <w:marBottom w:val="0"/>
      <w:divBdr>
        <w:top w:val="none" w:sz="0" w:space="0" w:color="auto"/>
        <w:left w:val="none" w:sz="0" w:space="0" w:color="auto"/>
        <w:bottom w:val="none" w:sz="0" w:space="0" w:color="auto"/>
        <w:right w:val="none" w:sz="0" w:space="0" w:color="auto"/>
      </w:divBdr>
    </w:div>
    <w:div w:id="394594173">
      <w:marLeft w:val="0"/>
      <w:marRight w:val="0"/>
      <w:marTop w:val="0"/>
      <w:marBottom w:val="0"/>
      <w:divBdr>
        <w:top w:val="none" w:sz="0" w:space="0" w:color="auto"/>
        <w:left w:val="none" w:sz="0" w:space="0" w:color="auto"/>
        <w:bottom w:val="none" w:sz="0" w:space="0" w:color="auto"/>
        <w:right w:val="none" w:sz="0" w:space="0" w:color="auto"/>
      </w:divBdr>
    </w:div>
    <w:div w:id="567038627">
      <w:bodyDiv w:val="1"/>
      <w:marLeft w:val="0"/>
      <w:marRight w:val="0"/>
      <w:marTop w:val="0"/>
      <w:marBottom w:val="0"/>
      <w:divBdr>
        <w:top w:val="none" w:sz="0" w:space="0" w:color="auto"/>
        <w:left w:val="none" w:sz="0" w:space="0" w:color="auto"/>
        <w:bottom w:val="none" w:sz="0" w:space="0" w:color="auto"/>
        <w:right w:val="none" w:sz="0" w:space="0" w:color="auto"/>
      </w:divBdr>
    </w:div>
    <w:div w:id="567148930">
      <w:bodyDiv w:val="1"/>
      <w:marLeft w:val="0"/>
      <w:marRight w:val="0"/>
      <w:marTop w:val="0"/>
      <w:marBottom w:val="0"/>
      <w:divBdr>
        <w:top w:val="none" w:sz="0" w:space="0" w:color="auto"/>
        <w:left w:val="none" w:sz="0" w:space="0" w:color="auto"/>
        <w:bottom w:val="none" w:sz="0" w:space="0" w:color="auto"/>
        <w:right w:val="none" w:sz="0" w:space="0" w:color="auto"/>
      </w:divBdr>
    </w:div>
    <w:div w:id="753940578">
      <w:bodyDiv w:val="1"/>
      <w:marLeft w:val="0"/>
      <w:marRight w:val="0"/>
      <w:marTop w:val="0"/>
      <w:marBottom w:val="0"/>
      <w:divBdr>
        <w:top w:val="none" w:sz="0" w:space="0" w:color="auto"/>
        <w:left w:val="none" w:sz="0" w:space="0" w:color="auto"/>
        <w:bottom w:val="none" w:sz="0" w:space="0" w:color="auto"/>
        <w:right w:val="none" w:sz="0" w:space="0" w:color="auto"/>
      </w:divBdr>
    </w:div>
    <w:div w:id="777024509">
      <w:bodyDiv w:val="1"/>
      <w:marLeft w:val="0"/>
      <w:marRight w:val="0"/>
      <w:marTop w:val="0"/>
      <w:marBottom w:val="0"/>
      <w:divBdr>
        <w:top w:val="none" w:sz="0" w:space="0" w:color="auto"/>
        <w:left w:val="none" w:sz="0" w:space="0" w:color="auto"/>
        <w:bottom w:val="none" w:sz="0" w:space="0" w:color="auto"/>
        <w:right w:val="none" w:sz="0" w:space="0" w:color="auto"/>
      </w:divBdr>
    </w:div>
    <w:div w:id="812017569">
      <w:bodyDiv w:val="1"/>
      <w:marLeft w:val="0"/>
      <w:marRight w:val="0"/>
      <w:marTop w:val="0"/>
      <w:marBottom w:val="0"/>
      <w:divBdr>
        <w:top w:val="none" w:sz="0" w:space="0" w:color="auto"/>
        <w:left w:val="none" w:sz="0" w:space="0" w:color="auto"/>
        <w:bottom w:val="none" w:sz="0" w:space="0" w:color="auto"/>
        <w:right w:val="none" w:sz="0" w:space="0" w:color="auto"/>
      </w:divBdr>
    </w:div>
    <w:div w:id="1028484309">
      <w:bodyDiv w:val="1"/>
      <w:marLeft w:val="0"/>
      <w:marRight w:val="0"/>
      <w:marTop w:val="0"/>
      <w:marBottom w:val="0"/>
      <w:divBdr>
        <w:top w:val="none" w:sz="0" w:space="0" w:color="auto"/>
        <w:left w:val="none" w:sz="0" w:space="0" w:color="auto"/>
        <w:bottom w:val="none" w:sz="0" w:space="0" w:color="auto"/>
        <w:right w:val="none" w:sz="0" w:space="0" w:color="auto"/>
      </w:divBdr>
    </w:div>
    <w:div w:id="1066952385">
      <w:bodyDiv w:val="1"/>
      <w:marLeft w:val="0"/>
      <w:marRight w:val="0"/>
      <w:marTop w:val="0"/>
      <w:marBottom w:val="0"/>
      <w:divBdr>
        <w:top w:val="none" w:sz="0" w:space="0" w:color="auto"/>
        <w:left w:val="none" w:sz="0" w:space="0" w:color="auto"/>
        <w:bottom w:val="none" w:sz="0" w:space="0" w:color="auto"/>
        <w:right w:val="none" w:sz="0" w:space="0" w:color="auto"/>
      </w:divBdr>
    </w:div>
    <w:div w:id="1166364042">
      <w:bodyDiv w:val="1"/>
      <w:marLeft w:val="0"/>
      <w:marRight w:val="0"/>
      <w:marTop w:val="0"/>
      <w:marBottom w:val="0"/>
      <w:divBdr>
        <w:top w:val="none" w:sz="0" w:space="0" w:color="auto"/>
        <w:left w:val="none" w:sz="0" w:space="0" w:color="auto"/>
        <w:bottom w:val="none" w:sz="0" w:space="0" w:color="auto"/>
        <w:right w:val="none" w:sz="0" w:space="0" w:color="auto"/>
      </w:divBdr>
    </w:div>
    <w:div w:id="1167095595">
      <w:bodyDiv w:val="1"/>
      <w:marLeft w:val="0"/>
      <w:marRight w:val="0"/>
      <w:marTop w:val="0"/>
      <w:marBottom w:val="0"/>
      <w:divBdr>
        <w:top w:val="none" w:sz="0" w:space="0" w:color="auto"/>
        <w:left w:val="none" w:sz="0" w:space="0" w:color="auto"/>
        <w:bottom w:val="none" w:sz="0" w:space="0" w:color="auto"/>
        <w:right w:val="none" w:sz="0" w:space="0" w:color="auto"/>
      </w:divBdr>
    </w:div>
    <w:div w:id="1224633695">
      <w:bodyDiv w:val="1"/>
      <w:marLeft w:val="0"/>
      <w:marRight w:val="0"/>
      <w:marTop w:val="0"/>
      <w:marBottom w:val="0"/>
      <w:divBdr>
        <w:top w:val="none" w:sz="0" w:space="0" w:color="auto"/>
        <w:left w:val="none" w:sz="0" w:space="0" w:color="auto"/>
        <w:bottom w:val="none" w:sz="0" w:space="0" w:color="auto"/>
        <w:right w:val="none" w:sz="0" w:space="0" w:color="auto"/>
      </w:divBdr>
    </w:div>
    <w:div w:id="1302343001">
      <w:bodyDiv w:val="1"/>
      <w:marLeft w:val="0"/>
      <w:marRight w:val="0"/>
      <w:marTop w:val="0"/>
      <w:marBottom w:val="0"/>
      <w:divBdr>
        <w:top w:val="none" w:sz="0" w:space="0" w:color="auto"/>
        <w:left w:val="none" w:sz="0" w:space="0" w:color="auto"/>
        <w:bottom w:val="none" w:sz="0" w:space="0" w:color="auto"/>
        <w:right w:val="none" w:sz="0" w:space="0" w:color="auto"/>
      </w:divBdr>
    </w:div>
    <w:div w:id="1323238987">
      <w:bodyDiv w:val="1"/>
      <w:marLeft w:val="0"/>
      <w:marRight w:val="0"/>
      <w:marTop w:val="0"/>
      <w:marBottom w:val="0"/>
      <w:divBdr>
        <w:top w:val="none" w:sz="0" w:space="0" w:color="auto"/>
        <w:left w:val="none" w:sz="0" w:space="0" w:color="auto"/>
        <w:bottom w:val="none" w:sz="0" w:space="0" w:color="auto"/>
        <w:right w:val="none" w:sz="0" w:space="0" w:color="auto"/>
      </w:divBdr>
    </w:div>
    <w:div w:id="1521700851">
      <w:bodyDiv w:val="1"/>
      <w:marLeft w:val="0"/>
      <w:marRight w:val="0"/>
      <w:marTop w:val="0"/>
      <w:marBottom w:val="0"/>
      <w:divBdr>
        <w:top w:val="none" w:sz="0" w:space="0" w:color="auto"/>
        <w:left w:val="none" w:sz="0" w:space="0" w:color="auto"/>
        <w:bottom w:val="none" w:sz="0" w:space="0" w:color="auto"/>
        <w:right w:val="none" w:sz="0" w:space="0" w:color="auto"/>
      </w:divBdr>
    </w:div>
    <w:div w:id="1657369371">
      <w:bodyDiv w:val="1"/>
      <w:marLeft w:val="0"/>
      <w:marRight w:val="0"/>
      <w:marTop w:val="0"/>
      <w:marBottom w:val="0"/>
      <w:divBdr>
        <w:top w:val="none" w:sz="0" w:space="0" w:color="auto"/>
        <w:left w:val="none" w:sz="0" w:space="0" w:color="auto"/>
        <w:bottom w:val="none" w:sz="0" w:space="0" w:color="auto"/>
        <w:right w:val="none" w:sz="0" w:space="0" w:color="auto"/>
      </w:divBdr>
    </w:div>
    <w:div w:id="1678075656">
      <w:bodyDiv w:val="1"/>
      <w:marLeft w:val="0"/>
      <w:marRight w:val="0"/>
      <w:marTop w:val="0"/>
      <w:marBottom w:val="0"/>
      <w:divBdr>
        <w:top w:val="none" w:sz="0" w:space="0" w:color="auto"/>
        <w:left w:val="none" w:sz="0" w:space="0" w:color="auto"/>
        <w:bottom w:val="none" w:sz="0" w:space="0" w:color="auto"/>
        <w:right w:val="none" w:sz="0" w:space="0" w:color="auto"/>
      </w:divBdr>
    </w:div>
    <w:div w:id="1685085244">
      <w:bodyDiv w:val="1"/>
      <w:marLeft w:val="0"/>
      <w:marRight w:val="0"/>
      <w:marTop w:val="0"/>
      <w:marBottom w:val="0"/>
      <w:divBdr>
        <w:top w:val="none" w:sz="0" w:space="0" w:color="auto"/>
        <w:left w:val="none" w:sz="0" w:space="0" w:color="auto"/>
        <w:bottom w:val="none" w:sz="0" w:space="0" w:color="auto"/>
        <w:right w:val="none" w:sz="0" w:space="0" w:color="auto"/>
      </w:divBdr>
    </w:div>
    <w:div w:id="1724600454">
      <w:bodyDiv w:val="1"/>
      <w:marLeft w:val="0"/>
      <w:marRight w:val="0"/>
      <w:marTop w:val="0"/>
      <w:marBottom w:val="0"/>
      <w:divBdr>
        <w:top w:val="none" w:sz="0" w:space="0" w:color="auto"/>
        <w:left w:val="none" w:sz="0" w:space="0" w:color="auto"/>
        <w:bottom w:val="none" w:sz="0" w:space="0" w:color="auto"/>
        <w:right w:val="none" w:sz="0" w:space="0" w:color="auto"/>
      </w:divBdr>
    </w:div>
    <w:div w:id="1727529659">
      <w:bodyDiv w:val="1"/>
      <w:marLeft w:val="0"/>
      <w:marRight w:val="0"/>
      <w:marTop w:val="0"/>
      <w:marBottom w:val="0"/>
      <w:divBdr>
        <w:top w:val="none" w:sz="0" w:space="0" w:color="auto"/>
        <w:left w:val="none" w:sz="0" w:space="0" w:color="auto"/>
        <w:bottom w:val="none" w:sz="0" w:space="0" w:color="auto"/>
        <w:right w:val="none" w:sz="0" w:space="0" w:color="auto"/>
      </w:divBdr>
    </w:div>
    <w:div w:id="1874220784">
      <w:bodyDiv w:val="1"/>
      <w:marLeft w:val="0"/>
      <w:marRight w:val="0"/>
      <w:marTop w:val="0"/>
      <w:marBottom w:val="0"/>
      <w:divBdr>
        <w:top w:val="none" w:sz="0" w:space="0" w:color="auto"/>
        <w:left w:val="none" w:sz="0" w:space="0" w:color="auto"/>
        <w:bottom w:val="none" w:sz="0" w:space="0" w:color="auto"/>
        <w:right w:val="none" w:sz="0" w:space="0" w:color="auto"/>
      </w:divBdr>
    </w:div>
    <w:div w:id="1910532191">
      <w:bodyDiv w:val="1"/>
      <w:marLeft w:val="0"/>
      <w:marRight w:val="0"/>
      <w:marTop w:val="0"/>
      <w:marBottom w:val="0"/>
      <w:divBdr>
        <w:top w:val="none" w:sz="0" w:space="0" w:color="auto"/>
        <w:left w:val="none" w:sz="0" w:space="0" w:color="auto"/>
        <w:bottom w:val="none" w:sz="0" w:space="0" w:color="auto"/>
        <w:right w:val="none" w:sz="0" w:space="0" w:color="auto"/>
      </w:divBdr>
    </w:div>
    <w:div w:id="1992558977">
      <w:bodyDiv w:val="1"/>
      <w:marLeft w:val="0"/>
      <w:marRight w:val="0"/>
      <w:marTop w:val="0"/>
      <w:marBottom w:val="0"/>
      <w:divBdr>
        <w:top w:val="none" w:sz="0" w:space="0" w:color="auto"/>
        <w:left w:val="none" w:sz="0" w:space="0" w:color="auto"/>
        <w:bottom w:val="none" w:sz="0" w:space="0" w:color="auto"/>
        <w:right w:val="none" w:sz="0" w:space="0" w:color="auto"/>
      </w:divBdr>
    </w:div>
    <w:div w:id="205796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A130-1A19-4E87-986D-B8E353492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97258-803B-447D-9110-7FD91C3A3BC4}">
  <ds:schemaRefs>
    <ds:schemaRef ds:uri="http://schemas.microsoft.com/sharepoint/v3/contenttype/forms"/>
  </ds:schemaRefs>
</ds:datastoreItem>
</file>

<file path=customXml/itemProps3.xml><?xml version="1.0" encoding="utf-8"?>
<ds:datastoreItem xmlns:ds="http://schemas.openxmlformats.org/officeDocument/2006/customXml" ds:itemID="{C16FCAE2-1F49-4DAF-BEA0-8EB44EA409ED}"/>
</file>

<file path=customXml/itemProps4.xml><?xml version="1.0" encoding="utf-8"?>
<ds:datastoreItem xmlns:ds="http://schemas.openxmlformats.org/officeDocument/2006/customXml" ds:itemID="{7D67DD9D-C0F8-4CD2-A63C-0B690D21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9568</Words>
  <Characters>5454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LIETUVOS RESPUBLIKOS POZICIJŲ</vt:lpstr>
    </vt:vector>
  </TitlesOfParts>
  <Company>SMM</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a0de4671-128e-4f5c-8b7c-4b914fa95e77</dc:title>
  <dc:subject/>
  <dc:creator>efiseraite</dc:creator>
  <cp:keywords/>
  <dc:description/>
  <cp:lastModifiedBy>Gribauskienė Aušra</cp:lastModifiedBy>
  <cp:revision>7</cp:revision>
  <cp:lastPrinted>2019-11-25T09:40:00Z</cp:lastPrinted>
  <dcterms:created xsi:type="dcterms:W3CDTF">2019-11-25T14:13:00Z</dcterms:created>
  <dcterms:modified xsi:type="dcterms:W3CDTF">2019-11-25T14:23:00Z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