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4F" w:rsidRPr="00B11566" w:rsidRDefault="002A01DD" w:rsidP="007932C0">
      <w:pPr>
        <w:tabs>
          <w:tab w:val="center" w:pos="5102"/>
          <w:tab w:val="right" w:pos="10205"/>
        </w:tabs>
        <w:spacing w:after="0" w:line="240" w:lineRule="auto"/>
        <w:rPr>
          <w:rFonts w:eastAsia="Calibri" w:cs="Times New Roman"/>
          <w:b/>
          <w:sz w:val="26"/>
          <w:szCs w:val="26"/>
        </w:rPr>
      </w:pPr>
      <w:r>
        <w:rPr>
          <w:rFonts w:eastAsia="Calibri" w:cs="Times New Roman"/>
          <w:b/>
          <w:sz w:val="26"/>
          <w:szCs w:val="26"/>
        </w:rPr>
        <w:tab/>
      </w:r>
      <w:r w:rsidR="006E224F" w:rsidRPr="00B11566">
        <w:rPr>
          <w:rFonts w:eastAsia="Calibri" w:cs="Times New Roman"/>
          <w:b/>
          <w:sz w:val="26"/>
          <w:szCs w:val="26"/>
        </w:rPr>
        <w:t>PAŽYMA</w:t>
      </w:r>
      <w:r>
        <w:rPr>
          <w:rFonts w:eastAsia="Calibri" w:cs="Times New Roman"/>
          <w:b/>
          <w:sz w:val="26"/>
          <w:szCs w:val="26"/>
        </w:rPr>
        <w:tab/>
      </w:r>
    </w:p>
    <w:p w:rsidR="006E224F" w:rsidRPr="00B11566" w:rsidRDefault="00A207C8" w:rsidP="007932C0">
      <w:pPr>
        <w:spacing w:after="0" w:line="240" w:lineRule="auto"/>
        <w:jc w:val="center"/>
        <w:rPr>
          <w:rFonts w:eastAsia="Calibri" w:cs="Times New Roman"/>
          <w:b/>
          <w:sz w:val="26"/>
          <w:szCs w:val="26"/>
        </w:rPr>
      </w:pPr>
      <w:r>
        <w:rPr>
          <w:rFonts w:eastAsia="Calibri" w:cs="Times New Roman"/>
          <w:b/>
          <w:sz w:val="26"/>
          <w:szCs w:val="26"/>
        </w:rPr>
        <w:t xml:space="preserve">Dėl š. m. </w:t>
      </w:r>
      <w:r w:rsidR="00BC6C3E">
        <w:rPr>
          <w:rFonts w:eastAsia="Calibri" w:cs="Times New Roman"/>
          <w:b/>
          <w:sz w:val="26"/>
          <w:szCs w:val="26"/>
        </w:rPr>
        <w:t>spalio</w:t>
      </w:r>
      <w:r w:rsidR="006F2118">
        <w:rPr>
          <w:rFonts w:eastAsia="Calibri" w:cs="Times New Roman"/>
          <w:b/>
          <w:sz w:val="26"/>
          <w:szCs w:val="26"/>
        </w:rPr>
        <w:t xml:space="preserve"> </w:t>
      </w:r>
      <w:r w:rsidR="00BC6C3E">
        <w:rPr>
          <w:rFonts w:eastAsia="Calibri" w:cs="Times New Roman"/>
          <w:b/>
          <w:sz w:val="26"/>
          <w:szCs w:val="26"/>
          <w:lang w:val="en-US"/>
        </w:rPr>
        <w:t>6</w:t>
      </w:r>
      <w:r w:rsidR="006E224F" w:rsidRPr="00B11566">
        <w:rPr>
          <w:rFonts w:eastAsia="Calibri" w:cs="Times New Roman"/>
          <w:b/>
          <w:sz w:val="26"/>
          <w:szCs w:val="26"/>
        </w:rPr>
        <w:t xml:space="preserve"> d. Ekonomikos ir finansų reikalų (ECOFIN) tarybo</w:t>
      </w:r>
      <w:r w:rsidR="00076A9E">
        <w:rPr>
          <w:rFonts w:eastAsia="Calibri" w:cs="Times New Roman"/>
          <w:b/>
          <w:sz w:val="26"/>
          <w:szCs w:val="26"/>
        </w:rPr>
        <w:t xml:space="preserve">s </w:t>
      </w:r>
      <w:r w:rsidR="00076A9E" w:rsidRPr="002A01DD">
        <w:rPr>
          <w:rFonts w:eastAsia="Calibri" w:cs="Times New Roman"/>
          <w:b/>
          <w:sz w:val="26"/>
          <w:szCs w:val="26"/>
        </w:rPr>
        <w:t>vaizdo</w:t>
      </w:r>
      <w:r w:rsidR="003B2B69" w:rsidRPr="002A01DD">
        <w:rPr>
          <w:rFonts w:eastAsia="Calibri" w:cs="Times New Roman"/>
          <w:b/>
          <w:sz w:val="26"/>
          <w:szCs w:val="26"/>
        </w:rPr>
        <w:t xml:space="preserve"> konferencijoje</w:t>
      </w:r>
      <w:r w:rsidR="00723FC9">
        <w:rPr>
          <w:rFonts w:eastAsia="Calibri" w:cs="Times New Roman"/>
          <w:b/>
          <w:sz w:val="26"/>
          <w:szCs w:val="26"/>
        </w:rPr>
        <w:t xml:space="preserve"> </w:t>
      </w:r>
      <w:r w:rsidR="006E224F" w:rsidRPr="00B11566">
        <w:rPr>
          <w:rFonts w:eastAsia="Calibri" w:cs="Times New Roman"/>
          <w:b/>
          <w:sz w:val="26"/>
          <w:szCs w:val="26"/>
        </w:rPr>
        <w:t>svarstomų klausimų</w:t>
      </w:r>
    </w:p>
    <w:p w:rsidR="00AA132A" w:rsidRDefault="00AA132A" w:rsidP="007932C0">
      <w:pPr>
        <w:spacing w:after="0" w:line="240" w:lineRule="auto"/>
        <w:jc w:val="center"/>
        <w:rPr>
          <w:rFonts w:eastAsia="Calibri" w:cs="Times New Roman"/>
          <w:sz w:val="28"/>
          <w:szCs w:val="28"/>
        </w:rPr>
      </w:pPr>
    </w:p>
    <w:p w:rsidR="00D62032" w:rsidRPr="000A3B2A" w:rsidRDefault="00D62032" w:rsidP="007932C0">
      <w:pPr>
        <w:spacing w:after="0" w:line="240" w:lineRule="auto"/>
        <w:jc w:val="center"/>
        <w:rPr>
          <w:rFonts w:eastAsia="Calibri" w:cs="Times New Roman"/>
          <w:szCs w:val="24"/>
        </w:rPr>
      </w:pPr>
    </w:p>
    <w:p w:rsidR="005A1557" w:rsidRPr="0042242F" w:rsidRDefault="00BC6C3E"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Pr>
          <w:rFonts w:cs="Times New Roman"/>
          <w:b/>
          <w:iCs/>
          <w:szCs w:val="24"/>
        </w:rPr>
        <w:t>Gaivinimo ir atsparumo priemonė (RRF)</w:t>
      </w:r>
      <w:r w:rsidR="0042242F">
        <w:rPr>
          <w:rFonts w:cs="Times New Roman"/>
          <w:b/>
          <w:iCs/>
          <w:szCs w:val="24"/>
        </w:rPr>
        <w:t xml:space="preserve"> </w:t>
      </w:r>
      <w:r w:rsidR="0042242F" w:rsidRPr="0042242F">
        <w:rPr>
          <w:rFonts w:cs="Times New Roman"/>
          <w:i/>
          <w:iCs/>
          <w:szCs w:val="24"/>
        </w:rPr>
        <w:t>(bendras požiūris)</w:t>
      </w:r>
    </w:p>
    <w:p w:rsidR="00621E17" w:rsidRDefault="0042242F" w:rsidP="007932C0">
      <w:pPr>
        <w:spacing w:after="0" w:line="240" w:lineRule="auto"/>
        <w:jc w:val="both"/>
        <w:rPr>
          <w:szCs w:val="24"/>
        </w:rPr>
      </w:pPr>
      <w:r w:rsidRPr="0042242F">
        <w:rPr>
          <w:rFonts w:eastAsia="Calibri" w:cs="Times New Roman"/>
          <w:b/>
          <w:szCs w:val="24"/>
          <w:u w:val="single"/>
        </w:rPr>
        <w:t>Klausimo esmė.</w:t>
      </w:r>
      <w:r w:rsidR="00621E17" w:rsidRPr="00621E17">
        <w:rPr>
          <w:rFonts w:eastAsia="Calibri" w:cs="Times New Roman"/>
          <w:szCs w:val="24"/>
        </w:rPr>
        <w:t xml:space="preserve"> </w:t>
      </w:r>
      <w:r w:rsidR="00621E17">
        <w:rPr>
          <w:rFonts w:eastAsia="Calibri" w:cs="Times New Roman"/>
          <w:szCs w:val="24"/>
        </w:rPr>
        <w:t xml:space="preserve">Šių metų gegužės </w:t>
      </w:r>
      <w:r w:rsidR="00621E17">
        <w:rPr>
          <w:rFonts w:eastAsia="Calibri" w:cs="Times New Roman"/>
          <w:szCs w:val="24"/>
          <w:lang w:val="en-US"/>
        </w:rPr>
        <w:t xml:space="preserve">28 d. </w:t>
      </w:r>
      <w:proofErr w:type="spellStart"/>
      <w:r w:rsidR="00621E17">
        <w:rPr>
          <w:rFonts w:eastAsia="Calibri" w:cs="Times New Roman"/>
          <w:szCs w:val="24"/>
          <w:lang w:val="en-US"/>
        </w:rPr>
        <w:t>Europos</w:t>
      </w:r>
      <w:proofErr w:type="spellEnd"/>
      <w:r w:rsidR="00621E17">
        <w:rPr>
          <w:rFonts w:eastAsia="Calibri" w:cs="Times New Roman"/>
          <w:szCs w:val="24"/>
          <w:lang w:val="en-US"/>
        </w:rPr>
        <w:t xml:space="preserve"> </w:t>
      </w:r>
      <w:proofErr w:type="spellStart"/>
      <w:r w:rsidR="00621E17">
        <w:rPr>
          <w:rFonts w:eastAsia="Calibri" w:cs="Times New Roman"/>
          <w:szCs w:val="24"/>
          <w:lang w:val="en-US"/>
        </w:rPr>
        <w:t>Komisija</w:t>
      </w:r>
      <w:proofErr w:type="spellEnd"/>
      <w:r w:rsidR="00621E17">
        <w:rPr>
          <w:rFonts w:eastAsia="Calibri" w:cs="Times New Roman"/>
          <w:szCs w:val="24"/>
          <w:lang w:val="en-US"/>
        </w:rPr>
        <w:t xml:space="preserve"> (EK) </w:t>
      </w:r>
      <w:proofErr w:type="spellStart"/>
      <w:r w:rsidR="00621E17">
        <w:rPr>
          <w:rFonts w:eastAsia="Calibri" w:cs="Times New Roman"/>
          <w:szCs w:val="24"/>
          <w:lang w:val="en-US"/>
        </w:rPr>
        <w:t>pateik</w:t>
      </w:r>
      <w:proofErr w:type="spellEnd"/>
      <w:r w:rsidR="00621E17">
        <w:rPr>
          <w:rFonts w:eastAsia="Calibri" w:cs="Times New Roman"/>
          <w:szCs w:val="24"/>
        </w:rPr>
        <w:t xml:space="preserve">ė savo pasiūlymą dėl Ekonomikos gaivinimo ir atsparumo didinimo priemonės </w:t>
      </w:r>
      <w:r w:rsidR="00621E17" w:rsidRPr="00F80000">
        <w:rPr>
          <w:szCs w:val="24"/>
        </w:rPr>
        <w:t>(</w:t>
      </w:r>
      <w:proofErr w:type="spellStart"/>
      <w:r w:rsidR="00621E17" w:rsidRPr="00F80000">
        <w:rPr>
          <w:i/>
          <w:iCs/>
          <w:szCs w:val="24"/>
        </w:rPr>
        <w:t>Recovery</w:t>
      </w:r>
      <w:proofErr w:type="spellEnd"/>
      <w:r w:rsidR="00621E17" w:rsidRPr="00F80000">
        <w:rPr>
          <w:i/>
          <w:iCs/>
          <w:szCs w:val="24"/>
        </w:rPr>
        <w:t xml:space="preserve"> </w:t>
      </w:r>
      <w:proofErr w:type="spellStart"/>
      <w:r w:rsidR="00621E17" w:rsidRPr="00F80000">
        <w:rPr>
          <w:i/>
          <w:iCs/>
          <w:szCs w:val="24"/>
        </w:rPr>
        <w:t>and</w:t>
      </w:r>
      <w:proofErr w:type="spellEnd"/>
      <w:r w:rsidR="00621E17" w:rsidRPr="00F80000">
        <w:rPr>
          <w:i/>
          <w:iCs/>
          <w:szCs w:val="24"/>
        </w:rPr>
        <w:t xml:space="preserve"> </w:t>
      </w:r>
      <w:proofErr w:type="spellStart"/>
      <w:r w:rsidR="00621E17" w:rsidRPr="00F80000">
        <w:rPr>
          <w:i/>
          <w:iCs/>
          <w:szCs w:val="24"/>
        </w:rPr>
        <w:t>Resilience</w:t>
      </w:r>
      <w:proofErr w:type="spellEnd"/>
      <w:r w:rsidR="00621E17" w:rsidRPr="00F80000">
        <w:rPr>
          <w:i/>
          <w:iCs/>
          <w:szCs w:val="24"/>
        </w:rPr>
        <w:t xml:space="preserve"> </w:t>
      </w:r>
      <w:proofErr w:type="spellStart"/>
      <w:r w:rsidR="00621E17" w:rsidRPr="00F80000">
        <w:rPr>
          <w:i/>
          <w:iCs/>
          <w:szCs w:val="24"/>
        </w:rPr>
        <w:t>Facility</w:t>
      </w:r>
      <w:proofErr w:type="spellEnd"/>
      <w:r w:rsidR="00621E17">
        <w:rPr>
          <w:szCs w:val="24"/>
        </w:rPr>
        <w:t>), kuri skirta</w:t>
      </w:r>
      <w:r w:rsidR="00621E17" w:rsidRPr="00F80000">
        <w:rPr>
          <w:szCs w:val="24"/>
        </w:rPr>
        <w:t xml:space="preserve"> remti ES VN reformas ir investicijas, būtinas ilgalaikiam atsigavimui, ekonominiam ir socialiniam VN atsparumui </w:t>
      </w:r>
      <w:r w:rsidR="00621E17">
        <w:rPr>
          <w:szCs w:val="24"/>
        </w:rPr>
        <w:t xml:space="preserve">didinti </w:t>
      </w:r>
      <w:r w:rsidR="00621E17" w:rsidRPr="00F80000">
        <w:rPr>
          <w:szCs w:val="24"/>
        </w:rPr>
        <w:t>bei žaliajai ir skaitmeninei pertvarkai. Priemonės dydis 672,5 mlrd. eurų (312,5 mlrd. eurų dotacijos; 360 mlrd. eurų paskolos).</w:t>
      </w:r>
    </w:p>
    <w:p w:rsidR="00621E17" w:rsidRDefault="00621E17" w:rsidP="007932C0">
      <w:pPr>
        <w:spacing w:after="0" w:line="240" w:lineRule="auto"/>
        <w:jc w:val="both"/>
        <w:rPr>
          <w:szCs w:val="24"/>
        </w:rPr>
      </w:pPr>
    </w:p>
    <w:p w:rsidR="00621E17" w:rsidRPr="006826B7" w:rsidRDefault="00621E17" w:rsidP="007932C0">
      <w:pPr>
        <w:spacing w:after="0" w:line="240" w:lineRule="auto"/>
        <w:jc w:val="both"/>
        <w:rPr>
          <w:szCs w:val="24"/>
        </w:rPr>
      </w:pPr>
      <w:r w:rsidRPr="006826B7">
        <w:rPr>
          <w:szCs w:val="24"/>
        </w:rPr>
        <w:t>Liepos 21 d. EVT pasiekus sutarimą dėl kitos Daugiametės finansinės programos ir Ekonomikos gaivi</w:t>
      </w:r>
      <w:r>
        <w:rPr>
          <w:szCs w:val="24"/>
        </w:rPr>
        <w:t>nimo priemonės, Taryboje buvo</w:t>
      </w:r>
      <w:r w:rsidRPr="006826B7">
        <w:rPr>
          <w:szCs w:val="24"/>
        </w:rPr>
        <w:t xml:space="preserve"> diskutuojama dėl sutartų modalumų perkėlimo į sektorinį reglamentą. Rugsėjo 21 d. pirmininkaujanti šalis pateikė ketvirtą kompromisinį pasiūlymą, kuriame numatomi tokie pagrindiniai pokyčiai lyginant su </w:t>
      </w:r>
      <w:r>
        <w:rPr>
          <w:szCs w:val="24"/>
        </w:rPr>
        <w:t>EK</w:t>
      </w:r>
      <w:r w:rsidRPr="006826B7">
        <w:rPr>
          <w:szCs w:val="24"/>
        </w:rPr>
        <w:t xml:space="preserve"> pasiūlymu:</w:t>
      </w:r>
    </w:p>
    <w:p w:rsidR="00621E17" w:rsidRPr="00A3072A" w:rsidRDefault="00621E17" w:rsidP="007932C0">
      <w:pPr>
        <w:pStyle w:val="Sraopastraipa"/>
        <w:numPr>
          <w:ilvl w:val="0"/>
          <w:numId w:val="17"/>
        </w:numPr>
        <w:spacing w:after="0" w:line="240" w:lineRule="auto"/>
        <w:jc w:val="both"/>
        <w:rPr>
          <w:szCs w:val="24"/>
        </w:rPr>
      </w:pPr>
      <w:r w:rsidRPr="00A3072A">
        <w:rPr>
          <w:szCs w:val="24"/>
        </w:rPr>
        <w:t xml:space="preserve">numatoma, kad bent 37% procentai VN alokacijos turi būti skirti kovai su klimato kaita; </w:t>
      </w:r>
    </w:p>
    <w:p w:rsidR="00621E17" w:rsidRPr="00A3072A" w:rsidRDefault="00621E17" w:rsidP="007932C0">
      <w:pPr>
        <w:pStyle w:val="Sraopastraipa"/>
        <w:numPr>
          <w:ilvl w:val="0"/>
          <w:numId w:val="17"/>
        </w:numPr>
        <w:spacing w:after="0" w:line="240" w:lineRule="auto"/>
        <w:jc w:val="both"/>
        <w:rPr>
          <w:szCs w:val="24"/>
        </w:rPr>
      </w:pPr>
      <w:r w:rsidRPr="00A3072A">
        <w:rPr>
          <w:szCs w:val="24"/>
        </w:rPr>
        <w:t>perkelta EVT išvadų nuostata, kad bus galima finansuoti priemones, kurios buvo vykdomos nuo 2020 m. vasario 1 d.;</w:t>
      </w:r>
    </w:p>
    <w:p w:rsidR="00621E17" w:rsidRPr="00A3072A" w:rsidRDefault="00621E17" w:rsidP="007932C0">
      <w:pPr>
        <w:pStyle w:val="Sraopastraipa"/>
        <w:numPr>
          <w:ilvl w:val="0"/>
          <w:numId w:val="17"/>
        </w:numPr>
        <w:spacing w:after="0" w:line="240" w:lineRule="auto"/>
        <w:jc w:val="both"/>
        <w:rPr>
          <w:szCs w:val="24"/>
        </w:rPr>
      </w:pPr>
      <w:r w:rsidRPr="00A3072A">
        <w:rPr>
          <w:szCs w:val="24"/>
        </w:rPr>
        <w:t>įtvirtintas EVT išvadose numatytas paramos apskaičiavimo metodas;</w:t>
      </w:r>
    </w:p>
    <w:p w:rsidR="00621E17" w:rsidRPr="00A3072A" w:rsidRDefault="00621E17" w:rsidP="007932C0">
      <w:pPr>
        <w:pStyle w:val="Sraopastraipa"/>
        <w:numPr>
          <w:ilvl w:val="0"/>
          <w:numId w:val="17"/>
        </w:numPr>
        <w:spacing w:after="0" w:line="240" w:lineRule="auto"/>
        <w:jc w:val="both"/>
        <w:rPr>
          <w:szCs w:val="24"/>
        </w:rPr>
      </w:pPr>
      <w:r w:rsidRPr="00A3072A">
        <w:rPr>
          <w:szCs w:val="24"/>
        </w:rPr>
        <w:t>pagal EVT išvadas sutrumpintas laikotarpis</w:t>
      </w:r>
      <w:r>
        <w:rPr>
          <w:szCs w:val="24"/>
        </w:rPr>
        <w:t>,</w:t>
      </w:r>
      <w:r w:rsidRPr="00A3072A">
        <w:rPr>
          <w:szCs w:val="24"/>
        </w:rPr>
        <w:t xml:space="preserve"> per kurį EK turi patvirtinti VN ekonomikos gaivinimo ir atsparumo didinimo planus (iki dviejų mėnesių);</w:t>
      </w:r>
    </w:p>
    <w:p w:rsidR="00621E17" w:rsidRPr="00A3072A" w:rsidRDefault="00621E17" w:rsidP="007932C0">
      <w:pPr>
        <w:pStyle w:val="Sraopastraipa"/>
        <w:numPr>
          <w:ilvl w:val="0"/>
          <w:numId w:val="17"/>
        </w:numPr>
        <w:spacing w:after="0" w:line="240" w:lineRule="auto"/>
        <w:jc w:val="both"/>
        <w:rPr>
          <w:szCs w:val="24"/>
        </w:rPr>
      </w:pPr>
      <w:r w:rsidRPr="00A3072A">
        <w:rPr>
          <w:szCs w:val="24"/>
        </w:rPr>
        <w:t>pagal EVT išvadas įtvirtintas Tarybos vaidmuo priemonės valdyme;</w:t>
      </w:r>
    </w:p>
    <w:p w:rsidR="00621E17" w:rsidRPr="00A3072A" w:rsidRDefault="00621E17" w:rsidP="007932C0">
      <w:pPr>
        <w:pStyle w:val="Sraopastraipa"/>
        <w:numPr>
          <w:ilvl w:val="0"/>
          <w:numId w:val="17"/>
        </w:numPr>
        <w:spacing w:after="0" w:line="240" w:lineRule="auto"/>
        <w:jc w:val="both"/>
        <w:rPr>
          <w:szCs w:val="24"/>
        </w:rPr>
      </w:pPr>
      <w:r w:rsidRPr="00A3072A">
        <w:rPr>
          <w:szCs w:val="24"/>
        </w:rPr>
        <w:t>pagal EVT išvadas numatyta galimybė VN prašyti iki 10% avansinių mokėjimų. Taip pat numatyta, kad avansiniai mokėjimai bus atlikti per du mėnesius nuo Tarybos įgyvendinamojo sprendimo priėmimo.</w:t>
      </w:r>
    </w:p>
    <w:p w:rsidR="00621E17" w:rsidRPr="00A3072A" w:rsidRDefault="00621E17" w:rsidP="007932C0">
      <w:pPr>
        <w:pStyle w:val="Sraopastraipa"/>
        <w:numPr>
          <w:ilvl w:val="0"/>
          <w:numId w:val="17"/>
        </w:numPr>
        <w:spacing w:after="0" w:line="240" w:lineRule="auto"/>
        <w:jc w:val="both"/>
        <w:rPr>
          <w:szCs w:val="24"/>
        </w:rPr>
      </w:pPr>
      <w:r w:rsidRPr="00A3072A">
        <w:rPr>
          <w:szCs w:val="24"/>
        </w:rPr>
        <w:t>pagal EVT išvadas numatyta, kad VN gali gauti 6,8% savo 2019 m. BVP dydžio paskolų.</w:t>
      </w:r>
    </w:p>
    <w:p w:rsidR="00621E17" w:rsidRPr="001C7CFA" w:rsidRDefault="00621E17" w:rsidP="007932C0">
      <w:pPr>
        <w:pStyle w:val="Sraopastraipa"/>
        <w:numPr>
          <w:ilvl w:val="0"/>
          <w:numId w:val="17"/>
        </w:numPr>
        <w:spacing w:after="0" w:line="240" w:lineRule="auto"/>
        <w:jc w:val="both"/>
        <w:rPr>
          <w:rFonts w:cs="Times New Roman"/>
          <w:szCs w:val="24"/>
        </w:rPr>
      </w:pPr>
      <w:r w:rsidRPr="001C7CFA">
        <w:rPr>
          <w:rFonts w:cs="Times New Roman"/>
          <w:szCs w:val="24"/>
        </w:rPr>
        <w:t>pagal EVT išvadas sutrumpintas priemonės įsipareigojimų ir mokėjimų asignavimų įsisavinimo laikotarpis.</w:t>
      </w:r>
    </w:p>
    <w:p w:rsidR="00621E17" w:rsidRPr="001C7CFA" w:rsidRDefault="00621E17" w:rsidP="007932C0">
      <w:pPr>
        <w:pStyle w:val="Sraopastraipa"/>
        <w:numPr>
          <w:ilvl w:val="0"/>
          <w:numId w:val="17"/>
        </w:numPr>
        <w:spacing w:after="0" w:line="240" w:lineRule="auto"/>
        <w:jc w:val="both"/>
        <w:rPr>
          <w:rFonts w:cs="Times New Roman"/>
          <w:szCs w:val="24"/>
        </w:rPr>
      </w:pPr>
      <w:r w:rsidRPr="001C7CFA">
        <w:rPr>
          <w:rFonts w:cs="Times New Roman"/>
          <w:szCs w:val="24"/>
        </w:rPr>
        <w:t>reglamentas papildytas dalimi apie Sąjungos finansinių interesų apsaugą bei VN įsipareigojimus šioje srityje.</w:t>
      </w:r>
    </w:p>
    <w:p w:rsidR="00621E17" w:rsidRPr="001C7CFA" w:rsidRDefault="00621E17" w:rsidP="007932C0">
      <w:pPr>
        <w:tabs>
          <w:tab w:val="left" w:pos="3915"/>
        </w:tabs>
        <w:spacing w:after="0" w:line="240" w:lineRule="auto"/>
        <w:jc w:val="both"/>
        <w:rPr>
          <w:rFonts w:cs="Times New Roman"/>
          <w:szCs w:val="24"/>
        </w:rPr>
      </w:pPr>
      <w:r w:rsidRPr="001C7CFA">
        <w:rPr>
          <w:rFonts w:cs="Times New Roman"/>
          <w:szCs w:val="24"/>
        </w:rPr>
        <w:tab/>
      </w:r>
    </w:p>
    <w:p w:rsidR="00A207C8" w:rsidRPr="00621E17" w:rsidRDefault="00621E17" w:rsidP="007932C0">
      <w:pPr>
        <w:spacing w:after="0" w:line="240" w:lineRule="auto"/>
        <w:jc w:val="both"/>
        <w:rPr>
          <w:rFonts w:cs="Times New Roman"/>
          <w:szCs w:val="24"/>
        </w:rPr>
      </w:pPr>
      <w:r w:rsidRPr="001C7CFA">
        <w:rPr>
          <w:rFonts w:cs="Times New Roman"/>
          <w:szCs w:val="24"/>
        </w:rPr>
        <w:t xml:space="preserve">Ketvirtas kompromisinis pasiūlymas svarstytas rugsėjo 25 d. vykusiame Patarėjų finansiniais klausimais darbo grupės posėdyje. Posėdyje pagrinde buvo diskutuojama apie priemonės lėšų valdymo ir kontrolės sistemą. </w:t>
      </w:r>
      <w:r w:rsidRPr="001C7CFA">
        <w:rPr>
          <w:rFonts w:cs="Times New Roman"/>
          <w:color w:val="000000"/>
        </w:rPr>
        <w:t xml:space="preserve">Esminių nesutarimų dėl Reglamento teksto neliko, bet įvairių pataisymų turėjo ne viena </w:t>
      </w:r>
      <w:r>
        <w:rPr>
          <w:rFonts w:cs="Times New Roman"/>
          <w:color w:val="000000"/>
        </w:rPr>
        <w:t xml:space="preserve">šalis. </w:t>
      </w:r>
      <w:r w:rsidRPr="00615ED5">
        <w:rPr>
          <w:rFonts w:cs="Times New Roman"/>
          <w:szCs w:val="24"/>
        </w:rPr>
        <w:t xml:space="preserve">Pirmininkaujanti šalis informavo, kad </w:t>
      </w:r>
      <w:r>
        <w:rPr>
          <w:rFonts w:cs="Times New Roman"/>
          <w:szCs w:val="24"/>
        </w:rPr>
        <w:t>pateiks atnaujintą pasiūlymą, kuris</w:t>
      </w:r>
      <w:r w:rsidRPr="00615ED5">
        <w:rPr>
          <w:rFonts w:cs="Times New Roman"/>
          <w:szCs w:val="24"/>
        </w:rPr>
        <w:t xml:space="preserve"> bus tvirtinamas rugsėjo 29 d. COREPER 2 posėdyje</w:t>
      </w:r>
      <w:r>
        <w:rPr>
          <w:rFonts w:cs="Times New Roman"/>
          <w:szCs w:val="24"/>
        </w:rPr>
        <w:t xml:space="preserve"> bei spalio 6 d. ECOFIN posėdyje.</w:t>
      </w:r>
      <w:r w:rsidRPr="003C6097">
        <w:rPr>
          <w:rFonts w:cs="Times New Roman"/>
          <w:color w:val="000000"/>
          <w:szCs w:val="24"/>
        </w:rPr>
        <w:t xml:space="preserve"> </w:t>
      </w:r>
      <w:r>
        <w:rPr>
          <w:rFonts w:cs="Times New Roman"/>
          <w:color w:val="000000"/>
          <w:szCs w:val="24"/>
        </w:rPr>
        <w:t xml:space="preserve">Vėliau vyks </w:t>
      </w:r>
      <w:proofErr w:type="spellStart"/>
      <w:r>
        <w:rPr>
          <w:rFonts w:cs="Times New Roman"/>
          <w:color w:val="000000"/>
          <w:szCs w:val="24"/>
        </w:rPr>
        <w:t>trialogai</w:t>
      </w:r>
      <w:proofErr w:type="spellEnd"/>
      <w:r>
        <w:rPr>
          <w:rFonts w:cs="Times New Roman"/>
          <w:color w:val="000000"/>
          <w:szCs w:val="24"/>
        </w:rPr>
        <w:t xml:space="preserve"> su Europos Parlamentu. Galutinis sutarimas dėl Reglamento turėtų būti pasiektas 2020 m. gruodžio mėn., kad įsigaliotų nuo 2021 m. sausio 1 d.</w:t>
      </w:r>
    </w:p>
    <w:p w:rsidR="0042242F" w:rsidRPr="0042242F" w:rsidRDefault="0042242F" w:rsidP="007932C0">
      <w:pPr>
        <w:spacing w:after="0" w:line="240" w:lineRule="auto"/>
        <w:ind w:hanging="142"/>
        <w:jc w:val="both"/>
        <w:rPr>
          <w:rFonts w:eastAsia="Calibri" w:cs="Times New Roman"/>
          <w:b/>
          <w:szCs w:val="24"/>
          <w:u w:val="single"/>
        </w:rPr>
      </w:pPr>
    </w:p>
    <w:p w:rsidR="0042242F" w:rsidRPr="0042242F" w:rsidRDefault="0042242F" w:rsidP="007932C0">
      <w:pPr>
        <w:spacing w:after="0" w:line="240" w:lineRule="auto"/>
        <w:ind w:left="-142"/>
        <w:jc w:val="both"/>
        <w:rPr>
          <w:rFonts w:eastAsia="Calibri" w:cs="Times New Roman"/>
          <w:b/>
          <w:szCs w:val="24"/>
          <w:u w:val="single"/>
        </w:rPr>
      </w:pPr>
      <w:r w:rsidRPr="0042242F">
        <w:rPr>
          <w:rFonts w:eastAsia="Calibri" w:cs="Times New Roman"/>
          <w:b/>
          <w:szCs w:val="24"/>
          <w:u w:val="single"/>
        </w:rPr>
        <w:t>Lietuvos pozicija.</w:t>
      </w:r>
      <w:r w:rsidR="00621E17">
        <w:rPr>
          <w:rFonts w:eastAsia="Calibri" w:cs="Times New Roman"/>
          <w:b/>
          <w:szCs w:val="24"/>
          <w:u w:val="single"/>
        </w:rPr>
        <w:t xml:space="preserve"> </w:t>
      </w:r>
      <w:r w:rsidR="00621E17" w:rsidRPr="00621E17">
        <w:rPr>
          <w:rFonts w:eastAsia="Calibri" w:cs="Times New Roman"/>
          <w:szCs w:val="24"/>
        </w:rPr>
        <w:t>Galime pritarti pateiktam kompromisiniam pasiūlymui dėl Ekonomikos gaivinimo ir atsparumo didinimo priemonės  reglamento. Svarbu, kad sutarimas dėl Reglamento būtų pasiektas artimiausiu metu ir jis galėtų įsigalioti laiku. Tai padėtų VN geriau pasiruošti priemonės veikimo pradžiai ir palengvintų nacionalinių ekonomikos gaivinimo ir atsparumo didinimo planų rengimą.</w:t>
      </w:r>
    </w:p>
    <w:p w:rsidR="00D62032" w:rsidRPr="006C1EBC" w:rsidRDefault="00D62032" w:rsidP="007932C0">
      <w:pPr>
        <w:spacing w:after="0" w:line="240" w:lineRule="auto"/>
        <w:jc w:val="both"/>
        <w:rPr>
          <w:rFonts w:eastAsia="Calibri" w:cs="Times New Roman"/>
          <w:b/>
          <w:szCs w:val="24"/>
        </w:rPr>
      </w:pPr>
    </w:p>
    <w:p w:rsidR="00A613D7" w:rsidRPr="006C1EBC" w:rsidRDefault="00BC6C3E"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iCs/>
          <w:szCs w:val="24"/>
        </w:rPr>
        <w:t>Skaitmeninių finansų paketas</w:t>
      </w:r>
      <w:r w:rsidR="0042242F">
        <w:rPr>
          <w:rFonts w:cs="Times New Roman"/>
          <w:b/>
          <w:iCs/>
          <w:szCs w:val="24"/>
        </w:rPr>
        <w:t xml:space="preserve"> </w:t>
      </w:r>
      <w:r w:rsidR="0042242F" w:rsidRPr="0042242F">
        <w:rPr>
          <w:rFonts w:cs="Times New Roman"/>
          <w:iCs/>
          <w:szCs w:val="24"/>
        </w:rPr>
        <w:t>(</w:t>
      </w:r>
      <w:r w:rsidR="0042242F">
        <w:rPr>
          <w:rFonts w:cs="Times New Roman"/>
          <w:i/>
          <w:iCs/>
          <w:szCs w:val="24"/>
        </w:rPr>
        <w:t>p</w:t>
      </w:r>
      <w:r w:rsidR="0042242F" w:rsidRPr="0042242F">
        <w:rPr>
          <w:rFonts w:cs="Times New Roman"/>
          <w:i/>
          <w:iCs/>
          <w:szCs w:val="24"/>
        </w:rPr>
        <w:t>ristatymas)</w:t>
      </w:r>
    </w:p>
    <w:p w:rsidR="007932C0" w:rsidRPr="00272A42" w:rsidRDefault="0042242F" w:rsidP="007932C0">
      <w:pPr>
        <w:spacing w:after="0" w:line="240" w:lineRule="auto"/>
        <w:jc w:val="both"/>
      </w:pPr>
      <w:r w:rsidRPr="0042242F">
        <w:rPr>
          <w:rFonts w:eastAsia="Calibri" w:cs="Times New Roman"/>
          <w:b/>
          <w:szCs w:val="24"/>
          <w:u w:val="single"/>
        </w:rPr>
        <w:t>Klausimo esmė.</w:t>
      </w:r>
      <w:r w:rsidR="00BA2279" w:rsidRPr="00BA2279">
        <w:t xml:space="preserve"> </w:t>
      </w:r>
      <w:r w:rsidR="00BA2279">
        <w:t>ECOFIN posėdyje bus p</w:t>
      </w:r>
      <w:r w:rsidR="00BA2279" w:rsidRPr="00BA2279">
        <w:t>ristatomas Europos Komisijos Skaitmeninių finansų strategijos, įskaitant mokėjimų strategiją, paketas, kuriame numatomi Europos Komisijos tolimesni veiksmai ir teisiniai pasiūlymai.</w:t>
      </w:r>
      <w:r w:rsidR="00BA2279">
        <w:t xml:space="preserve"> </w:t>
      </w:r>
      <w:r w:rsidR="00BA2279" w:rsidRPr="00BA2279">
        <w:rPr>
          <w:b/>
        </w:rPr>
        <w:t>Skaitmeninių finansų strategijos</w:t>
      </w:r>
      <w:r w:rsidR="00BA2279">
        <w:t xml:space="preserve"> tikslas - </w:t>
      </w:r>
      <w:r w:rsidR="00BA2279" w:rsidRPr="00272A42">
        <w:t>skatinti ir įgalinti skaitmeninius finansus vartotojų ir verslo labui. Strategijoje keliami 4 prioritetai:</w:t>
      </w:r>
    </w:p>
    <w:p w:rsidR="00BA2279" w:rsidRPr="00BA2279" w:rsidRDefault="00BA2279" w:rsidP="007932C0">
      <w:pPr>
        <w:pStyle w:val="Sraopastraipa"/>
        <w:numPr>
          <w:ilvl w:val="0"/>
          <w:numId w:val="20"/>
        </w:numPr>
        <w:spacing w:after="0" w:line="240" w:lineRule="auto"/>
        <w:ind w:hanging="436"/>
        <w:jc w:val="both"/>
      </w:pPr>
      <w:r w:rsidRPr="00BA2279">
        <w:t>Spręsti finansinių paslaugų bendrosios skaitmeninės rinkos susiskaidymo problemą;</w:t>
      </w:r>
    </w:p>
    <w:p w:rsidR="00BA2279" w:rsidRDefault="00BA2279" w:rsidP="007932C0">
      <w:pPr>
        <w:pStyle w:val="Sraopastraipa"/>
        <w:numPr>
          <w:ilvl w:val="0"/>
          <w:numId w:val="20"/>
        </w:numPr>
        <w:spacing w:after="0" w:line="240" w:lineRule="auto"/>
        <w:ind w:hanging="436"/>
        <w:jc w:val="both"/>
      </w:pPr>
      <w:r w:rsidRPr="00BA2279">
        <w:t>ES reguliavimo sistemos pritaikymas sk</w:t>
      </w:r>
      <w:r>
        <w:t>aitmeninių inovacijų skatinimui;</w:t>
      </w:r>
    </w:p>
    <w:p w:rsidR="00BA2279" w:rsidRPr="00BA2279" w:rsidRDefault="00BA2279" w:rsidP="007932C0">
      <w:pPr>
        <w:pStyle w:val="Sraopastraipa"/>
        <w:numPr>
          <w:ilvl w:val="0"/>
          <w:numId w:val="20"/>
        </w:numPr>
        <w:spacing w:after="0" w:line="240" w:lineRule="auto"/>
        <w:ind w:hanging="436"/>
        <w:jc w:val="both"/>
      </w:pPr>
      <w:r w:rsidRPr="00BA2279">
        <w:lastRenderedPageBreak/>
        <w:t>Skatinti duomenimis grįstas finansinių paslaugų inovacijas sukuriant bendrą finansinių duomenų erdvę;</w:t>
      </w:r>
    </w:p>
    <w:p w:rsidR="00BA2279" w:rsidRDefault="00BA2279" w:rsidP="007932C0">
      <w:pPr>
        <w:pStyle w:val="Sraopastraipa"/>
        <w:numPr>
          <w:ilvl w:val="0"/>
          <w:numId w:val="20"/>
        </w:numPr>
        <w:spacing w:after="0" w:line="240" w:lineRule="auto"/>
        <w:ind w:hanging="436"/>
        <w:jc w:val="both"/>
      </w:pPr>
      <w:r w:rsidRPr="00BA2279">
        <w:t xml:space="preserve">Su skaitmenine transformacija susijusių iššūkių ir jos keliamų </w:t>
      </w:r>
      <w:proofErr w:type="spellStart"/>
      <w:r w:rsidRPr="00BA2279">
        <w:t>rizikų</w:t>
      </w:r>
      <w:proofErr w:type="spellEnd"/>
      <w:r w:rsidRPr="00BA2279">
        <w:t xml:space="preserve"> valdymas.</w:t>
      </w:r>
    </w:p>
    <w:p w:rsidR="00BA2279" w:rsidRDefault="00BA2279" w:rsidP="007932C0">
      <w:pPr>
        <w:spacing w:after="0" w:line="240" w:lineRule="auto"/>
        <w:jc w:val="both"/>
      </w:pPr>
    </w:p>
    <w:p w:rsidR="00BA2279" w:rsidRDefault="00BA2279" w:rsidP="007932C0">
      <w:pPr>
        <w:spacing w:after="0" w:line="240" w:lineRule="auto"/>
        <w:jc w:val="both"/>
      </w:pPr>
      <w:r w:rsidRPr="00272A42">
        <w:t xml:space="preserve">Europos Komisija </w:t>
      </w:r>
      <w:r>
        <w:t xml:space="preserve">taip pat </w:t>
      </w:r>
      <w:r w:rsidRPr="00272A42">
        <w:t xml:space="preserve">parengė </w:t>
      </w:r>
      <w:r w:rsidRPr="00BA2279">
        <w:rPr>
          <w:b/>
        </w:rPr>
        <w:t>Europos mokėjimų strategiją</w:t>
      </w:r>
      <w:r>
        <w:t>, kuria bus siekiama:</w:t>
      </w:r>
    </w:p>
    <w:p w:rsidR="00BA2279" w:rsidRPr="00FE06E7" w:rsidRDefault="00BA2279" w:rsidP="007932C0">
      <w:pPr>
        <w:pStyle w:val="Sraopastraipa"/>
        <w:numPr>
          <w:ilvl w:val="0"/>
          <w:numId w:val="21"/>
        </w:numPr>
        <w:tabs>
          <w:tab w:val="left" w:pos="709"/>
        </w:tabs>
        <w:spacing w:after="0" w:line="240" w:lineRule="auto"/>
        <w:ind w:firstLine="0"/>
        <w:jc w:val="both"/>
      </w:pPr>
      <w:r>
        <w:t>S</w:t>
      </w:r>
      <w:r w:rsidRPr="00FE06E7">
        <w:t>ukurti konkurencingus nacionalinius ir kartu visos ES mokėjimų sprendimus, kurie padėtų palaikyti Europos finansų suverenitetą;</w:t>
      </w:r>
    </w:p>
    <w:p w:rsidR="00BA2279" w:rsidRPr="00FE06E7" w:rsidRDefault="00BA2279" w:rsidP="007932C0">
      <w:pPr>
        <w:pStyle w:val="Sraopastraipa"/>
        <w:numPr>
          <w:ilvl w:val="0"/>
          <w:numId w:val="21"/>
        </w:numPr>
        <w:tabs>
          <w:tab w:val="left" w:pos="709"/>
        </w:tabs>
        <w:spacing w:after="0" w:line="240" w:lineRule="auto"/>
        <w:ind w:firstLine="0"/>
        <w:jc w:val="both"/>
      </w:pPr>
      <w:r>
        <w:t>G</w:t>
      </w:r>
      <w:r w:rsidRPr="00FE06E7">
        <w:t>erinti tarpvalstybinius mokėjimus ne ES jurisdikcijose,</w:t>
      </w:r>
      <w:r>
        <w:t xml:space="preserve"> įskaitant pinigų perl</w:t>
      </w:r>
      <w:r w:rsidR="007932C0">
        <w:t>aidas, bei skatinti tarptautinį</w:t>
      </w:r>
      <w:r>
        <w:t xml:space="preserve"> euro vaidmenį ir „atvirą ES strateginę</w:t>
      </w:r>
      <w:r w:rsidRPr="00FE06E7">
        <w:t xml:space="preserve"> autonomi</w:t>
      </w:r>
      <w:r>
        <w:t>ją</w:t>
      </w:r>
      <w:r w:rsidRPr="00FE06E7">
        <w:t>“;</w:t>
      </w:r>
    </w:p>
    <w:p w:rsidR="00BA2279" w:rsidRPr="00BA2279" w:rsidRDefault="00BA2279" w:rsidP="007932C0">
      <w:pPr>
        <w:pStyle w:val="Sraopastraipa"/>
        <w:numPr>
          <w:ilvl w:val="0"/>
          <w:numId w:val="21"/>
        </w:numPr>
        <w:tabs>
          <w:tab w:val="left" w:pos="709"/>
        </w:tabs>
        <w:spacing w:after="0" w:line="240" w:lineRule="auto"/>
        <w:ind w:firstLine="0"/>
        <w:jc w:val="both"/>
      </w:pPr>
      <w:r>
        <w:t>G</w:t>
      </w:r>
      <w:r w:rsidRPr="00FE06E7">
        <w:t>yventojams ir verslui siūlyti aukštos kokybės mokėjimo paslaugas, grįstas konkurencinga ir novatoriška mokėjimų rinka, sukurta naudojant saugią, veiksmi</w:t>
      </w:r>
      <w:r>
        <w:t>ngą ir prieinamą infrastruktūrą.</w:t>
      </w:r>
    </w:p>
    <w:p w:rsidR="0042242F" w:rsidRDefault="0042242F" w:rsidP="007932C0">
      <w:pPr>
        <w:spacing w:after="0" w:line="240" w:lineRule="auto"/>
        <w:jc w:val="both"/>
        <w:rPr>
          <w:rFonts w:eastAsia="Calibri" w:cs="Times New Roman"/>
          <w:b/>
          <w:szCs w:val="24"/>
          <w:u w:val="single"/>
        </w:rPr>
      </w:pPr>
    </w:p>
    <w:p w:rsidR="00BA2279" w:rsidRPr="00BA2279" w:rsidRDefault="00BA2279" w:rsidP="007932C0">
      <w:pPr>
        <w:spacing w:after="0" w:line="240" w:lineRule="auto"/>
        <w:ind w:left="-142"/>
        <w:jc w:val="both"/>
        <w:rPr>
          <w:rFonts w:eastAsia="Calibri" w:cs="Times New Roman"/>
          <w:szCs w:val="24"/>
          <w:u w:val="single"/>
        </w:rPr>
      </w:pPr>
      <w:r w:rsidRPr="00BA2279">
        <w:t xml:space="preserve">EK taip pat pateikė teisinius pasiūlymus dėl </w:t>
      </w:r>
      <w:proofErr w:type="spellStart"/>
      <w:r w:rsidRPr="00BA2279">
        <w:t>Kripto-turto</w:t>
      </w:r>
      <w:proofErr w:type="spellEnd"/>
      <w:r w:rsidRPr="00BA2279">
        <w:t xml:space="preserve"> rinkos reglamentas (</w:t>
      </w:r>
      <w:proofErr w:type="spellStart"/>
      <w:r w:rsidRPr="00BA2279">
        <w:t>ang</w:t>
      </w:r>
      <w:proofErr w:type="spellEnd"/>
      <w:r w:rsidRPr="00BA2279">
        <w:t xml:space="preserve">. </w:t>
      </w:r>
      <w:proofErr w:type="spellStart"/>
      <w:r w:rsidRPr="00BA2279">
        <w:rPr>
          <w:i/>
        </w:rPr>
        <w:t>Regulation</w:t>
      </w:r>
      <w:proofErr w:type="spellEnd"/>
      <w:r w:rsidRPr="00BA2279">
        <w:rPr>
          <w:i/>
        </w:rPr>
        <w:t xml:space="preserve"> </w:t>
      </w:r>
      <w:proofErr w:type="spellStart"/>
      <w:r w:rsidRPr="00BA2279">
        <w:rPr>
          <w:i/>
        </w:rPr>
        <w:t>on</w:t>
      </w:r>
      <w:proofErr w:type="spellEnd"/>
      <w:r w:rsidRPr="00BA2279">
        <w:rPr>
          <w:i/>
        </w:rPr>
        <w:t xml:space="preserve"> </w:t>
      </w:r>
      <w:proofErr w:type="spellStart"/>
      <w:r w:rsidRPr="00BA2279">
        <w:rPr>
          <w:i/>
        </w:rPr>
        <w:t>Markets</w:t>
      </w:r>
      <w:proofErr w:type="spellEnd"/>
      <w:r w:rsidRPr="00BA2279">
        <w:rPr>
          <w:i/>
        </w:rPr>
        <w:t xml:space="preserve"> </w:t>
      </w:r>
      <w:proofErr w:type="spellStart"/>
      <w:r w:rsidRPr="00BA2279">
        <w:rPr>
          <w:i/>
        </w:rPr>
        <w:t>in</w:t>
      </w:r>
      <w:proofErr w:type="spellEnd"/>
      <w:r w:rsidRPr="00BA2279">
        <w:rPr>
          <w:i/>
        </w:rPr>
        <w:t xml:space="preserve"> </w:t>
      </w:r>
      <w:proofErr w:type="spellStart"/>
      <w:r w:rsidRPr="00BA2279">
        <w:rPr>
          <w:i/>
        </w:rPr>
        <w:t>Crypto-assets,</w:t>
      </w:r>
      <w:proofErr w:type="spellEnd"/>
      <w:r w:rsidRPr="00BA2279">
        <w:t xml:space="preserve"> </w:t>
      </w:r>
      <w:proofErr w:type="spellStart"/>
      <w:r w:rsidRPr="00BA2279">
        <w:rPr>
          <w:i/>
        </w:rPr>
        <w:t>MiCA</w:t>
      </w:r>
      <w:proofErr w:type="spellEnd"/>
      <w:r w:rsidRPr="00BA2279">
        <w:t>) ir  reglamento dėl bandomosios rinkos infrastruktūros, grįstos paskirstytųjų duomenų technologija (</w:t>
      </w:r>
      <w:proofErr w:type="spellStart"/>
      <w:r w:rsidRPr="00BA2279">
        <w:t>ang</w:t>
      </w:r>
      <w:proofErr w:type="spellEnd"/>
      <w:r w:rsidRPr="00BA2279">
        <w:t xml:space="preserve">. </w:t>
      </w:r>
      <w:proofErr w:type="spellStart"/>
      <w:r w:rsidRPr="00BA2279">
        <w:rPr>
          <w:i/>
        </w:rPr>
        <w:t>distributed</w:t>
      </w:r>
      <w:proofErr w:type="spellEnd"/>
      <w:r w:rsidRPr="00BA2279">
        <w:rPr>
          <w:i/>
        </w:rPr>
        <w:t xml:space="preserve"> </w:t>
      </w:r>
      <w:proofErr w:type="spellStart"/>
      <w:r w:rsidRPr="00BA2279">
        <w:rPr>
          <w:i/>
        </w:rPr>
        <w:t>ledger</w:t>
      </w:r>
      <w:proofErr w:type="spellEnd"/>
      <w:r w:rsidRPr="00BA2279">
        <w:rPr>
          <w:i/>
        </w:rPr>
        <w:t xml:space="preserve"> </w:t>
      </w:r>
      <w:proofErr w:type="spellStart"/>
      <w:r w:rsidRPr="00BA2279">
        <w:rPr>
          <w:i/>
        </w:rPr>
        <w:t>technology</w:t>
      </w:r>
      <w:proofErr w:type="spellEnd"/>
      <w:r w:rsidRPr="00BA2279">
        <w:rPr>
          <w:i/>
        </w:rPr>
        <w:t>, DLT</w:t>
      </w:r>
      <w:r w:rsidRPr="00BA2279">
        <w:t>).</w:t>
      </w:r>
    </w:p>
    <w:p w:rsidR="00BA2279" w:rsidRPr="0042242F" w:rsidRDefault="00BA2279" w:rsidP="007932C0">
      <w:pPr>
        <w:spacing w:after="0" w:line="240" w:lineRule="auto"/>
        <w:ind w:left="-142"/>
        <w:jc w:val="both"/>
        <w:rPr>
          <w:rFonts w:eastAsia="Calibri" w:cs="Times New Roman"/>
          <w:b/>
          <w:szCs w:val="24"/>
          <w:u w:val="single"/>
        </w:rPr>
      </w:pPr>
    </w:p>
    <w:p w:rsidR="000A3B2A" w:rsidRPr="00BA2279" w:rsidRDefault="0042242F" w:rsidP="007932C0">
      <w:pPr>
        <w:spacing w:after="0" w:line="240" w:lineRule="auto"/>
        <w:ind w:left="-142"/>
        <w:jc w:val="both"/>
        <w:rPr>
          <w:rFonts w:eastAsia="Calibri" w:cs="Times New Roman"/>
          <w:b/>
          <w:szCs w:val="24"/>
          <w:u w:val="single"/>
        </w:rPr>
      </w:pPr>
      <w:r w:rsidRPr="0042242F">
        <w:rPr>
          <w:rFonts w:eastAsia="Calibri" w:cs="Times New Roman"/>
          <w:b/>
          <w:szCs w:val="24"/>
          <w:u w:val="single"/>
        </w:rPr>
        <w:t>Lietuvos pozicija.</w:t>
      </w:r>
      <w:r w:rsidR="00BA2279" w:rsidRPr="00BA2279">
        <w:rPr>
          <w:color w:val="000000" w:themeColor="text1"/>
          <w:lang w:eastAsia="lt-LT"/>
        </w:rPr>
        <w:t xml:space="preserve"> </w:t>
      </w:r>
      <w:r w:rsidR="00BA2279">
        <w:rPr>
          <w:color w:val="000000" w:themeColor="text1"/>
          <w:lang w:eastAsia="lt-LT"/>
        </w:rPr>
        <w:t xml:space="preserve">pritariame Europos komisijos teikiamiems teisiniams pasiūlymams ir palaikome Skaitmeninių finansų ir mokėjimų strategijų tikslus. Manome, kad tai prisidės prie finansinių technologijų plėtros Europos Sąjungoje, bus suteikiama daugiau teisinio aiškumo, kuriamos sąlygos plėsti skaitmenines finansines paslaugas teikiančių įstaigų veiklą už nacionalinių valstybių ribų. Kartu pritariame, kad būtina didinti vartotojų ir investuotojų apsaugą, mažinti kibernetinio saugumo spragų, pinigų plovimo ir teroristų finansavimo </w:t>
      </w:r>
      <w:proofErr w:type="spellStart"/>
      <w:r w:rsidR="00BA2279">
        <w:rPr>
          <w:color w:val="000000" w:themeColor="text1"/>
          <w:lang w:eastAsia="lt-LT"/>
        </w:rPr>
        <w:t>rizikas</w:t>
      </w:r>
      <w:proofErr w:type="spellEnd"/>
      <w:r w:rsidR="00BA2279">
        <w:rPr>
          <w:color w:val="000000" w:themeColor="text1"/>
          <w:lang w:eastAsia="lt-LT"/>
        </w:rPr>
        <w:t xml:space="preserve"> bei užtikrinti finansinį stabilumą.</w:t>
      </w:r>
    </w:p>
    <w:p w:rsidR="00BC6C3E" w:rsidRPr="000A3B2A" w:rsidRDefault="00BC6C3E" w:rsidP="007932C0">
      <w:pPr>
        <w:spacing w:after="0" w:line="240" w:lineRule="auto"/>
        <w:ind w:left="-142"/>
        <w:contextualSpacing/>
        <w:jc w:val="both"/>
        <w:rPr>
          <w:rFonts w:eastAsia="Times New Roman" w:cs="Times New Roman"/>
          <w:color w:val="000000"/>
          <w:szCs w:val="24"/>
          <w:lang w:eastAsia="lt-LT"/>
        </w:rPr>
      </w:pPr>
    </w:p>
    <w:p w:rsidR="00DB79E7" w:rsidRPr="0042242F" w:rsidRDefault="00BC6C3E"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ind w:left="-142"/>
        <w:jc w:val="both"/>
        <w:rPr>
          <w:rFonts w:cs="Times New Roman"/>
          <w:b/>
          <w:iCs/>
          <w:szCs w:val="24"/>
        </w:rPr>
      </w:pPr>
      <w:r>
        <w:rPr>
          <w:rFonts w:eastAsia="Calibri" w:cs="Times New Roman"/>
          <w:b/>
          <w:szCs w:val="24"/>
        </w:rPr>
        <w:t>Tarybos rekomendacija dėl Europos centrinio banko vykdomosios valdybos nario skyrimo</w:t>
      </w:r>
      <w:r w:rsidR="0042242F">
        <w:rPr>
          <w:rFonts w:eastAsia="Calibri" w:cs="Times New Roman"/>
          <w:b/>
          <w:szCs w:val="24"/>
        </w:rPr>
        <w:t xml:space="preserve"> </w:t>
      </w:r>
      <w:r w:rsidR="0042242F" w:rsidRPr="0042242F">
        <w:rPr>
          <w:rFonts w:eastAsia="Calibri" w:cs="Times New Roman"/>
          <w:i/>
          <w:szCs w:val="24"/>
        </w:rPr>
        <w:t>(priėmimas)</w:t>
      </w:r>
    </w:p>
    <w:p w:rsidR="00BF44D9" w:rsidRPr="007932C0" w:rsidRDefault="0042242F" w:rsidP="007932C0">
      <w:pPr>
        <w:spacing w:after="0" w:line="240" w:lineRule="auto"/>
        <w:ind w:left="-142"/>
        <w:jc w:val="both"/>
        <w:rPr>
          <w:szCs w:val="24"/>
          <w:shd w:val="clear" w:color="auto" w:fill="FFFFFF"/>
        </w:rPr>
      </w:pPr>
      <w:r w:rsidRPr="00BF44D9">
        <w:rPr>
          <w:rFonts w:eastAsia="Calibri" w:cs="Times New Roman"/>
          <w:b/>
          <w:szCs w:val="24"/>
          <w:u w:val="single"/>
        </w:rPr>
        <w:t>Klausimo esmė.</w:t>
      </w:r>
      <w:r w:rsidR="00BF44D9" w:rsidRPr="00BF44D9">
        <w:rPr>
          <w:szCs w:val="24"/>
          <w:shd w:val="clear" w:color="auto" w:fill="FFFFFF"/>
        </w:rPr>
        <w:t xml:space="preserve"> 2020 m. gruodžio 14 d. baigiasi Europos Centrinio banko (toliau – ECB) Vykdomosios valdybos nario </w:t>
      </w:r>
      <w:proofErr w:type="spellStart"/>
      <w:r w:rsidR="00BF44D9" w:rsidRPr="00BF44D9">
        <w:rPr>
          <w:b/>
          <w:szCs w:val="24"/>
          <w:shd w:val="clear" w:color="auto" w:fill="FFFFFF"/>
        </w:rPr>
        <w:t>Mr</w:t>
      </w:r>
      <w:proofErr w:type="spellEnd"/>
      <w:r w:rsidR="00BF44D9" w:rsidRPr="00BF44D9">
        <w:rPr>
          <w:b/>
          <w:szCs w:val="24"/>
          <w:shd w:val="clear" w:color="auto" w:fill="FFFFFF"/>
        </w:rPr>
        <w:t xml:space="preserve"> </w:t>
      </w:r>
      <w:proofErr w:type="spellStart"/>
      <w:r w:rsidR="00BF44D9" w:rsidRPr="00BF44D9">
        <w:rPr>
          <w:b/>
          <w:szCs w:val="24"/>
          <w:shd w:val="clear" w:color="auto" w:fill="FFFFFF"/>
        </w:rPr>
        <w:t>Yves</w:t>
      </w:r>
      <w:proofErr w:type="spellEnd"/>
      <w:r w:rsidR="00BF44D9" w:rsidRPr="00BF44D9">
        <w:rPr>
          <w:b/>
          <w:szCs w:val="24"/>
          <w:shd w:val="clear" w:color="auto" w:fill="FFFFFF"/>
        </w:rPr>
        <w:t xml:space="preserve"> </w:t>
      </w:r>
      <w:proofErr w:type="spellStart"/>
      <w:r w:rsidR="00BF44D9" w:rsidRPr="00BF44D9">
        <w:rPr>
          <w:b/>
          <w:szCs w:val="24"/>
          <w:shd w:val="clear" w:color="auto" w:fill="FFFFFF"/>
        </w:rPr>
        <w:t>Mersch</w:t>
      </w:r>
      <w:proofErr w:type="spellEnd"/>
      <w:r w:rsidR="007932C0">
        <w:rPr>
          <w:szCs w:val="24"/>
          <w:shd w:val="clear" w:color="auto" w:fill="FFFFFF"/>
        </w:rPr>
        <w:t xml:space="preserve"> kadencija. Atsižvelgiant į tai</w:t>
      </w:r>
      <w:r w:rsidR="00BF44D9" w:rsidRPr="00BF44D9">
        <w:rPr>
          <w:szCs w:val="24"/>
          <w:shd w:val="clear" w:color="auto" w:fill="FFFFFF"/>
        </w:rPr>
        <w:t xml:space="preserve"> rugsėjo 11 d. Euro grupėje buvo pradėtos naujo ECB Vykdomosios valdybos nario skyrimo procedūros. Preliminariai žinomi galimi kandidatai yra </w:t>
      </w:r>
      <w:proofErr w:type="spellStart"/>
      <w:r w:rsidR="00BF44D9" w:rsidRPr="00BF44D9">
        <w:rPr>
          <w:b/>
          <w:szCs w:val="24"/>
          <w:shd w:val="clear" w:color="auto" w:fill="FFFFFF"/>
        </w:rPr>
        <w:t>Frank</w:t>
      </w:r>
      <w:proofErr w:type="spellEnd"/>
      <w:r w:rsidR="00BF44D9" w:rsidRPr="00BF44D9">
        <w:rPr>
          <w:b/>
          <w:szCs w:val="24"/>
          <w:shd w:val="clear" w:color="auto" w:fill="FFFFFF"/>
        </w:rPr>
        <w:t xml:space="preserve"> </w:t>
      </w:r>
      <w:proofErr w:type="spellStart"/>
      <w:r w:rsidR="00BF44D9" w:rsidRPr="00BF44D9">
        <w:rPr>
          <w:b/>
          <w:szCs w:val="24"/>
          <w:shd w:val="clear" w:color="auto" w:fill="FFFFFF"/>
        </w:rPr>
        <w:t>Elderson</w:t>
      </w:r>
      <w:proofErr w:type="spellEnd"/>
      <w:r w:rsidR="00BF44D9" w:rsidRPr="00BF44D9">
        <w:rPr>
          <w:szCs w:val="24"/>
          <w:shd w:val="clear" w:color="auto" w:fill="FFFFFF"/>
        </w:rPr>
        <w:t xml:space="preserve"> – nuo 2011 m. Nyderlandų Banko Vykdomosios valdybos narys, </w:t>
      </w:r>
      <w:proofErr w:type="spellStart"/>
      <w:r w:rsidR="00BF44D9" w:rsidRPr="00BF44D9">
        <w:rPr>
          <w:b/>
          <w:bCs/>
          <w:szCs w:val="24"/>
          <w:shd w:val="clear" w:color="auto" w:fill="FFFFFF"/>
        </w:rPr>
        <w:t>Bostjan</w:t>
      </w:r>
      <w:proofErr w:type="spellEnd"/>
      <w:r w:rsidR="00BF44D9" w:rsidRPr="00BF44D9">
        <w:rPr>
          <w:b/>
          <w:bCs/>
          <w:szCs w:val="24"/>
          <w:shd w:val="clear" w:color="auto" w:fill="FFFFFF"/>
        </w:rPr>
        <w:t xml:space="preserve"> </w:t>
      </w:r>
      <w:proofErr w:type="spellStart"/>
      <w:r w:rsidR="00BF44D9" w:rsidRPr="00BF44D9">
        <w:rPr>
          <w:b/>
          <w:bCs/>
          <w:szCs w:val="24"/>
          <w:shd w:val="clear" w:color="auto" w:fill="FFFFFF"/>
        </w:rPr>
        <w:t>Jazbec</w:t>
      </w:r>
      <w:proofErr w:type="spellEnd"/>
      <w:r w:rsidR="00BF44D9" w:rsidRPr="00BF44D9">
        <w:rPr>
          <w:szCs w:val="24"/>
          <w:shd w:val="clear" w:color="auto" w:fill="FFFFFF"/>
        </w:rPr>
        <w:t xml:space="preserve"> – buvęs Slovėnijos centrinio banko valdytojas, dabar – Bendros pertvarkymo valdybos narys. </w:t>
      </w:r>
      <w:r w:rsidR="00BF44D9">
        <w:rPr>
          <w:rFonts w:eastAsia="Calibri" w:cs="Times New Roman"/>
          <w:sz w:val="22"/>
          <w:szCs w:val="24"/>
        </w:rPr>
        <w:t>Oficialus k</w:t>
      </w:r>
      <w:r w:rsidR="00BF44D9" w:rsidRPr="00BF44D9">
        <w:rPr>
          <w:rFonts w:eastAsia="Calibri" w:cs="Times New Roman"/>
          <w:sz w:val="22"/>
          <w:szCs w:val="24"/>
        </w:rPr>
        <w:t xml:space="preserve">andidatų paskelbimas vyks </w:t>
      </w:r>
      <w:r w:rsidR="00BF44D9">
        <w:rPr>
          <w:rFonts w:eastAsia="Calibri" w:cs="Times New Roman"/>
          <w:sz w:val="22"/>
          <w:szCs w:val="24"/>
        </w:rPr>
        <w:t>rugsėjo 30 d. Euro darbo grupėje.</w:t>
      </w:r>
    </w:p>
    <w:p w:rsidR="0042242F" w:rsidRPr="0042242F" w:rsidRDefault="0042242F" w:rsidP="007932C0">
      <w:pPr>
        <w:spacing w:after="0" w:line="240" w:lineRule="auto"/>
        <w:ind w:left="-142"/>
        <w:jc w:val="both"/>
        <w:rPr>
          <w:rFonts w:eastAsia="Calibri" w:cs="Times New Roman"/>
          <w:b/>
          <w:szCs w:val="24"/>
          <w:u w:val="single"/>
        </w:rPr>
      </w:pPr>
      <w:r w:rsidRPr="0042242F">
        <w:rPr>
          <w:rFonts w:eastAsia="Calibri" w:cs="Times New Roman"/>
          <w:b/>
          <w:szCs w:val="24"/>
          <w:u w:val="single"/>
        </w:rPr>
        <w:t>Lietuvos pozicija</w:t>
      </w:r>
      <w:r w:rsidRPr="00BF44D9">
        <w:rPr>
          <w:rFonts w:eastAsia="Calibri" w:cs="Times New Roman"/>
          <w:szCs w:val="24"/>
        </w:rPr>
        <w:t>.</w:t>
      </w:r>
      <w:r w:rsidR="00BF44D9" w:rsidRPr="00BF44D9">
        <w:rPr>
          <w:rFonts w:eastAsia="Calibri" w:cs="Times New Roman"/>
          <w:szCs w:val="24"/>
        </w:rPr>
        <w:t xml:space="preserve"> Oficialiai paskelbus kandidatus, bus priimtas sprendimas dėl </w:t>
      </w:r>
      <w:r w:rsidR="00BF44D9">
        <w:rPr>
          <w:rFonts w:eastAsia="Calibri" w:cs="Times New Roman"/>
          <w:szCs w:val="24"/>
        </w:rPr>
        <w:t>Lietuvos</w:t>
      </w:r>
      <w:r w:rsidR="00BF44D9" w:rsidRPr="00BF44D9">
        <w:rPr>
          <w:rFonts w:eastAsia="Calibri" w:cs="Times New Roman"/>
          <w:szCs w:val="24"/>
        </w:rPr>
        <w:t xml:space="preserve"> balsavimo</w:t>
      </w:r>
      <w:r w:rsidR="00BF44D9">
        <w:rPr>
          <w:rFonts w:eastAsia="Calibri" w:cs="Times New Roman"/>
          <w:szCs w:val="24"/>
        </w:rPr>
        <w:t>.</w:t>
      </w:r>
    </w:p>
    <w:p w:rsidR="00BC6C3E" w:rsidRPr="000A3B2A" w:rsidRDefault="00BC6C3E" w:rsidP="007932C0">
      <w:pPr>
        <w:spacing w:after="0" w:line="240" w:lineRule="auto"/>
        <w:jc w:val="both"/>
        <w:rPr>
          <w:rFonts w:cs="Times New Roman"/>
          <w:b/>
          <w:szCs w:val="24"/>
          <w:u w:val="single"/>
          <w:lang w:eastAsia="lt-LT" w:bidi="lt-LT"/>
        </w:rPr>
      </w:pPr>
    </w:p>
    <w:p w:rsidR="000A3B2A" w:rsidRPr="0042242F" w:rsidRDefault="00BC6C3E"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Pr>
          <w:rFonts w:eastAsia="Calibri" w:cs="Times New Roman"/>
          <w:b/>
          <w:szCs w:val="24"/>
        </w:rPr>
        <w:t>Europos semestras 2020 – išmoktos pamokos ir tolesni žingsniai atsigavimo kontekste</w:t>
      </w:r>
      <w:r w:rsidR="0042242F">
        <w:rPr>
          <w:rFonts w:eastAsia="Calibri" w:cs="Times New Roman"/>
          <w:b/>
          <w:szCs w:val="24"/>
        </w:rPr>
        <w:t xml:space="preserve"> </w:t>
      </w:r>
      <w:r w:rsidR="0042242F" w:rsidRPr="0042242F">
        <w:rPr>
          <w:rFonts w:eastAsia="Calibri" w:cs="Times New Roman"/>
          <w:i/>
          <w:szCs w:val="24"/>
        </w:rPr>
        <w:t>(apsikeitimas nuomonėmis)</w:t>
      </w:r>
    </w:p>
    <w:p w:rsidR="00791517" w:rsidRPr="00791517" w:rsidRDefault="0042242F" w:rsidP="007932C0">
      <w:pPr>
        <w:spacing w:after="0" w:line="240" w:lineRule="auto"/>
        <w:jc w:val="both"/>
        <w:rPr>
          <w:rFonts w:eastAsia="Calibri" w:cs="Times New Roman"/>
          <w:b/>
          <w:szCs w:val="24"/>
          <w:u w:val="single"/>
        </w:rPr>
      </w:pPr>
      <w:r w:rsidRPr="0042242F">
        <w:rPr>
          <w:rFonts w:eastAsia="Calibri" w:cs="Times New Roman"/>
          <w:b/>
          <w:szCs w:val="24"/>
          <w:u w:val="single"/>
        </w:rPr>
        <w:t>Klausimo esmė</w:t>
      </w:r>
      <w:r w:rsidRPr="00791517">
        <w:rPr>
          <w:rFonts w:eastAsia="Calibri" w:cs="Times New Roman"/>
          <w:b/>
          <w:szCs w:val="24"/>
          <w:u w:val="single"/>
        </w:rPr>
        <w:t>.</w:t>
      </w:r>
      <w:r w:rsidR="00791517" w:rsidRPr="00791517">
        <w:rPr>
          <w:rFonts w:cs="Times New Roman"/>
          <w:szCs w:val="24"/>
        </w:rPr>
        <w:t xml:space="preserve"> ES ekonomikos koordinavimas 2020 m. buvo pakoreguotas dėl </w:t>
      </w:r>
      <w:proofErr w:type="spellStart"/>
      <w:r w:rsidR="00791517" w:rsidRPr="00791517">
        <w:rPr>
          <w:rFonts w:cs="Times New Roman"/>
          <w:szCs w:val="24"/>
        </w:rPr>
        <w:t>Covid-19</w:t>
      </w:r>
      <w:proofErr w:type="spellEnd"/>
      <w:r w:rsidR="00791517" w:rsidRPr="00791517">
        <w:rPr>
          <w:rFonts w:cs="Times New Roman"/>
          <w:szCs w:val="24"/>
        </w:rPr>
        <w:t xml:space="preserve"> pandemijos. Nepaisant trumpalaikių tikslų, pagrindiniu Europos Semestro iššūkiu išlieka šalims skirtų rekomendacijų (CSR) įgyvendinimas. Nuo Semestro pradžios įgyvendinant 68</w:t>
      </w:r>
      <w:r w:rsidR="00791517" w:rsidRPr="00791517">
        <w:rPr>
          <w:rFonts w:cs="Times New Roman"/>
          <w:szCs w:val="24"/>
          <w:lang w:val="en-US"/>
        </w:rPr>
        <w:t>%</w:t>
      </w:r>
      <w:r w:rsidR="00791517" w:rsidRPr="00791517">
        <w:rPr>
          <w:rFonts w:cs="Times New Roman"/>
          <w:szCs w:val="24"/>
        </w:rPr>
        <w:t xml:space="preserve"> CSR buvo pasiekta bent tam tikra pažanga. Daugiausiai iššūkių keliančios sritys yra konkurencija ir paslaugos bei pensijų reformos, šiose srityse įgyvendinimas žemiausias. Žemas CSR įgyvendinimo lygis buvo pažymėtas </w:t>
      </w:r>
      <w:r w:rsidR="00791517">
        <w:rPr>
          <w:rFonts w:cs="Times New Roman"/>
          <w:szCs w:val="24"/>
        </w:rPr>
        <w:t xml:space="preserve">ir </w:t>
      </w:r>
      <w:r w:rsidR="00791517" w:rsidRPr="00791517">
        <w:rPr>
          <w:rFonts w:cs="Times New Roman"/>
          <w:szCs w:val="24"/>
        </w:rPr>
        <w:t>E</w:t>
      </w:r>
      <w:r w:rsidR="00791517">
        <w:rPr>
          <w:rFonts w:cs="Times New Roman"/>
          <w:szCs w:val="24"/>
        </w:rPr>
        <w:t>uropos audito rūmų ataskaitoje</w:t>
      </w:r>
      <w:r w:rsidR="00791517" w:rsidRPr="00791517">
        <w:rPr>
          <w:rFonts w:cs="Times New Roman"/>
          <w:szCs w:val="24"/>
        </w:rPr>
        <w:t>. Tikimasi, kad Atsigavimo ir atsparumo instrumentas (RRF) padės spręsti šią problemą, nes jo pagrindas bus CSR.</w:t>
      </w:r>
      <w:r w:rsidR="00791517" w:rsidRPr="00791517">
        <w:rPr>
          <w:rFonts w:eastAsia="Calibri" w:cs="Times New Roman"/>
          <w:b/>
          <w:szCs w:val="24"/>
        </w:rPr>
        <w:t xml:space="preserve"> </w:t>
      </w:r>
      <w:r w:rsidR="00791517" w:rsidRPr="00791517">
        <w:rPr>
          <w:rFonts w:cs="Times New Roman"/>
          <w:szCs w:val="24"/>
        </w:rPr>
        <w:t xml:space="preserve">Pastarųjų metų ambicingi klimato, skaitmeninio perėjimo ir tvaraus vystymosi tikslai yra iššūkis Semestrui siekiant integruoti visus šiuos tikslus ir neprarasti orientacijos į makroekonomines problemas. </w:t>
      </w:r>
    </w:p>
    <w:p w:rsidR="00791517" w:rsidRPr="00791517" w:rsidRDefault="00791517" w:rsidP="007932C0">
      <w:pPr>
        <w:spacing w:after="0" w:line="240" w:lineRule="auto"/>
        <w:contextualSpacing/>
        <w:jc w:val="both"/>
        <w:rPr>
          <w:rFonts w:cs="Times New Roman"/>
          <w:szCs w:val="24"/>
        </w:rPr>
      </w:pPr>
    </w:p>
    <w:p w:rsidR="00791517" w:rsidRPr="00791517" w:rsidRDefault="00791517" w:rsidP="007932C0">
      <w:pPr>
        <w:spacing w:after="0" w:line="240" w:lineRule="auto"/>
        <w:contextualSpacing/>
        <w:jc w:val="both"/>
        <w:rPr>
          <w:rFonts w:cs="Times New Roman"/>
          <w:b/>
          <w:szCs w:val="24"/>
        </w:rPr>
      </w:pPr>
      <w:r w:rsidRPr="00791517">
        <w:rPr>
          <w:rFonts w:cs="Times New Roman"/>
          <w:b/>
          <w:szCs w:val="24"/>
        </w:rPr>
        <w:t>Pagrindiniai Semestro proceso pokyčiai 2021 m.:</w:t>
      </w:r>
    </w:p>
    <w:p w:rsidR="00791517" w:rsidRPr="00791517" w:rsidRDefault="00791517" w:rsidP="007932C0">
      <w:pPr>
        <w:numPr>
          <w:ilvl w:val="0"/>
          <w:numId w:val="18"/>
        </w:numPr>
        <w:spacing w:after="0" w:line="240" w:lineRule="auto"/>
        <w:contextualSpacing/>
        <w:jc w:val="both"/>
        <w:rPr>
          <w:rFonts w:cs="Times New Roman"/>
          <w:szCs w:val="24"/>
        </w:rPr>
      </w:pPr>
      <w:r w:rsidRPr="00791517">
        <w:rPr>
          <w:rFonts w:cs="Times New Roman"/>
          <w:szCs w:val="24"/>
        </w:rPr>
        <w:t>Atsigavimo ir atsparumo planas (RRP) bus pagrindinis VN reformų planų dokumentas, ne Nacionalinė reformų programa (NRP). VN skatinamos NRP ir RRP integruoti į vieną dokumentą.</w:t>
      </w:r>
    </w:p>
    <w:p w:rsidR="00791517" w:rsidRPr="00791517" w:rsidRDefault="00791517" w:rsidP="007932C0">
      <w:pPr>
        <w:numPr>
          <w:ilvl w:val="0"/>
          <w:numId w:val="18"/>
        </w:numPr>
        <w:spacing w:after="0" w:line="240" w:lineRule="auto"/>
        <w:contextualSpacing/>
        <w:jc w:val="both"/>
        <w:rPr>
          <w:rFonts w:cs="Times New Roman"/>
          <w:szCs w:val="24"/>
        </w:rPr>
      </w:pPr>
      <w:r w:rsidRPr="00791517">
        <w:rPr>
          <w:rFonts w:cs="Times New Roman"/>
          <w:szCs w:val="24"/>
        </w:rPr>
        <w:t>EK RRP analizė pakeis Šalių ataskaitas. EK analizės bus teikiamos atsižvelgiant į VN RRP pateikimo datas.</w:t>
      </w:r>
    </w:p>
    <w:p w:rsidR="00791517" w:rsidRPr="00791517" w:rsidRDefault="00791517" w:rsidP="007932C0">
      <w:pPr>
        <w:numPr>
          <w:ilvl w:val="0"/>
          <w:numId w:val="18"/>
        </w:numPr>
        <w:spacing w:after="0" w:line="240" w:lineRule="auto"/>
        <w:contextualSpacing/>
        <w:jc w:val="both"/>
        <w:rPr>
          <w:rFonts w:cs="Times New Roman"/>
          <w:szCs w:val="24"/>
        </w:rPr>
      </w:pPr>
      <w:r w:rsidRPr="00791517">
        <w:rPr>
          <w:rFonts w:cs="Times New Roman"/>
          <w:szCs w:val="24"/>
        </w:rPr>
        <w:t>CSR bus pakeistos RRP vertinimu. Liks tiktai fiskalinės rekomendacijos remiantis Stabilumo ir augimo paktu.</w:t>
      </w:r>
    </w:p>
    <w:p w:rsidR="00791517" w:rsidRDefault="00791517" w:rsidP="007932C0">
      <w:pPr>
        <w:numPr>
          <w:ilvl w:val="0"/>
          <w:numId w:val="18"/>
        </w:numPr>
        <w:spacing w:after="0" w:line="240" w:lineRule="auto"/>
        <w:contextualSpacing/>
        <w:jc w:val="both"/>
        <w:rPr>
          <w:rFonts w:cs="Times New Roman"/>
          <w:szCs w:val="24"/>
        </w:rPr>
      </w:pPr>
      <w:r w:rsidRPr="00791517">
        <w:rPr>
          <w:rFonts w:cs="Times New Roman"/>
          <w:szCs w:val="24"/>
        </w:rPr>
        <w:lastRenderedPageBreak/>
        <w:t xml:space="preserve">Makroekonominių </w:t>
      </w:r>
      <w:proofErr w:type="spellStart"/>
      <w:r w:rsidRPr="00791517">
        <w:rPr>
          <w:rFonts w:cs="Times New Roman"/>
          <w:szCs w:val="24"/>
        </w:rPr>
        <w:t>disabalansų</w:t>
      </w:r>
      <w:proofErr w:type="spellEnd"/>
      <w:r w:rsidRPr="00791517">
        <w:rPr>
          <w:rFonts w:cs="Times New Roman"/>
          <w:szCs w:val="24"/>
        </w:rPr>
        <w:t xml:space="preserve"> procedūros Nuodugnios apžvalgos bus teikiamos kartu su Stabilumo programų įvertinimu. Po jų nebus teikiamos naujos rekomendacijos.</w:t>
      </w:r>
    </w:p>
    <w:p w:rsidR="0042242F" w:rsidRPr="0042242F" w:rsidRDefault="0042242F" w:rsidP="007932C0">
      <w:pPr>
        <w:spacing w:after="0" w:line="240" w:lineRule="auto"/>
        <w:ind w:hanging="142"/>
        <w:jc w:val="both"/>
        <w:rPr>
          <w:rFonts w:eastAsia="Calibri" w:cs="Times New Roman"/>
          <w:b/>
          <w:szCs w:val="24"/>
          <w:u w:val="single"/>
        </w:rPr>
      </w:pPr>
    </w:p>
    <w:p w:rsidR="00791517" w:rsidRPr="00791517" w:rsidRDefault="0042242F" w:rsidP="007932C0">
      <w:pPr>
        <w:spacing w:after="0" w:line="240" w:lineRule="auto"/>
        <w:ind w:hanging="142"/>
        <w:jc w:val="both"/>
        <w:rPr>
          <w:rFonts w:eastAsia="Calibri" w:cs="Times New Roman"/>
          <w:szCs w:val="24"/>
        </w:rPr>
      </w:pPr>
      <w:r w:rsidRPr="0042242F">
        <w:rPr>
          <w:rFonts w:eastAsia="Calibri" w:cs="Times New Roman"/>
          <w:b/>
          <w:szCs w:val="24"/>
          <w:u w:val="single"/>
        </w:rPr>
        <w:t>Lietuvos pozicija.</w:t>
      </w:r>
      <w:r w:rsidR="00791517">
        <w:rPr>
          <w:rFonts w:eastAsia="Calibri" w:cs="Times New Roman"/>
          <w:b/>
          <w:szCs w:val="24"/>
          <w:u w:val="single"/>
        </w:rPr>
        <w:t xml:space="preserve"> </w:t>
      </w:r>
      <w:r w:rsidR="00791517" w:rsidRPr="00791517">
        <w:rPr>
          <w:rFonts w:eastAsia="Calibri" w:cs="Times New Roman"/>
          <w:szCs w:val="24"/>
        </w:rPr>
        <w:t>Pritariame, kad pagrindiniu Semestro iššūkiu išlieka šalims skirtų rekomendacijų</w:t>
      </w:r>
    </w:p>
    <w:p w:rsidR="0042242F" w:rsidRPr="00791517" w:rsidRDefault="00791517" w:rsidP="007932C0">
      <w:pPr>
        <w:spacing w:after="0" w:line="240" w:lineRule="auto"/>
        <w:ind w:hanging="142"/>
        <w:jc w:val="both"/>
        <w:rPr>
          <w:rFonts w:eastAsia="Calibri" w:cs="Times New Roman"/>
          <w:szCs w:val="24"/>
        </w:rPr>
      </w:pPr>
      <w:r w:rsidRPr="00791517">
        <w:rPr>
          <w:rFonts w:eastAsia="Calibri" w:cs="Times New Roman"/>
          <w:szCs w:val="24"/>
        </w:rPr>
        <w:t>įgyvendinimas. Neprieštaraujame Semestro pokyčiams atsižvelgiant į situaciją.</w:t>
      </w:r>
    </w:p>
    <w:p w:rsidR="00B26F29" w:rsidRPr="002764C2" w:rsidRDefault="00B26F29" w:rsidP="007932C0">
      <w:pPr>
        <w:spacing w:after="0" w:line="240" w:lineRule="auto"/>
        <w:jc w:val="both"/>
        <w:rPr>
          <w:rFonts w:cs="Times New Roman"/>
          <w:b/>
          <w:szCs w:val="24"/>
          <w:u w:val="single"/>
          <w:lang w:val="en-US" w:eastAsia="lt-LT" w:bidi="lt-LT"/>
        </w:rPr>
      </w:pPr>
    </w:p>
    <w:p w:rsidR="000A3B2A" w:rsidRPr="000A3B2A" w:rsidRDefault="00BC6C3E"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szCs w:val="24"/>
          <w:lang w:eastAsia="lt-LT" w:bidi="lt-LT"/>
        </w:rPr>
        <w:t>Pasirengimas G-20 finansų ministrų ir centrinių bankų va</w:t>
      </w:r>
      <w:r w:rsidR="006425A0">
        <w:rPr>
          <w:rFonts w:cs="Times New Roman"/>
          <w:b/>
          <w:szCs w:val="24"/>
          <w:lang w:eastAsia="lt-LT" w:bidi="lt-LT"/>
        </w:rPr>
        <w:t>ldytojų</w:t>
      </w:r>
      <w:r>
        <w:rPr>
          <w:rFonts w:cs="Times New Roman"/>
          <w:b/>
          <w:szCs w:val="24"/>
          <w:lang w:eastAsia="lt-LT" w:bidi="lt-LT"/>
        </w:rPr>
        <w:t xml:space="preserve"> susitikimui bei virtualiam TVF metiniam susitikimui 2020 m. spalio 12-17 d.</w:t>
      </w:r>
      <w:r w:rsidR="0042242F">
        <w:rPr>
          <w:rFonts w:cs="Times New Roman"/>
          <w:b/>
          <w:szCs w:val="24"/>
          <w:lang w:eastAsia="lt-LT" w:bidi="lt-LT"/>
        </w:rPr>
        <w:t xml:space="preserve"> </w:t>
      </w:r>
      <w:r w:rsidR="0042242F" w:rsidRPr="0042242F">
        <w:rPr>
          <w:rFonts w:cs="Times New Roman"/>
          <w:i/>
          <w:szCs w:val="24"/>
          <w:lang w:eastAsia="lt-LT" w:bidi="lt-LT"/>
        </w:rPr>
        <w:t>(pritarimas)</w:t>
      </w:r>
    </w:p>
    <w:p w:rsidR="0042242F" w:rsidRDefault="0042242F" w:rsidP="007932C0">
      <w:pPr>
        <w:spacing w:after="0" w:line="240" w:lineRule="auto"/>
        <w:ind w:left="-142"/>
        <w:jc w:val="both"/>
        <w:rPr>
          <w:rFonts w:eastAsia="Times New Roman" w:cs="Times New Roman"/>
          <w:iCs/>
          <w:szCs w:val="20"/>
          <w:lang w:eastAsia="lt-LT"/>
        </w:rPr>
      </w:pPr>
      <w:r w:rsidRPr="0042242F">
        <w:rPr>
          <w:rFonts w:eastAsia="Calibri" w:cs="Times New Roman"/>
          <w:b/>
          <w:szCs w:val="24"/>
          <w:u w:val="single"/>
        </w:rPr>
        <w:t>Klausimo esmė.</w:t>
      </w:r>
      <w:r w:rsidR="009D3FE2">
        <w:rPr>
          <w:rFonts w:eastAsia="Calibri" w:cs="Times New Roman"/>
          <w:b/>
          <w:szCs w:val="24"/>
          <w:u w:val="single"/>
        </w:rPr>
        <w:t xml:space="preserve"> </w:t>
      </w:r>
      <w:r w:rsidR="009D3FE2" w:rsidRPr="009D3FE2">
        <w:rPr>
          <w:rFonts w:eastAsia="Times New Roman" w:cs="Times New Roman"/>
          <w:iCs/>
          <w:szCs w:val="24"/>
          <w:lang w:eastAsia="lt-LT"/>
        </w:rPr>
        <w:t xml:space="preserve">Š. m. spalio 10 d. ECOFIN tarybos posėdžio metu bus siūloma patvirtinti </w:t>
      </w:r>
      <w:r w:rsidR="009D3FE2" w:rsidRPr="009D3FE2">
        <w:rPr>
          <w:rFonts w:eastAsia="Times New Roman" w:cs="Times New Roman"/>
          <w:iCs/>
          <w:szCs w:val="20"/>
          <w:lang w:eastAsia="lt-LT"/>
        </w:rPr>
        <w:t xml:space="preserve">Vokietijos finansų ministro </w:t>
      </w:r>
      <w:proofErr w:type="spellStart"/>
      <w:r w:rsidR="009D3FE2" w:rsidRPr="009D3FE2">
        <w:rPr>
          <w:rFonts w:eastAsia="Times New Roman" w:cs="Times New Roman"/>
          <w:szCs w:val="20"/>
          <w:lang w:eastAsia="de-DE" w:bidi="de-DE"/>
        </w:rPr>
        <w:t>Olaf</w:t>
      </w:r>
      <w:proofErr w:type="spellEnd"/>
      <w:r w:rsidR="009D3FE2" w:rsidRPr="009D3FE2">
        <w:rPr>
          <w:rFonts w:eastAsia="Times New Roman" w:cs="Times New Roman"/>
          <w:szCs w:val="20"/>
          <w:lang w:eastAsia="de-DE" w:bidi="de-DE"/>
        </w:rPr>
        <w:t xml:space="preserve"> </w:t>
      </w:r>
      <w:proofErr w:type="spellStart"/>
      <w:r w:rsidR="009D3FE2" w:rsidRPr="009D3FE2">
        <w:rPr>
          <w:rFonts w:eastAsia="Times New Roman" w:cs="Times New Roman"/>
          <w:szCs w:val="20"/>
          <w:lang w:eastAsia="de-DE" w:bidi="de-DE"/>
        </w:rPr>
        <w:t>Scholz</w:t>
      </w:r>
      <w:proofErr w:type="spellEnd"/>
      <w:r w:rsidR="009D3FE2" w:rsidRPr="009D3FE2">
        <w:rPr>
          <w:rFonts w:eastAsia="Times New Roman" w:cs="Times New Roman"/>
          <w:iCs/>
          <w:szCs w:val="20"/>
          <w:lang w:eastAsia="lt-LT"/>
        </w:rPr>
        <w:t xml:space="preserve"> pranešimo projektą Tarptautiniame pinigų ir finansų komitete (angl. </w:t>
      </w:r>
      <w:proofErr w:type="spellStart"/>
      <w:r w:rsidR="009D3FE2" w:rsidRPr="009D3FE2">
        <w:rPr>
          <w:rFonts w:eastAsia="Times New Roman" w:cs="Times New Roman"/>
          <w:i/>
          <w:iCs/>
          <w:szCs w:val="20"/>
          <w:lang w:eastAsia="lt-LT"/>
        </w:rPr>
        <w:t>International</w:t>
      </w:r>
      <w:proofErr w:type="spellEnd"/>
      <w:r w:rsidR="009D3FE2" w:rsidRPr="009D3FE2">
        <w:rPr>
          <w:rFonts w:eastAsia="Times New Roman" w:cs="Times New Roman"/>
          <w:i/>
          <w:iCs/>
          <w:szCs w:val="20"/>
          <w:lang w:eastAsia="lt-LT"/>
        </w:rPr>
        <w:t xml:space="preserve"> </w:t>
      </w:r>
      <w:proofErr w:type="spellStart"/>
      <w:r w:rsidR="009D3FE2" w:rsidRPr="009D3FE2">
        <w:rPr>
          <w:rFonts w:eastAsia="Times New Roman" w:cs="Times New Roman"/>
          <w:i/>
          <w:iCs/>
          <w:szCs w:val="20"/>
          <w:lang w:eastAsia="lt-LT"/>
        </w:rPr>
        <w:t>Monetary</w:t>
      </w:r>
      <w:proofErr w:type="spellEnd"/>
      <w:r w:rsidR="009D3FE2" w:rsidRPr="009D3FE2">
        <w:rPr>
          <w:rFonts w:eastAsia="Times New Roman" w:cs="Times New Roman"/>
          <w:i/>
          <w:iCs/>
          <w:szCs w:val="20"/>
          <w:lang w:eastAsia="lt-LT"/>
        </w:rPr>
        <w:t xml:space="preserve"> </w:t>
      </w:r>
      <w:proofErr w:type="spellStart"/>
      <w:r w:rsidR="009D3FE2" w:rsidRPr="009D3FE2">
        <w:rPr>
          <w:rFonts w:eastAsia="Times New Roman" w:cs="Times New Roman"/>
          <w:i/>
          <w:iCs/>
          <w:szCs w:val="20"/>
          <w:lang w:eastAsia="lt-LT"/>
        </w:rPr>
        <w:t>and</w:t>
      </w:r>
      <w:proofErr w:type="spellEnd"/>
      <w:r w:rsidR="009D3FE2" w:rsidRPr="009D3FE2">
        <w:rPr>
          <w:rFonts w:eastAsia="Times New Roman" w:cs="Times New Roman"/>
          <w:i/>
          <w:iCs/>
          <w:szCs w:val="20"/>
          <w:lang w:eastAsia="lt-LT"/>
        </w:rPr>
        <w:t xml:space="preserve"> </w:t>
      </w:r>
      <w:proofErr w:type="spellStart"/>
      <w:r w:rsidR="009D3FE2" w:rsidRPr="009D3FE2">
        <w:rPr>
          <w:rFonts w:eastAsia="Times New Roman" w:cs="Times New Roman"/>
          <w:i/>
          <w:iCs/>
          <w:szCs w:val="20"/>
          <w:lang w:eastAsia="lt-LT"/>
        </w:rPr>
        <w:t>Finance</w:t>
      </w:r>
      <w:proofErr w:type="spellEnd"/>
      <w:r w:rsidR="009D3FE2" w:rsidRPr="009D3FE2">
        <w:rPr>
          <w:rFonts w:eastAsia="Times New Roman" w:cs="Times New Roman"/>
          <w:i/>
          <w:iCs/>
          <w:szCs w:val="20"/>
          <w:lang w:eastAsia="lt-LT"/>
        </w:rPr>
        <w:t xml:space="preserve"> </w:t>
      </w:r>
      <w:proofErr w:type="spellStart"/>
      <w:r w:rsidR="009D3FE2" w:rsidRPr="009D3FE2">
        <w:rPr>
          <w:rFonts w:eastAsia="Times New Roman" w:cs="Times New Roman"/>
          <w:i/>
          <w:iCs/>
          <w:szCs w:val="20"/>
          <w:lang w:eastAsia="lt-LT"/>
        </w:rPr>
        <w:t>Committee</w:t>
      </w:r>
      <w:proofErr w:type="spellEnd"/>
      <w:r w:rsidR="009D3FE2" w:rsidRPr="009D3FE2">
        <w:rPr>
          <w:rFonts w:eastAsia="Times New Roman" w:cs="Times New Roman"/>
          <w:iCs/>
          <w:szCs w:val="20"/>
          <w:lang w:eastAsia="lt-LT"/>
        </w:rPr>
        <w:t xml:space="preserve">, toliau – IMFC), ir pozicijų gaires, skirtas G20 finansų ministrų ir centrinių bankų valdytojų susitikimui. Šie tarptautiniai renginiai vyks nuotoliniu būdu š. m. spalio 15-16 d. </w:t>
      </w:r>
    </w:p>
    <w:p w:rsidR="009D3FE2" w:rsidRPr="009D3FE2" w:rsidRDefault="009D3FE2" w:rsidP="007932C0">
      <w:pPr>
        <w:spacing w:after="0" w:line="240" w:lineRule="auto"/>
        <w:ind w:left="-142"/>
        <w:jc w:val="both"/>
        <w:rPr>
          <w:rFonts w:eastAsia="Times New Roman" w:cs="Times New Roman"/>
          <w:iCs/>
          <w:szCs w:val="20"/>
          <w:u w:val="single"/>
          <w:lang w:eastAsia="lt-LT"/>
        </w:rPr>
      </w:pPr>
    </w:p>
    <w:p w:rsidR="0042242F" w:rsidRPr="0042242F" w:rsidRDefault="0042242F" w:rsidP="007932C0">
      <w:pPr>
        <w:spacing w:after="0" w:line="240" w:lineRule="auto"/>
        <w:ind w:left="-142"/>
        <w:jc w:val="both"/>
        <w:rPr>
          <w:rFonts w:eastAsia="Calibri" w:cs="Times New Roman"/>
          <w:b/>
          <w:szCs w:val="24"/>
          <w:u w:val="single"/>
        </w:rPr>
      </w:pPr>
      <w:r w:rsidRPr="0042242F">
        <w:rPr>
          <w:rFonts w:eastAsia="Calibri" w:cs="Times New Roman"/>
          <w:b/>
          <w:szCs w:val="24"/>
          <w:u w:val="single"/>
        </w:rPr>
        <w:t>Lietuvos pozicija.</w:t>
      </w:r>
      <w:r w:rsidR="009D3FE2">
        <w:rPr>
          <w:rFonts w:eastAsia="Calibri" w:cs="Times New Roman"/>
          <w:b/>
          <w:szCs w:val="24"/>
          <w:u w:val="single"/>
        </w:rPr>
        <w:t xml:space="preserve"> </w:t>
      </w:r>
      <w:r w:rsidR="009D3FE2">
        <w:rPr>
          <w:color w:val="000000"/>
          <w:szCs w:val="24"/>
        </w:rPr>
        <w:t xml:space="preserve">Lietuva pritaria parengtiems </w:t>
      </w:r>
      <w:r w:rsidR="009D3FE2" w:rsidRPr="00FC2E45">
        <w:rPr>
          <w:color w:val="000000"/>
          <w:szCs w:val="24"/>
        </w:rPr>
        <w:t xml:space="preserve">G20 pozicijų gairių </w:t>
      </w:r>
      <w:r w:rsidR="009D3FE2">
        <w:rPr>
          <w:color w:val="000000"/>
          <w:szCs w:val="24"/>
        </w:rPr>
        <w:t>ir p</w:t>
      </w:r>
      <w:r w:rsidR="009D3FE2" w:rsidRPr="00FC2E45">
        <w:rPr>
          <w:color w:val="000000"/>
          <w:szCs w:val="24"/>
        </w:rPr>
        <w:t>ranešimo Tarptautiniame pini</w:t>
      </w:r>
      <w:r w:rsidR="009D3FE2">
        <w:rPr>
          <w:color w:val="000000"/>
          <w:szCs w:val="24"/>
        </w:rPr>
        <w:t>gų ir finansų komitete projektams.</w:t>
      </w:r>
    </w:p>
    <w:p w:rsidR="0042242F" w:rsidRDefault="0042242F" w:rsidP="007932C0">
      <w:pPr>
        <w:spacing w:after="0" w:line="240" w:lineRule="auto"/>
        <w:jc w:val="both"/>
        <w:rPr>
          <w:rFonts w:eastAsia="Calibri" w:cs="Times New Roman"/>
          <w:szCs w:val="24"/>
        </w:rPr>
      </w:pPr>
    </w:p>
    <w:p w:rsidR="00BC6C3E" w:rsidRPr="00BC6C3E" w:rsidRDefault="00BC6C3E"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szCs w:val="24"/>
          <w:lang w:eastAsia="lt-LT" w:bidi="lt-LT"/>
        </w:rPr>
        <w:t>Išvados dėl ES nebendradarbiaujančių jurisdikcijų sąrašo mokesčių tikslais</w:t>
      </w:r>
      <w:r w:rsidR="0042242F">
        <w:rPr>
          <w:rFonts w:cs="Times New Roman"/>
          <w:b/>
          <w:szCs w:val="24"/>
          <w:lang w:eastAsia="lt-LT" w:bidi="lt-LT"/>
        </w:rPr>
        <w:t xml:space="preserve"> </w:t>
      </w:r>
      <w:r w:rsidR="0042242F" w:rsidRPr="0042242F">
        <w:rPr>
          <w:rFonts w:cs="Times New Roman"/>
          <w:i/>
          <w:szCs w:val="24"/>
          <w:lang w:eastAsia="lt-LT" w:bidi="lt-LT"/>
        </w:rPr>
        <w:t>(pritarimas)</w:t>
      </w:r>
    </w:p>
    <w:p w:rsidR="00471481" w:rsidRDefault="0042242F" w:rsidP="003068BF">
      <w:pPr>
        <w:spacing w:after="0" w:line="240" w:lineRule="auto"/>
        <w:ind w:left="-142"/>
        <w:jc w:val="both"/>
        <w:rPr>
          <w:szCs w:val="24"/>
        </w:rPr>
      </w:pPr>
      <w:r w:rsidRPr="0042242F">
        <w:rPr>
          <w:rFonts w:eastAsia="Calibri" w:cs="Times New Roman"/>
          <w:b/>
          <w:szCs w:val="24"/>
          <w:u w:val="single"/>
        </w:rPr>
        <w:t>Klausimo esmė.</w:t>
      </w:r>
      <w:r w:rsidR="00471481">
        <w:rPr>
          <w:rFonts w:eastAsia="Calibri" w:cs="Times New Roman"/>
          <w:b/>
          <w:szCs w:val="24"/>
          <w:u w:val="single"/>
        </w:rPr>
        <w:t xml:space="preserve"> </w:t>
      </w:r>
      <w:r w:rsidR="003068BF" w:rsidRPr="003068BF">
        <w:rPr>
          <w:szCs w:val="24"/>
        </w:rPr>
        <w:t>Bus siūloma Tarybai patvirtinti Verslo elgesio kodekso grupės siūlymus atnaujinti ES nebendradarbiaujančių jurisdikcijų sąrašą mokesčių tikslais, atsižvelgiant į sąraše esančių jurisdikcijų padarytą pažangą (pirmasis „ES sąrašas“ patvirtintas 2017 m. gruodžio mėn.; dabar galiojanti sąrašo redakcija patv</w:t>
      </w:r>
      <w:r w:rsidR="003068BF">
        <w:rPr>
          <w:szCs w:val="24"/>
        </w:rPr>
        <w:t xml:space="preserve">irtinta 2020 m. vasario mėn.). </w:t>
      </w:r>
      <w:r w:rsidR="003068BF" w:rsidRPr="003068BF">
        <w:rPr>
          <w:szCs w:val="24"/>
        </w:rPr>
        <w:t xml:space="preserve">Šiuo metu į ES sąrašą yra įtraukta 12 jurisdikcijų , iš kurių bus siūloma išbraukti Omaną ir Kaimanų salas (įvertinus tai, kad Omanas jau atitinka EBPO automatinio keitimosi informacija standartus, o Kaimanų salos pakeitė kolektyvinio investavimo subjektams taikomą mokestinį režimą), bei įtraukti į sąrašą Barbadosą ir </w:t>
      </w:r>
      <w:proofErr w:type="spellStart"/>
      <w:r w:rsidR="003068BF" w:rsidRPr="003068BF">
        <w:rPr>
          <w:szCs w:val="24"/>
        </w:rPr>
        <w:t>Angiliją</w:t>
      </w:r>
      <w:proofErr w:type="spellEnd"/>
      <w:r w:rsidR="003068BF" w:rsidRPr="003068BF">
        <w:rPr>
          <w:szCs w:val="24"/>
        </w:rPr>
        <w:t xml:space="preserve"> (įvertinus tai, kad EBPO pažemino šių šalių reitingus dėl keitimosi mokestine informacija).</w:t>
      </w:r>
      <w:bookmarkStart w:id="0" w:name="_GoBack"/>
      <w:bookmarkEnd w:id="0"/>
    </w:p>
    <w:p w:rsidR="007932C0" w:rsidRPr="00471481" w:rsidRDefault="007932C0" w:rsidP="007932C0">
      <w:pPr>
        <w:spacing w:after="0" w:line="240" w:lineRule="auto"/>
        <w:ind w:left="-142"/>
        <w:jc w:val="both"/>
        <w:rPr>
          <w:szCs w:val="24"/>
        </w:rPr>
      </w:pPr>
    </w:p>
    <w:p w:rsidR="0042242F" w:rsidRDefault="00471481" w:rsidP="007932C0">
      <w:pPr>
        <w:spacing w:after="0" w:line="240" w:lineRule="auto"/>
        <w:rPr>
          <w:rFonts w:cs="Times New Roman"/>
          <w:szCs w:val="24"/>
        </w:rPr>
      </w:pPr>
      <w:r w:rsidRPr="00471481">
        <w:rPr>
          <w:rFonts w:cs="Times New Roman"/>
          <w:b/>
          <w:szCs w:val="24"/>
          <w:u w:val="single"/>
        </w:rPr>
        <w:t>Lietuvos pozicija</w:t>
      </w:r>
      <w:r>
        <w:rPr>
          <w:rFonts w:cs="Times New Roman"/>
          <w:b/>
          <w:szCs w:val="24"/>
        </w:rPr>
        <w:t>.</w:t>
      </w:r>
      <w:r>
        <w:rPr>
          <w:rFonts w:cs="Times New Roman"/>
          <w:szCs w:val="24"/>
        </w:rPr>
        <w:t xml:space="preserve"> P</w:t>
      </w:r>
      <w:r w:rsidRPr="00471481">
        <w:rPr>
          <w:rFonts w:cs="Times New Roman"/>
          <w:szCs w:val="24"/>
        </w:rPr>
        <w:t xml:space="preserve">ritarti Tarybos išvadoms. </w:t>
      </w:r>
    </w:p>
    <w:p w:rsidR="00471481" w:rsidRPr="00471481" w:rsidRDefault="00471481" w:rsidP="007932C0">
      <w:pPr>
        <w:spacing w:after="0" w:line="240" w:lineRule="auto"/>
        <w:rPr>
          <w:rFonts w:cs="Times New Roman"/>
          <w:szCs w:val="24"/>
        </w:rPr>
      </w:pPr>
    </w:p>
    <w:p w:rsidR="00BC6C3E" w:rsidRPr="00433C22" w:rsidRDefault="00BC6C3E"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i/>
          <w:iCs/>
          <w:szCs w:val="24"/>
        </w:rPr>
      </w:pPr>
      <w:r>
        <w:rPr>
          <w:rFonts w:cs="Times New Roman"/>
          <w:b/>
          <w:szCs w:val="24"/>
          <w:lang w:eastAsia="lt-LT" w:bidi="lt-LT"/>
        </w:rPr>
        <w:t xml:space="preserve">Kapitalo rinkų sąjungos </w:t>
      </w:r>
      <w:r w:rsidR="007932C0">
        <w:rPr>
          <w:rFonts w:cs="Times New Roman"/>
          <w:b/>
          <w:szCs w:val="24"/>
          <w:lang w:eastAsia="lt-LT" w:bidi="lt-LT"/>
        </w:rPr>
        <w:t xml:space="preserve">(CMU) </w:t>
      </w:r>
      <w:r>
        <w:rPr>
          <w:rFonts w:cs="Times New Roman"/>
          <w:b/>
          <w:szCs w:val="24"/>
          <w:lang w:eastAsia="lt-LT" w:bidi="lt-LT"/>
        </w:rPr>
        <w:t>veiksmų planas</w:t>
      </w:r>
      <w:r w:rsidR="0042242F">
        <w:rPr>
          <w:rFonts w:cs="Times New Roman"/>
          <w:b/>
          <w:szCs w:val="24"/>
          <w:lang w:eastAsia="lt-LT" w:bidi="lt-LT"/>
        </w:rPr>
        <w:t xml:space="preserve"> </w:t>
      </w:r>
      <w:r w:rsidR="0042242F" w:rsidRPr="0042242F">
        <w:rPr>
          <w:rFonts w:eastAsia="Calibri" w:cs="Times New Roman"/>
          <w:i/>
          <w:szCs w:val="24"/>
        </w:rPr>
        <w:t>(apsikeitimas nuomonėmis)</w:t>
      </w:r>
    </w:p>
    <w:p w:rsidR="000A25C8" w:rsidRPr="000A25C8" w:rsidRDefault="0042242F" w:rsidP="007932C0">
      <w:pPr>
        <w:spacing w:after="0" w:line="240" w:lineRule="auto"/>
        <w:jc w:val="both"/>
        <w:rPr>
          <w:rFonts w:eastAsia="Calibri" w:cs="Times New Roman"/>
          <w:szCs w:val="24"/>
        </w:rPr>
      </w:pPr>
      <w:r w:rsidRPr="0042242F">
        <w:rPr>
          <w:rFonts w:eastAsia="Calibri" w:cs="Times New Roman"/>
          <w:b/>
          <w:szCs w:val="24"/>
          <w:u w:val="single"/>
        </w:rPr>
        <w:t>Klausimo esmė.</w:t>
      </w:r>
      <w:r w:rsidR="000A25C8" w:rsidRPr="000A25C8">
        <w:rPr>
          <w:rFonts w:eastAsia="Calibri" w:cs="Times New Roman"/>
          <w:szCs w:val="24"/>
        </w:rPr>
        <w:t xml:space="preserve"> 2019 m. valstybės narės pritarė Tarybos išvadoms dėl tolesnio CMU gilinimo. Europos Komisija 2019 m. įsteigė CMU aukšto lygio forumą, kuris 2020 m. liepos mėn. pateikė ataskaitą su pasiūlymais dėl naujų skubių veiksmų toliau gilinant CMU.</w:t>
      </w:r>
      <w:r w:rsidR="000A25C8">
        <w:rPr>
          <w:rFonts w:eastAsia="Calibri" w:cs="Times New Roman"/>
          <w:szCs w:val="24"/>
        </w:rPr>
        <w:t xml:space="preserve"> </w:t>
      </w:r>
      <w:r w:rsidR="000A25C8" w:rsidRPr="000A25C8">
        <w:rPr>
          <w:rFonts w:eastAsia="Calibri" w:cs="Times New Roman"/>
          <w:szCs w:val="24"/>
        </w:rPr>
        <w:t xml:space="preserve">Š. m. rugsėjo 24 d. Europos Komisija paskelbė Komunikatą, kuriame siūlo šešiolika tikslinių priemonių, kad būtų padaryta reali pažanga baigiant kurti Kapitalo rinkų sąjungą. Be kita ko, Komunikate pažymima, kad COVID-19 krizė paskatino kuo skubiau kurti Kapitalo rinkų sąjungą. ES ekonomikos atsigavimas po krizės iš esmės priklausys nuo to, kaip gerai veiks mūsų kapitalo rinkos ir ar žmonės bei įmonės galės pasinaudoti investavimo galimybėmis ir gauti reikiamą rinkos finansavimą. </w:t>
      </w:r>
    </w:p>
    <w:p w:rsidR="0042242F" w:rsidRDefault="0042242F" w:rsidP="007932C0">
      <w:pPr>
        <w:spacing w:after="0" w:line="240" w:lineRule="auto"/>
        <w:ind w:hanging="142"/>
        <w:jc w:val="both"/>
        <w:rPr>
          <w:rFonts w:eastAsia="Calibri" w:cs="Times New Roman"/>
          <w:b/>
          <w:szCs w:val="24"/>
          <w:u w:val="single"/>
        </w:rPr>
      </w:pPr>
    </w:p>
    <w:p w:rsidR="000A25C8" w:rsidRPr="000A25C8" w:rsidRDefault="000A25C8" w:rsidP="007932C0">
      <w:pPr>
        <w:spacing w:after="0" w:line="240" w:lineRule="auto"/>
        <w:jc w:val="both"/>
        <w:rPr>
          <w:rFonts w:cs="Times New Roman"/>
          <w:szCs w:val="24"/>
        </w:rPr>
      </w:pPr>
      <w:r w:rsidRPr="000A25C8">
        <w:rPr>
          <w:rFonts w:cs="Times New Roman"/>
          <w:szCs w:val="24"/>
        </w:rPr>
        <w:t>Europos Komisijos paskelbto veiksmų plano priemonės:</w:t>
      </w:r>
    </w:p>
    <w:p w:rsidR="000A25C8" w:rsidRPr="000A25C8" w:rsidRDefault="000A25C8" w:rsidP="007932C0">
      <w:pPr>
        <w:spacing w:after="0" w:line="240" w:lineRule="auto"/>
        <w:jc w:val="both"/>
        <w:rPr>
          <w:rFonts w:cs="Times New Roman"/>
          <w:szCs w:val="24"/>
          <w:u w:val="single"/>
        </w:rPr>
      </w:pPr>
      <w:r w:rsidRPr="000A25C8">
        <w:rPr>
          <w:rFonts w:cs="Times New Roman"/>
          <w:szCs w:val="24"/>
          <w:u w:val="single"/>
        </w:rPr>
        <w:t>I tikslui</w:t>
      </w:r>
      <w:r>
        <w:rPr>
          <w:rFonts w:cs="Times New Roman"/>
          <w:szCs w:val="24"/>
          <w:u w:val="single"/>
        </w:rPr>
        <w:t xml:space="preserve"> „R</w:t>
      </w:r>
      <w:r w:rsidRPr="000A25C8">
        <w:rPr>
          <w:rFonts w:cs="Times New Roman"/>
          <w:szCs w:val="24"/>
          <w:u w:val="single"/>
        </w:rPr>
        <w:t>emti žaliąjį, skaitmeninį, įtraukų ir atsparų ekonomikos atsigavimą, siekiant užtikrinti labiau prieinamą finansavimą Europos įmonėms</w:t>
      </w:r>
      <w:r w:rsidR="007932C0">
        <w:rPr>
          <w:rFonts w:cs="Times New Roman"/>
          <w:szCs w:val="24"/>
          <w:u w:val="single"/>
        </w:rPr>
        <w:t>“</w:t>
      </w:r>
      <w:r w:rsidRPr="000A25C8">
        <w:rPr>
          <w:rFonts w:cs="Times New Roman"/>
          <w:szCs w:val="24"/>
          <w:u w:val="single"/>
        </w:rPr>
        <w:t xml:space="preserve"> nu</w:t>
      </w:r>
      <w:r>
        <w:rPr>
          <w:rFonts w:cs="Times New Roman"/>
          <w:szCs w:val="24"/>
          <w:u w:val="single"/>
        </w:rPr>
        <w:t>matytos</w:t>
      </w:r>
      <w:r w:rsidRPr="000A25C8">
        <w:rPr>
          <w:rFonts w:cs="Times New Roman"/>
          <w:szCs w:val="24"/>
          <w:u w:val="single"/>
        </w:rPr>
        <w:t xml:space="preserve"> priemonės:</w:t>
      </w:r>
    </w:p>
    <w:p w:rsidR="000A25C8" w:rsidRPr="000A25C8" w:rsidRDefault="000A25C8" w:rsidP="007932C0">
      <w:pPr>
        <w:spacing w:after="0" w:line="240" w:lineRule="auto"/>
        <w:jc w:val="both"/>
        <w:rPr>
          <w:rFonts w:cs="Times New Roman"/>
          <w:szCs w:val="24"/>
        </w:rPr>
      </w:pPr>
      <w:r w:rsidRPr="000A25C8">
        <w:rPr>
          <w:rFonts w:cs="Times New Roman"/>
          <w:szCs w:val="24"/>
        </w:rPr>
        <w:t xml:space="preserve">1) Įmonių matomumo užsienio </w:t>
      </w:r>
      <w:r>
        <w:rPr>
          <w:rFonts w:cs="Times New Roman"/>
          <w:szCs w:val="24"/>
        </w:rPr>
        <w:t>investuotojams didinimas;</w:t>
      </w:r>
    </w:p>
    <w:p w:rsidR="000A25C8" w:rsidRPr="000A25C8" w:rsidRDefault="000A25C8" w:rsidP="007932C0">
      <w:pPr>
        <w:tabs>
          <w:tab w:val="left" w:pos="1545"/>
        </w:tabs>
        <w:spacing w:after="0" w:line="240" w:lineRule="auto"/>
        <w:jc w:val="both"/>
        <w:rPr>
          <w:rFonts w:cs="Times New Roman"/>
          <w:szCs w:val="24"/>
        </w:rPr>
      </w:pPr>
      <w:r w:rsidRPr="000A25C8">
        <w:rPr>
          <w:rFonts w:cs="Times New Roman"/>
          <w:szCs w:val="24"/>
        </w:rPr>
        <w:t>2) S</w:t>
      </w:r>
      <w:r w:rsidR="007932C0">
        <w:rPr>
          <w:rFonts w:cs="Times New Roman"/>
          <w:szCs w:val="24"/>
        </w:rPr>
        <w:t>mulkaus ir vidutinio verslo (S</w:t>
      </w:r>
      <w:r w:rsidRPr="000A25C8">
        <w:rPr>
          <w:rFonts w:cs="Times New Roman"/>
          <w:szCs w:val="24"/>
        </w:rPr>
        <w:t>VV</w:t>
      </w:r>
      <w:r w:rsidR="007932C0">
        <w:rPr>
          <w:rFonts w:cs="Times New Roman"/>
          <w:szCs w:val="24"/>
        </w:rPr>
        <w:t xml:space="preserve">) </w:t>
      </w:r>
      <w:r w:rsidRPr="000A25C8">
        <w:rPr>
          <w:rFonts w:cs="Times New Roman"/>
          <w:szCs w:val="24"/>
        </w:rPr>
        <w:t xml:space="preserve"> prieig</w:t>
      </w:r>
      <w:r>
        <w:rPr>
          <w:rFonts w:cs="Times New Roman"/>
          <w:szCs w:val="24"/>
        </w:rPr>
        <w:t>os prie viešųjų rinkų didinimas;</w:t>
      </w:r>
    </w:p>
    <w:p w:rsidR="000A25C8" w:rsidRPr="000A25C8" w:rsidRDefault="000A25C8" w:rsidP="007932C0">
      <w:pPr>
        <w:tabs>
          <w:tab w:val="left" w:pos="1545"/>
        </w:tabs>
        <w:spacing w:after="0" w:line="240" w:lineRule="auto"/>
        <w:jc w:val="both"/>
        <w:rPr>
          <w:rFonts w:cs="Times New Roman"/>
          <w:szCs w:val="24"/>
        </w:rPr>
      </w:pPr>
      <w:r w:rsidRPr="000A25C8">
        <w:rPr>
          <w:rFonts w:cs="Times New Roman"/>
          <w:szCs w:val="24"/>
        </w:rPr>
        <w:t>3) instrumentų ilgalaikėms i</w:t>
      </w:r>
      <w:r>
        <w:rPr>
          <w:rFonts w:cs="Times New Roman"/>
          <w:szCs w:val="24"/>
        </w:rPr>
        <w:t>nvesticijoms skatinimas;</w:t>
      </w:r>
    </w:p>
    <w:p w:rsidR="000A25C8" w:rsidRPr="000A25C8" w:rsidRDefault="000A25C8" w:rsidP="007932C0">
      <w:pPr>
        <w:tabs>
          <w:tab w:val="left" w:pos="1545"/>
        </w:tabs>
        <w:spacing w:after="0" w:line="240" w:lineRule="auto"/>
        <w:jc w:val="both"/>
        <w:rPr>
          <w:rFonts w:cs="Times New Roman"/>
          <w:szCs w:val="24"/>
        </w:rPr>
      </w:pPr>
      <w:r w:rsidRPr="000A25C8">
        <w:rPr>
          <w:rFonts w:cs="Times New Roman"/>
          <w:szCs w:val="24"/>
        </w:rPr>
        <w:t>4) Institucinių investuotojų investavimo į ilgalaikį ir nuosavą kapitalą skatinimas</w:t>
      </w:r>
      <w:r>
        <w:rPr>
          <w:rFonts w:cs="Times New Roman"/>
          <w:szCs w:val="24"/>
        </w:rPr>
        <w:t>;</w:t>
      </w:r>
    </w:p>
    <w:p w:rsidR="000A25C8" w:rsidRPr="000A25C8" w:rsidRDefault="000A25C8" w:rsidP="007932C0">
      <w:pPr>
        <w:tabs>
          <w:tab w:val="left" w:pos="1545"/>
        </w:tabs>
        <w:spacing w:after="0" w:line="240" w:lineRule="auto"/>
        <w:jc w:val="both"/>
        <w:rPr>
          <w:rFonts w:cs="Times New Roman"/>
          <w:szCs w:val="24"/>
        </w:rPr>
      </w:pPr>
      <w:r w:rsidRPr="000A25C8">
        <w:rPr>
          <w:rFonts w:cs="Times New Roman"/>
          <w:szCs w:val="24"/>
        </w:rPr>
        <w:t>5) SSV nukreipimas į alternatyvius</w:t>
      </w:r>
      <w:r>
        <w:rPr>
          <w:rFonts w:cs="Times New Roman"/>
          <w:szCs w:val="24"/>
        </w:rPr>
        <w:t xml:space="preserve"> finansavimo tiekėjus;</w:t>
      </w:r>
    </w:p>
    <w:p w:rsidR="000A25C8" w:rsidRDefault="000A25C8" w:rsidP="007932C0">
      <w:pPr>
        <w:tabs>
          <w:tab w:val="left" w:pos="1545"/>
        </w:tabs>
        <w:spacing w:after="0" w:line="240" w:lineRule="auto"/>
        <w:jc w:val="both"/>
        <w:rPr>
          <w:rFonts w:cs="Times New Roman"/>
          <w:szCs w:val="24"/>
        </w:rPr>
      </w:pPr>
      <w:r w:rsidRPr="000A25C8">
        <w:rPr>
          <w:rFonts w:cs="Times New Roman"/>
          <w:szCs w:val="24"/>
        </w:rPr>
        <w:t>6) Bankų skatinimas daugiau skolinti realiajai ekonomikai</w:t>
      </w:r>
      <w:r>
        <w:rPr>
          <w:rFonts w:cs="Times New Roman"/>
          <w:szCs w:val="24"/>
        </w:rPr>
        <w:t>.</w:t>
      </w:r>
    </w:p>
    <w:p w:rsidR="000A25C8" w:rsidRPr="000A25C8" w:rsidRDefault="000A25C8" w:rsidP="007932C0">
      <w:pPr>
        <w:tabs>
          <w:tab w:val="left" w:pos="1545"/>
        </w:tabs>
        <w:spacing w:after="0" w:line="240" w:lineRule="auto"/>
        <w:ind w:left="720"/>
        <w:contextualSpacing/>
        <w:jc w:val="both"/>
        <w:rPr>
          <w:rFonts w:cs="Times New Roman"/>
          <w:szCs w:val="24"/>
        </w:rPr>
      </w:pPr>
    </w:p>
    <w:p w:rsidR="000A25C8" w:rsidRPr="000A25C8" w:rsidRDefault="000A25C8" w:rsidP="007932C0">
      <w:pPr>
        <w:spacing w:after="0" w:line="240" w:lineRule="auto"/>
        <w:jc w:val="both"/>
        <w:rPr>
          <w:rFonts w:cs="Times New Roman"/>
          <w:szCs w:val="24"/>
          <w:u w:val="single"/>
        </w:rPr>
      </w:pPr>
      <w:r w:rsidRPr="000A25C8">
        <w:rPr>
          <w:rFonts w:cs="Times New Roman"/>
          <w:szCs w:val="24"/>
          <w:u w:val="single"/>
        </w:rPr>
        <w:t>II tikslo „Sukurti dar saugesnę investicinę aplinką asmenims, taupantiems ir investuojantiems į ilgalaikes investicijas“ priemonės:</w:t>
      </w:r>
    </w:p>
    <w:p w:rsidR="000A25C8" w:rsidRPr="000A25C8" w:rsidRDefault="000A25C8" w:rsidP="007932C0">
      <w:pPr>
        <w:spacing w:after="0" w:line="240" w:lineRule="auto"/>
        <w:jc w:val="both"/>
        <w:rPr>
          <w:rFonts w:cs="Times New Roman"/>
          <w:szCs w:val="24"/>
        </w:rPr>
      </w:pPr>
      <w:r w:rsidRPr="000A25C8">
        <w:rPr>
          <w:rFonts w:cs="Times New Roman"/>
          <w:szCs w:val="24"/>
        </w:rPr>
        <w:t>7) Piliečių finansinės kompetencijos stiprinimas per finansinį raštingumą;</w:t>
      </w:r>
    </w:p>
    <w:p w:rsidR="000A25C8" w:rsidRPr="000A25C8" w:rsidRDefault="000A25C8" w:rsidP="007932C0">
      <w:pPr>
        <w:spacing w:after="0" w:line="240" w:lineRule="auto"/>
        <w:jc w:val="both"/>
        <w:rPr>
          <w:rFonts w:cs="Times New Roman"/>
          <w:szCs w:val="24"/>
        </w:rPr>
      </w:pPr>
      <w:r w:rsidRPr="000A25C8">
        <w:rPr>
          <w:rFonts w:cs="Times New Roman"/>
          <w:szCs w:val="24"/>
        </w:rPr>
        <w:t>8) Mažmeninių investuotojų pasitikėjimo kapitalo rinkomis didinimas;</w:t>
      </w:r>
    </w:p>
    <w:p w:rsidR="000A25C8" w:rsidRDefault="000A25C8" w:rsidP="007932C0">
      <w:pPr>
        <w:spacing w:after="0" w:line="240" w:lineRule="auto"/>
        <w:jc w:val="both"/>
        <w:rPr>
          <w:rFonts w:cs="Times New Roman"/>
          <w:szCs w:val="24"/>
        </w:rPr>
      </w:pPr>
      <w:r w:rsidRPr="000A25C8">
        <w:rPr>
          <w:rFonts w:cs="Times New Roman"/>
          <w:szCs w:val="24"/>
        </w:rPr>
        <w:lastRenderedPageBreak/>
        <w:t>9) Pensinio amžiaus gyventojų rėmimas.</w:t>
      </w:r>
    </w:p>
    <w:p w:rsidR="000A25C8" w:rsidRDefault="000A25C8" w:rsidP="007932C0">
      <w:pPr>
        <w:spacing w:after="0" w:line="240" w:lineRule="auto"/>
        <w:jc w:val="both"/>
        <w:rPr>
          <w:rFonts w:cs="Times New Roman"/>
          <w:szCs w:val="24"/>
        </w:rPr>
      </w:pPr>
    </w:p>
    <w:p w:rsidR="008D6B38" w:rsidRPr="008D6B38" w:rsidRDefault="008D6B38" w:rsidP="007932C0">
      <w:pPr>
        <w:spacing w:after="0" w:line="240" w:lineRule="auto"/>
        <w:jc w:val="both"/>
        <w:rPr>
          <w:rFonts w:cs="Times New Roman"/>
          <w:szCs w:val="24"/>
          <w:u w:val="single"/>
        </w:rPr>
      </w:pPr>
      <w:r w:rsidRPr="008D6B38">
        <w:rPr>
          <w:rFonts w:cs="Times New Roman"/>
          <w:szCs w:val="24"/>
          <w:u w:val="single"/>
        </w:rPr>
        <w:t>III tikslo „Nacionalinių kapitalo rinkų integravimas į tikrą bendrąją rinką“ priemonės:</w:t>
      </w:r>
    </w:p>
    <w:p w:rsidR="000A25C8" w:rsidRDefault="008D6B38" w:rsidP="007932C0">
      <w:pPr>
        <w:spacing w:after="0" w:line="240" w:lineRule="auto"/>
        <w:jc w:val="both"/>
        <w:rPr>
          <w:rFonts w:cs="Times New Roman"/>
          <w:szCs w:val="24"/>
        </w:rPr>
      </w:pPr>
      <w:r w:rsidRPr="008D6B38">
        <w:rPr>
          <w:rFonts w:cs="Times New Roman"/>
          <w:szCs w:val="24"/>
        </w:rPr>
        <w:t>10) Tarpvalstybinių investicijų mokesčių naštos mažinimas</w:t>
      </w:r>
      <w:r>
        <w:rPr>
          <w:rFonts w:cs="Times New Roman"/>
          <w:szCs w:val="24"/>
        </w:rPr>
        <w:t>;</w:t>
      </w:r>
    </w:p>
    <w:p w:rsidR="008D6B38" w:rsidRPr="008D6B38" w:rsidRDefault="008D6B38" w:rsidP="007932C0">
      <w:pPr>
        <w:spacing w:after="0" w:line="240" w:lineRule="auto"/>
        <w:jc w:val="both"/>
        <w:rPr>
          <w:rFonts w:cs="Times New Roman"/>
          <w:szCs w:val="24"/>
        </w:rPr>
      </w:pPr>
      <w:r w:rsidRPr="008D6B38">
        <w:rPr>
          <w:rFonts w:cs="Times New Roman"/>
          <w:szCs w:val="24"/>
        </w:rPr>
        <w:t xml:space="preserve">11) Tarpvalstybinių investicijų rezultatų </w:t>
      </w:r>
      <w:proofErr w:type="spellStart"/>
      <w:r w:rsidRPr="008D6B38">
        <w:rPr>
          <w:rFonts w:cs="Times New Roman"/>
          <w:szCs w:val="24"/>
        </w:rPr>
        <w:t>nuspėjamumo</w:t>
      </w:r>
      <w:proofErr w:type="spellEnd"/>
      <w:r w:rsidRPr="008D6B38">
        <w:rPr>
          <w:rFonts w:cs="Times New Roman"/>
          <w:szCs w:val="24"/>
        </w:rPr>
        <w:t xml:space="preserve"> padidinimas, suderinus nebankinių institucijų nemokumo procedūras;</w:t>
      </w:r>
    </w:p>
    <w:p w:rsidR="008D6B38" w:rsidRPr="008D6B38" w:rsidRDefault="008D6B38" w:rsidP="007932C0">
      <w:pPr>
        <w:spacing w:after="0" w:line="240" w:lineRule="auto"/>
        <w:jc w:val="both"/>
        <w:rPr>
          <w:rFonts w:cs="Times New Roman"/>
          <w:szCs w:val="24"/>
        </w:rPr>
      </w:pPr>
      <w:r w:rsidRPr="008D6B38">
        <w:rPr>
          <w:rFonts w:cs="Times New Roman"/>
          <w:szCs w:val="24"/>
        </w:rPr>
        <w:t>12) Akcininkų įsitraukimo tarpvalstybiniu mastu  palengvinimas</w:t>
      </w:r>
      <w:r>
        <w:rPr>
          <w:rFonts w:cs="Times New Roman"/>
          <w:szCs w:val="24"/>
        </w:rPr>
        <w:t>;</w:t>
      </w:r>
    </w:p>
    <w:p w:rsidR="008D6B38" w:rsidRPr="008D6B38" w:rsidRDefault="008D6B38" w:rsidP="007932C0">
      <w:pPr>
        <w:spacing w:after="0" w:line="240" w:lineRule="auto"/>
        <w:jc w:val="both"/>
        <w:rPr>
          <w:rFonts w:cs="Times New Roman"/>
          <w:szCs w:val="24"/>
        </w:rPr>
      </w:pPr>
      <w:r w:rsidRPr="008D6B38">
        <w:rPr>
          <w:rFonts w:cs="Times New Roman"/>
          <w:szCs w:val="24"/>
        </w:rPr>
        <w:t>13) Tarpvalstybinių atsiskaitymų paslaugų plėtra</w:t>
      </w:r>
      <w:r>
        <w:rPr>
          <w:rFonts w:cs="Times New Roman"/>
          <w:szCs w:val="24"/>
        </w:rPr>
        <w:t>;</w:t>
      </w:r>
    </w:p>
    <w:p w:rsidR="008D6B38" w:rsidRPr="008D6B38" w:rsidRDefault="008D6B38" w:rsidP="007932C0">
      <w:pPr>
        <w:spacing w:after="0" w:line="240" w:lineRule="auto"/>
        <w:jc w:val="both"/>
        <w:rPr>
          <w:rFonts w:cs="Times New Roman"/>
          <w:szCs w:val="24"/>
        </w:rPr>
      </w:pPr>
      <w:r w:rsidRPr="008D6B38">
        <w:rPr>
          <w:rFonts w:cs="Times New Roman"/>
          <w:szCs w:val="24"/>
        </w:rPr>
        <w:t xml:space="preserve">14) </w:t>
      </w:r>
      <w:r>
        <w:rPr>
          <w:rFonts w:cs="Times New Roman"/>
          <w:szCs w:val="24"/>
        </w:rPr>
        <w:t>Konsoliduota informacinė juosta;</w:t>
      </w:r>
    </w:p>
    <w:p w:rsidR="008D6B38" w:rsidRPr="008D6B38" w:rsidRDefault="008D6B38" w:rsidP="007932C0">
      <w:pPr>
        <w:spacing w:after="0" w:line="240" w:lineRule="auto"/>
        <w:jc w:val="both"/>
        <w:rPr>
          <w:rFonts w:cs="Times New Roman"/>
          <w:szCs w:val="24"/>
        </w:rPr>
      </w:pPr>
      <w:r w:rsidRPr="008D6B38">
        <w:rPr>
          <w:rFonts w:cs="Times New Roman"/>
          <w:szCs w:val="24"/>
        </w:rPr>
        <w:t>15) Investicijų apsauga ir palengvinimas</w:t>
      </w:r>
      <w:r>
        <w:rPr>
          <w:rFonts w:cs="Times New Roman"/>
          <w:szCs w:val="24"/>
        </w:rPr>
        <w:t>;</w:t>
      </w:r>
    </w:p>
    <w:p w:rsidR="008D6B38" w:rsidRPr="000A25C8" w:rsidRDefault="008D6B38" w:rsidP="007932C0">
      <w:pPr>
        <w:spacing w:after="0" w:line="240" w:lineRule="auto"/>
        <w:jc w:val="both"/>
        <w:rPr>
          <w:rFonts w:cs="Times New Roman"/>
          <w:szCs w:val="24"/>
        </w:rPr>
      </w:pPr>
      <w:r w:rsidRPr="008D6B38">
        <w:rPr>
          <w:rFonts w:cs="Times New Roman"/>
          <w:szCs w:val="24"/>
        </w:rPr>
        <w:t>16) Priežiūra</w:t>
      </w:r>
      <w:r>
        <w:rPr>
          <w:rFonts w:cs="Times New Roman"/>
          <w:szCs w:val="24"/>
        </w:rPr>
        <w:t>.</w:t>
      </w:r>
    </w:p>
    <w:p w:rsidR="0042242F" w:rsidRPr="0042242F" w:rsidRDefault="0042242F" w:rsidP="007932C0">
      <w:pPr>
        <w:spacing w:after="0" w:line="240" w:lineRule="auto"/>
        <w:ind w:hanging="142"/>
        <w:jc w:val="both"/>
        <w:rPr>
          <w:rFonts w:eastAsia="Calibri" w:cs="Times New Roman"/>
          <w:b/>
          <w:szCs w:val="24"/>
          <w:u w:val="single"/>
        </w:rPr>
      </w:pPr>
    </w:p>
    <w:p w:rsidR="008D6B38" w:rsidRDefault="0042242F" w:rsidP="007932C0">
      <w:pPr>
        <w:pStyle w:val="Sraopastraipa"/>
        <w:tabs>
          <w:tab w:val="left" w:pos="284"/>
        </w:tabs>
        <w:spacing w:after="0" w:line="240" w:lineRule="auto"/>
        <w:ind w:left="0"/>
        <w:jc w:val="both"/>
        <w:rPr>
          <w:rFonts w:eastAsia="Calibri" w:cs="Times New Roman"/>
          <w:color w:val="000000"/>
          <w:szCs w:val="24"/>
        </w:rPr>
      </w:pPr>
      <w:r w:rsidRPr="0042242F">
        <w:rPr>
          <w:rFonts w:eastAsia="Calibri" w:cs="Times New Roman"/>
          <w:b/>
          <w:szCs w:val="24"/>
          <w:u w:val="single"/>
        </w:rPr>
        <w:t>Lietuvos pozicija.</w:t>
      </w:r>
      <w:r w:rsidR="008D6B38">
        <w:rPr>
          <w:rFonts w:eastAsia="Calibri" w:cs="Times New Roman"/>
          <w:b/>
          <w:szCs w:val="24"/>
          <w:u w:val="single"/>
        </w:rPr>
        <w:t xml:space="preserve"> </w:t>
      </w:r>
      <w:r w:rsidR="008D6B38" w:rsidRPr="008D6B38">
        <w:rPr>
          <w:rFonts w:eastAsia="Calibri" w:cs="Times New Roman"/>
          <w:color w:val="000000"/>
          <w:szCs w:val="24"/>
        </w:rPr>
        <w:t>Sveikiname Europos Sąjungos kapitalo rinkų sąjungos stiprinimo veiksmų planą, kuris leis padaryti realią pažangą kuriant Kapitalo rinkų sąjungą.</w:t>
      </w:r>
      <w:r w:rsidR="008D6B38">
        <w:rPr>
          <w:rFonts w:eastAsia="Calibri" w:cs="Times New Roman"/>
          <w:color w:val="000000"/>
          <w:szCs w:val="24"/>
        </w:rPr>
        <w:t xml:space="preserve"> </w:t>
      </w:r>
      <w:r w:rsidR="008D6B38" w:rsidRPr="008D6B38">
        <w:rPr>
          <w:rFonts w:eastAsia="Calibri" w:cs="Times New Roman"/>
          <w:color w:val="000000"/>
          <w:szCs w:val="24"/>
        </w:rPr>
        <w:t>Iš esmės pritariame Europos Komisijos komunikate išdėstytiems pagrindiniams tikslams ir konkrečioms tikslinėms priemonėms, kuriomis bus siekiama pašalinti kai kurias likusias bendrosios kapitalo rinkos kliūtis. Palaikome ES siekį užtikrinti, kad kapitalo rinkos turi prisidėti prie Europos atsigavimo po ekonomikos krizės, kurią sukėlė COVID-19.</w:t>
      </w:r>
    </w:p>
    <w:p w:rsidR="007932C0" w:rsidRPr="008D6B38" w:rsidRDefault="007932C0" w:rsidP="007932C0">
      <w:pPr>
        <w:pStyle w:val="Sraopastraipa"/>
        <w:tabs>
          <w:tab w:val="left" w:pos="284"/>
        </w:tabs>
        <w:spacing w:after="0" w:line="240" w:lineRule="auto"/>
        <w:ind w:left="0"/>
        <w:jc w:val="both"/>
        <w:rPr>
          <w:rFonts w:eastAsia="Calibri" w:cs="Times New Roman"/>
          <w:color w:val="000000"/>
          <w:szCs w:val="24"/>
        </w:rPr>
      </w:pPr>
    </w:p>
    <w:p w:rsidR="008D6B38" w:rsidRPr="008D6B38" w:rsidRDefault="008D6B38" w:rsidP="007932C0">
      <w:pPr>
        <w:tabs>
          <w:tab w:val="left" w:pos="284"/>
        </w:tabs>
        <w:spacing w:after="0" w:line="240" w:lineRule="auto"/>
        <w:contextualSpacing/>
        <w:jc w:val="both"/>
        <w:rPr>
          <w:rFonts w:eastAsia="Calibri" w:cs="Times New Roman"/>
          <w:color w:val="000000"/>
          <w:szCs w:val="24"/>
        </w:rPr>
      </w:pPr>
      <w:r w:rsidRPr="008D6B38">
        <w:rPr>
          <w:rFonts w:eastAsia="Calibri" w:cs="Times New Roman"/>
          <w:color w:val="000000"/>
          <w:szCs w:val="24"/>
        </w:rPr>
        <w:t xml:space="preserve">Ypač palaikome priemones, kurios vartotojams sukurs daugiau įvairių taupymo ir investavimo galimybių, kartu didins jų finansinę kompetenciją, o įmonėms, ypač SVV, užtikrins didesnę prieigą prie finansavimo visoje ES. Pritariame, kad būtina skatinti ilgalaikes institucinių investuotojų (draudimo įmonių ir bankų) investicijas į ES įmones. Šios investicijos padės ES ekonomikai tapti tvaresne, labiau skaitmenine, </w:t>
      </w:r>
      <w:proofErr w:type="spellStart"/>
      <w:r w:rsidRPr="008D6B38">
        <w:rPr>
          <w:rFonts w:eastAsia="Calibri" w:cs="Times New Roman"/>
          <w:color w:val="000000"/>
          <w:szCs w:val="24"/>
        </w:rPr>
        <w:t>įtraukesne</w:t>
      </w:r>
      <w:proofErr w:type="spellEnd"/>
      <w:r w:rsidRPr="008D6B38">
        <w:rPr>
          <w:rFonts w:eastAsia="Calibri" w:cs="Times New Roman"/>
          <w:color w:val="000000"/>
          <w:szCs w:val="24"/>
        </w:rPr>
        <w:t xml:space="preserve"> ir atsparesne ir kartu padės spręsti iškilusias klimato ir aplinkos problemas.</w:t>
      </w:r>
      <w:r w:rsidR="007932C0">
        <w:rPr>
          <w:rFonts w:eastAsia="Calibri" w:cs="Times New Roman"/>
          <w:color w:val="000000"/>
          <w:szCs w:val="24"/>
        </w:rPr>
        <w:t xml:space="preserve"> </w:t>
      </w:r>
      <w:r w:rsidRPr="008D6B38">
        <w:rPr>
          <w:rFonts w:eastAsia="Calibri" w:cs="Times New Roman"/>
          <w:color w:val="000000"/>
          <w:szCs w:val="24"/>
        </w:rPr>
        <w:t xml:space="preserve">Tačiau abejojame dėl papildomų tiesioginių priežiūros galių suteikimo Europos priežiūros institucijoms. Manytume, kad pirmiausiai reikėtų gerai išanalizuoti kur kyla rizikos ir ar joms spręsti yra būtinos ES lygio priemonės.  </w:t>
      </w:r>
    </w:p>
    <w:p w:rsidR="0042242F" w:rsidRPr="0042242F" w:rsidRDefault="0042242F" w:rsidP="007932C0">
      <w:pPr>
        <w:spacing w:after="0" w:line="240" w:lineRule="auto"/>
        <w:ind w:hanging="142"/>
        <w:jc w:val="both"/>
        <w:rPr>
          <w:rFonts w:eastAsia="Calibri" w:cs="Times New Roman"/>
          <w:b/>
          <w:szCs w:val="24"/>
          <w:u w:val="single"/>
        </w:rPr>
      </w:pPr>
    </w:p>
    <w:p w:rsidR="00BC6C3E" w:rsidRPr="000A3B2A" w:rsidRDefault="00BC6C3E" w:rsidP="007932C0">
      <w:pPr>
        <w:spacing w:after="0" w:line="240" w:lineRule="auto"/>
        <w:jc w:val="center"/>
        <w:rPr>
          <w:rFonts w:eastAsia="Calibri" w:cs="Times New Roman"/>
          <w:b/>
          <w:szCs w:val="24"/>
        </w:rPr>
      </w:pPr>
    </w:p>
    <w:p w:rsidR="00A207C8" w:rsidRPr="000A3B2A" w:rsidRDefault="00A207C8" w:rsidP="007932C0">
      <w:pPr>
        <w:spacing w:after="0" w:line="240" w:lineRule="auto"/>
        <w:jc w:val="center"/>
        <w:rPr>
          <w:rFonts w:eastAsia="Calibri" w:cs="Times New Roman"/>
          <w:b/>
          <w:szCs w:val="24"/>
        </w:rPr>
      </w:pPr>
      <w:r w:rsidRPr="000A3B2A">
        <w:rPr>
          <w:rFonts w:eastAsia="Calibri" w:cs="Times New Roman"/>
          <w:b/>
          <w:szCs w:val="24"/>
        </w:rPr>
        <w:t xml:space="preserve">PAŽYMA </w:t>
      </w:r>
    </w:p>
    <w:p w:rsidR="00A207C8" w:rsidRDefault="00765E5B" w:rsidP="007932C0">
      <w:pPr>
        <w:spacing w:after="0" w:line="240" w:lineRule="auto"/>
        <w:jc w:val="center"/>
        <w:rPr>
          <w:rFonts w:eastAsia="Calibri" w:cs="Times New Roman"/>
          <w:b/>
          <w:szCs w:val="24"/>
        </w:rPr>
      </w:pPr>
      <w:r>
        <w:rPr>
          <w:rFonts w:eastAsia="Calibri" w:cs="Times New Roman"/>
          <w:b/>
          <w:szCs w:val="24"/>
        </w:rPr>
        <w:t>Dėl š. m. spalio 5</w:t>
      </w:r>
      <w:r w:rsidR="00A207C8" w:rsidRPr="000A3B2A">
        <w:rPr>
          <w:rFonts w:eastAsia="Calibri" w:cs="Times New Roman"/>
          <w:b/>
          <w:szCs w:val="24"/>
        </w:rPr>
        <w:t xml:space="preserve"> d. EURO grupės </w:t>
      </w:r>
      <w:r w:rsidR="00A207C8" w:rsidRPr="002A01DD">
        <w:rPr>
          <w:rFonts w:eastAsia="Calibri" w:cs="Times New Roman"/>
          <w:b/>
          <w:szCs w:val="24"/>
        </w:rPr>
        <w:t>vaizdo konferencijoje</w:t>
      </w:r>
      <w:r w:rsidR="00A207C8" w:rsidRPr="000A3B2A">
        <w:rPr>
          <w:rFonts w:eastAsia="Calibri" w:cs="Times New Roman"/>
          <w:b/>
          <w:szCs w:val="24"/>
        </w:rPr>
        <w:t xml:space="preserve"> svarstomų klausimų</w:t>
      </w:r>
    </w:p>
    <w:p w:rsidR="00000458" w:rsidRDefault="00000458" w:rsidP="007932C0">
      <w:pPr>
        <w:spacing w:after="0" w:line="240" w:lineRule="auto"/>
        <w:contextualSpacing/>
        <w:jc w:val="both"/>
        <w:rPr>
          <w:rFonts w:cs="Times New Roman"/>
          <w:szCs w:val="24"/>
          <w:lang w:eastAsia="lt-LT" w:bidi="lt-LT"/>
        </w:rPr>
      </w:pPr>
    </w:p>
    <w:p w:rsidR="00765E5B" w:rsidRPr="000A3B2A" w:rsidRDefault="00765E5B" w:rsidP="007932C0">
      <w:pPr>
        <w:spacing w:after="0" w:line="240" w:lineRule="auto"/>
        <w:contextualSpacing/>
        <w:jc w:val="both"/>
        <w:rPr>
          <w:rFonts w:cs="Times New Roman"/>
          <w:szCs w:val="24"/>
          <w:lang w:eastAsia="lt-LT" w:bidi="lt-LT"/>
        </w:rPr>
      </w:pPr>
    </w:p>
    <w:p w:rsidR="00000458" w:rsidRPr="00567214" w:rsidRDefault="00765E5B"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Style w:val="tlid-translation"/>
          <w:b/>
        </w:rPr>
        <w:t>Euro grupės darbo programa</w:t>
      </w:r>
    </w:p>
    <w:p w:rsidR="003868AF" w:rsidRPr="003868AF" w:rsidRDefault="0042242F" w:rsidP="007932C0">
      <w:pPr>
        <w:spacing w:after="0" w:line="240" w:lineRule="auto"/>
        <w:ind w:left="-142"/>
        <w:jc w:val="both"/>
        <w:rPr>
          <w:rFonts w:cs="Times New Roman"/>
          <w:color w:val="222222"/>
          <w:szCs w:val="24"/>
        </w:rPr>
      </w:pPr>
      <w:r w:rsidRPr="0042242F">
        <w:rPr>
          <w:rFonts w:eastAsia="Calibri" w:cs="Times New Roman"/>
          <w:b/>
          <w:szCs w:val="24"/>
          <w:u w:val="single"/>
        </w:rPr>
        <w:t>Klausimo esmė.</w:t>
      </w:r>
      <w:r w:rsidR="003868AF">
        <w:rPr>
          <w:rFonts w:eastAsia="Calibri" w:cs="Times New Roman"/>
          <w:b/>
          <w:szCs w:val="24"/>
          <w:u w:val="single"/>
        </w:rPr>
        <w:t xml:space="preserve"> </w:t>
      </w:r>
      <w:r w:rsidR="003868AF" w:rsidRPr="003868AF">
        <w:rPr>
          <w:rFonts w:eastAsia="Times New Roman" w:cs="Times New Roman"/>
          <w:color w:val="222222"/>
          <w:szCs w:val="24"/>
          <w:lang w:eastAsia="lt-LT"/>
        </w:rPr>
        <w:t>Eurogrupė (toliau – EG), būdama ankstyvos ekonominės politikos atsako priešakyje, ir toliau vaidins pagrindinį vaidmenį padėdama piliečiams, įmonėms ir VN atsigauti po COVID-19 pandemijos.</w:t>
      </w:r>
      <w:r w:rsidR="003868AF" w:rsidRPr="003868AF">
        <w:rPr>
          <w:rFonts w:eastAsia="Times New Roman" w:cs="Times New Roman"/>
          <w:color w:val="222222"/>
          <w:sz w:val="26"/>
          <w:szCs w:val="26"/>
          <w:lang w:eastAsia="lt-LT"/>
        </w:rPr>
        <w:t xml:space="preserve"> </w:t>
      </w:r>
      <w:r w:rsidR="003868AF" w:rsidRPr="003868AF">
        <w:rPr>
          <w:rFonts w:cs="Times New Roman"/>
          <w:color w:val="222222"/>
          <w:szCs w:val="24"/>
        </w:rPr>
        <w:t>EG ir toliau ves EZ ekonomiką visapusiško atsigavimo link, sutelkdama savo darbą į šias prioritetines politikos sritis:</w:t>
      </w:r>
    </w:p>
    <w:p w:rsidR="003868AF" w:rsidRPr="003868AF" w:rsidRDefault="003868AF" w:rsidP="007932C0">
      <w:pPr>
        <w:numPr>
          <w:ilvl w:val="0"/>
          <w:numId w:val="2"/>
        </w:numPr>
        <w:spacing w:after="0" w:line="240" w:lineRule="auto"/>
        <w:ind w:left="-142" w:firstLine="0"/>
        <w:contextualSpacing/>
        <w:jc w:val="both"/>
        <w:rPr>
          <w:rFonts w:cs="Times New Roman"/>
          <w:szCs w:val="24"/>
        </w:rPr>
      </w:pPr>
      <w:r w:rsidRPr="003868AF">
        <w:rPr>
          <w:rFonts w:cs="Times New Roman"/>
          <w:color w:val="222222"/>
          <w:szCs w:val="24"/>
        </w:rPr>
        <w:t>Ekonominė ir fiskalinė politika, skirta remti atsigavimą ir ilgalaikį augimą;</w:t>
      </w:r>
    </w:p>
    <w:p w:rsidR="003868AF" w:rsidRPr="003868AF" w:rsidRDefault="003868AF" w:rsidP="007932C0">
      <w:pPr>
        <w:numPr>
          <w:ilvl w:val="0"/>
          <w:numId w:val="2"/>
        </w:numPr>
        <w:spacing w:after="0" w:line="240" w:lineRule="auto"/>
        <w:ind w:left="-142" w:firstLine="0"/>
        <w:contextualSpacing/>
        <w:jc w:val="both"/>
        <w:rPr>
          <w:rFonts w:cs="Times New Roman"/>
          <w:szCs w:val="24"/>
        </w:rPr>
      </w:pPr>
      <w:r w:rsidRPr="003868AF">
        <w:rPr>
          <w:rFonts w:cs="Times New Roman"/>
          <w:szCs w:val="24"/>
        </w:rPr>
        <w:t>Bankų sąjungos stiprinimas;</w:t>
      </w:r>
    </w:p>
    <w:p w:rsidR="003868AF" w:rsidRPr="003868AF" w:rsidRDefault="003868AF" w:rsidP="007932C0">
      <w:pPr>
        <w:numPr>
          <w:ilvl w:val="0"/>
          <w:numId w:val="2"/>
        </w:numPr>
        <w:spacing w:after="0" w:line="240" w:lineRule="auto"/>
        <w:ind w:left="-142" w:firstLine="0"/>
        <w:contextualSpacing/>
        <w:jc w:val="both"/>
        <w:rPr>
          <w:rFonts w:cs="Times New Roman"/>
          <w:szCs w:val="24"/>
        </w:rPr>
      </w:pPr>
      <w:r w:rsidRPr="003868AF">
        <w:rPr>
          <w:rFonts w:cs="Times New Roman"/>
          <w:szCs w:val="24"/>
        </w:rPr>
        <w:t>Euras kaip skaitmeninė valiuta;</w:t>
      </w:r>
    </w:p>
    <w:p w:rsidR="003868AF" w:rsidRPr="003868AF" w:rsidRDefault="003868AF" w:rsidP="007932C0">
      <w:pPr>
        <w:numPr>
          <w:ilvl w:val="0"/>
          <w:numId w:val="2"/>
        </w:numPr>
        <w:spacing w:after="0" w:line="240" w:lineRule="auto"/>
        <w:ind w:left="-142" w:firstLine="0"/>
        <w:contextualSpacing/>
        <w:jc w:val="both"/>
        <w:rPr>
          <w:rFonts w:cs="Times New Roman"/>
          <w:szCs w:val="24"/>
        </w:rPr>
      </w:pPr>
      <w:r w:rsidRPr="003868AF">
        <w:rPr>
          <w:rFonts w:cs="Times New Roman"/>
          <w:szCs w:val="24"/>
        </w:rPr>
        <w:t>Tarptautinis euro vaidmuo.</w:t>
      </w:r>
    </w:p>
    <w:p w:rsidR="003868AF" w:rsidRDefault="003868AF" w:rsidP="007932C0">
      <w:pPr>
        <w:spacing w:after="0" w:line="240" w:lineRule="auto"/>
        <w:ind w:left="-142"/>
        <w:contextualSpacing/>
        <w:jc w:val="both"/>
        <w:rPr>
          <w:rFonts w:eastAsia="Calibri" w:cs="Times New Roman"/>
          <w:b/>
          <w:szCs w:val="24"/>
          <w:u w:val="single"/>
        </w:rPr>
      </w:pPr>
    </w:p>
    <w:p w:rsidR="003868AF" w:rsidRPr="003868AF" w:rsidRDefault="0042242F" w:rsidP="007932C0">
      <w:pPr>
        <w:spacing w:after="0" w:line="240" w:lineRule="auto"/>
        <w:ind w:left="-142"/>
        <w:contextualSpacing/>
        <w:jc w:val="both"/>
        <w:rPr>
          <w:rFonts w:cs="Times New Roman"/>
          <w:sz w:val="26"/>
          <w:szCs w:val="26"/>
          <w:lang w:eastAsia="fr-BE"/>
        </w:rPr>
      </w:pPr>
      <w:r w:rsidRPr="0042242F">
        <w:rPr>
          <w:rFonts w:eastAsia="Calibri" w:cs="Times New Roman"/>
          <w:b/>
          <w:szCs w:val="24"/>
          <w:u w:val="single"/>
        </w:rPr>
        <w:t>Lietuvos pozicija.</w:t>
      </w:r>
      <w:r w:rsidR="003868AF">
        <w:rPr>
          <w:rFonts w:eastAsia="Calibri" w:cs="Times New Roman"/>
          <w:b/>
          <w:szCs w:val="24"/>
          <w:u w:val="single"/>
        </w:rPr>
        <w:t xml:space="preserve"> </w:t>
      </w:r>
      <w:r w:rsidR="003868AF" w:rsidRPr="003868AF">
        <w:rPr>
          <w:rFonts w:cs="Times New Roman"/>
          <w:szCs w:val="24"/>
          <w:lang w:eastAsia="fr-BE"/>
        </w:rPr>
        <w:t xml:space="preserve">Pritarti EG darbo programos </w:t>
      </w:r>
      <w:r w:rsidR="003868AF" w:rsidRPr="003868AF">
        <w:rPr>
          <w:rFonts w:cs="Times New Roman"/>
          <w:color w:val="222222"/>
          <w:szCs w:val="24"/>
        </w:rPr>
        <w:t>prioritetinėms politikos sritims</w:t>
      </w:r>
      <w:r w:rsidR="003868AF" w:rsidRPr="003868AF">
        <w:rPr>
          <w:rFonts w:cs="Times New Roman"/>
          <w:szCs w:val="24"/>
          <w:lang w:eastAsia="fr-BE"/>
        </w:rPr>
        <w:t>.</w:t>
      </w:r>
    </w:p>
    <w:p w:rsidR="00000458" w:rsidRPr="002764C2" w:rsidRDefault="00000458" w:rsidP="007932C0">
      <w:pPr>
        <w:spacing w:after="0" w:line="240" w:lineRule="auto"/>
        <w:jc w:val="both"/>
        <w:rPr>
          <w:rFonts w:cs="Times New Roman"/>
          <w:b/>
          <w:szCs w:val="24"/>
          <w:u w:val="single"/>
          <w:lang w:val="en-US" w:eastAsia="lt-LT" w:bidi="lt-LT"/>
        </w:rPr>
      </w:pPr>
    </w:p>
    <w:p w:rsidR="00000458" w:rsidRPr="000A3B2A" w:rsidRDefault="00765E5B"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bCs/>
          <w:szCs w:val="24"/>
          <w:lang w:eastAsia="lt-LT" w:bidi="lt-LT"/>
        </w:rPr>
        <w:t>Reformų ir investicijų prioritetai euro zonoje</w:t>
      </w:r>
      <w:r w:rsidR="005E170B">
        <w:rPr>
          <w:rFonts w:cs="Times New Roman"/>
          <w:b/>
          <w:bCs/>
          <w:szCs w:val="24"/>
          <w:lang w:eastAsia="lt-LT" w:bidi="lt-LT"/>
        </w:rPr>
        <w:t xml:space="preserve"> – RRF įgyvendinimas ir fiskalinės politikos kryptis – Strateginė diskusija</w:t>
      </w:r>
    </w:p>
    <w:p w:rsidR="002155E0" w:rsidRPr="002155E0" w:rsidRDefault="0042242F" w:rsidP="007932C0">
      <w:pPr>
        <w:spacing w:after="0" w:line="240" w:lineRule="auto"/>
        <w:ind w:left="-142"/>
        <w:jc w:val="both"/>
        <w:rPr>
          <w:rFonts w:cs="Times New Roman"/>
          <w:szCs w:val="24"/>
        </w:rPr>
      </w:pPr>
      <w:r w:rsidRPr="002155E0">
        <w:rPr>
          <w:rFonts w:eastAsia="Calibri" w:cs="Times New Roman"/>
          <w:b/>
          <w:szCs w:val="24"/>
          <w:u w:val="single"/>
        </w:rPr>
        <w:t>Klausimo esmė.</w:t>
      </w:r>
      <w:r w:rsidR="002155E0" w:rsidRPr="002155E0">
        <w:rPr>
          <w:rFonts w:eastAsia="Calibri" w:cs="Times New Roman"/>
          <w:b/>
          <w:szCs w:val="24"/>
          <w:u w:val="single"/>
        </w:rPr>
        <w:t xml:space="preserve"> </w:t>
      </w:r>
      <w:r w:rsidR="002155E0" w:rsidRPr="002155E0">
        <w:rPr>
          <w:rFonts w:eastAsia="Calibri" w:cs="Times New Roman"/>
          <w:szCs w:val="24"/>
        </w:rPr>
        <w:t>Euro grupėje bus diskutuojama dėl euro zonos reformų ir investicijų prioritetų bei fiskalinės politikos krypties. Dėl reformų ir investicijų prioritetų iš esmės yra sutarta Atsigavimo ir atsparumo instrumento kontekste. Išskirti šie prioritetai:</w:t>
      </w:r>
      <w:r w:rsidR="002155E0" w:rsidRPr="002155E0">
        <w:rPr>
          <w:rFonts w:cs="Times New Roman"/>
          <w:szCs w:val="24"/>
        </w:rPr>
        <w:t xml:space="preserve"> šalims skirtų rekomendacijų įgyvendinimas, žalioji ir skaitmeninė pertvarka, augimo potencialo stiprinimas, darbo vietų kūrimas, ekonomikos ir socialinių sistemų atsparumas, darnumo užtikrinimas. Dėl fiskalinės politikos krypties sutariama, kad ji kol kas turi išlikti skatinamoji. 2021 m. pavasarį planuojama diskusija dėl bendrosios Stabilumo ir augimo pakto išlygos tolesnio naudojimo. </w:t>
      </w:r>
    </w:p>
    <w:p w:rsidR="002155E0" w:rsidRPr="002155E0" w:rsidRDefault="002155E0" w:rsidP="007932C0">
      <w:pPr>
        <w:spacing w:after="0" w:line="240" w:lineRule="auto"/>
        <w:ind w:left="-142"/>
        <w:jc w:val="both"/>
        <w:rPr>
          <w:rFonts w:eastAsia="Calibri" w:cs="Times New Roman"/>
          <w:b/>
          <w:szCs w:val="24"/>
          <w:u w:val="single"/>
          <w:lang w:val="en-US"/>
        </w:rPr>
      </w:pPr>
    </w:p>
    <w:p w:rsidR="002155E0" w:rsidRPr="002155E0" w:rsidRDefault="002155E0" w:rsidP="007932C0">
      <w:pPr>
        <w:spacing w:after="0" w:line="240" w:lineRule="auto"/>
        <w:ind w:left="-142"/>
        <w:jc w:val="both"/>
        <w:rPr>
          <w:rFonts w:eastAsia="Calibri" w:cs="Times New Roman"/>
          <w:szCs w:val="24"/>
        </w:rPr>
      </w:pPr>
      <w:r w:rsidRPr="002155E0">
        <w:rPr>
          <w:rFonts w:eastAsia="Calibri" w:cs="Times New Roman"/>
          <w:b/>
          <w:szCs w:val="24"/>
          <w:u w:val="single"/>
        </w:rPr>
        <w:lastRenderedPageBreak/>
        <w:t>Lietuvos pozicija.</w:t>
      </w:r>
      <w:r w:rsidRPr="002155E0">
        <w:rPr>
          <w:rFonts w:eastAsia="Calibri" w:cs="Times New Roman"/>
          <w:szCs w:val="24"/>
        </w:rPr>
        <w:t xml:space="preserve"> Pritariame išskirtiems reformų ir investicijų prioritetams ir minėtai fiskalinės politikos krypčiai.</w:t>
      </w:r>
    </w:p>
    <w:p w:rsidR="005E170B" w:rsidRPr="000A3B2A" w:rsidRDefault="005E170B" w:rsidP="007932C0">
      <w:pPr>
        <w:spacing w:after="0" w:line="240" w:lineRule="auto"/>
        <w:jc w:val="both"/>
        <w:rPr>
          <w:rFonts w:eastAsia="Calibri" w:cs="Times New Roman"/>
          <w:szCs w:val="24"/>
        </w:rPr>
      </w:pPr>
    </w:p>
    <w:p w:rsidR="005E170B" w:rsidRPr="000A3B2A" w:rsidRDefault="005E170B"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iCs/>
          <w:szCs w:val="24"/>
        </w:rPr>
        <w:t>Graikija – 7-oji sustiprintos priežiūros ataskaita</w:t>
      </w:r>
    </w:p>
    <w:p w:rsidR="006C0FB5" w:rsidRDefault="0042242F" w:rsidP="007932C0">
      <w:pPr>
        <w:spacing w:after="0" w:line="240" w:lineRule="auto"/>
        <w:ind w:left="-142"/>
        <w:jc w:val="both"/>
        <w:rPr>
          <w:rFonts w:eastAsia="Times New Roman" w:cs="Times New Roman"/>
          <w:szCs w:val="24"/>
        </w:rPr>
      </w:pPr>
      <w:r w:rsidRPr="006C0FB5">
        <w:rPr>
          <w:rFonts w:eastAsia="Calibri" w:cs="Times New Roman"/>
          <w:b/>
          <w:szCs w:val="24"/>
          <w:u w:val="single"/>
        </w:rPr>
        <w:t>Klausimo esmė.</w:t>
      </w:r>
      <w:r w:rsidR="006C0FB5" w:rsidRPr="00BF44D9">
        <w:rPr>
          <w:rFonts w:eastAsia="Calibri" w:cs="Times New Roman"/>
          <w:szCs w:val="24"/>
        </w:rPr>
        <w:t xml:space="preserve"> </w:t>
      </w:r>
      <w:r w:rsidR="006C0FB5" w:rsidRPr="006C0FB5">
        <w:rPr>
          <w:rFonts w:eastAsia="Times New Roman" w:cs="Times New Roman"/>
          <w:szCs w:val="24"/>
        </w:rPr>
        <w:t>2020 m. rugsėjo mėn. ESM paskelbė 7-os po-programinės sustiprintos priežiūros ataskaitą. A</w:t>
      </w:r>
      <w:r w:rsidR="006C0FB5" w:rsidRPr="006C0FB5">
        <w:rPr>
          <w:rFonts w:cs="Times New Roman"/>
          <w:szCs w:val="24"/>
        </w:rPr>
        <w:t>taskaitoje daroma išvada, kad nepaisant nepalankių pandemijos sukeltų aplinkybių, Graikija padarė didelę pažangą įgyvendinant keletą pagrindinių reformų per pastaruosius kelis mėnesius. Visų pirma atliko ilgai lauktus nemokumo įstatymų pakeitimus.</w:t>
      </w:r>
      <w:r w:rsidR="006C0FB5" w:rsidRPr="006C0FB5">
        <w:rPr>
          <w:rFonts w:eastAsia="Times New Roman" w:cs="Times New Roman"/>
          <w:szCs w:val="24"/>
        </w:rPr>
        <w:t xml:space="preserve"> </w:t>
      </w:r>
    </w:p>
    <w:p w:rsidR="006C0FB5" w:rsidRPr="006C0FB5" w:rsidRDefault="006C0FB5" w:rsidP="007932C0">
      <w:pPr>
        <w:spacing w:after="0" w:line="240" w:lineRule="auto"/>
        <w:ind w:left="-142"/>
        <w:jc w:val="both"/>
        <w:rPr>
          <w:rFonts w:eastAsia="Times New Roman" w:cs="Times New Roman"/>
          <w:szCs w:val="24"/>
        </w:rPr>
      </w:pPr>
    </w:p>
    <w:p w:rsidR="006C0FB5" w:rsidRPr="006C0FB5" w:rsidRDefault="006C0FB5" w:rsidP="007932C0">
      <w:pPr>
        <w:spacing w:after="0" w:line="240" w:lineRule="auto"/>
        <w:ind w:left="-142"/>
        <w:jc w:val="both"/>
        <w:rPr>
          <w:rFonts w:eastAsia="Times New Roman" w:cs="Times New Roman"/>
          <w:szCs w:val="24"/>
        </w:rPr>
      </w:pPr>
      <w:r w:rsidRPr="006C0FB5">
        <w:rPr>
          <w:rFonts w:eastAsia="Times New Roman" w:cs="Times New Roman"/>
          <w:szCs w:val="24"/>
        </w:rPr>
        <w:t>Nuo paskutinės gegužės mėn. ataskaitos Graikijos 2020 m. fiskalinė perspektyva pablogėjo. Atsižvelgiant į Europos Komisijos 2020 m. vasaros tarpinę prognozę ir nuo 2020 m. gegužės mėn. priimtas priemones pandemijos padariniams sušvelninti, 2021 m. tikimasi dalinio ekonomikos atsigavimo</w:t>
      </w:r>
      <w:r w:rsidRPr="006C0FB5">
        <w:rPr>
          <w:rFonts w:eastAsia="Times New Roman" w:cs="Times New Roman"/>
          <w:szCs w:val="24"/>
          <w:lang w:eastAsia="lt-LT"/>
        </w:rPr>
        <w:t xml:space="preserve"> ir visiško atsigavimo tik 2022 m.</w:t>
      </w:r>
    </w:p>
    <w:p w:rsidR="0042242F" w:rsidRPr="00C73355" w:rsidRDefault="0042242F" w:rsidP="007932C0">
      <w:pPr>
        <w:spacing w:after="0" w:line="240" w:lineRule="auto"/>
        <w:ind w:left="-142"/>
        <w:jc w:val="both"/>
        <w:rPr>
          <w:rFonts w:eastAsia="Calibri" w:cs="Times New Roman"/>
          <w:b/>
          <w:szCs w:val="24"/>
          <w:u w:val="single"/>
          <w:lang w:val="en-US"/>
        </w:rPr>
      </w:pPr>
    </w:p>
    <w:p w:rsidR="00AB4C6D" w:rsidRPr="00AB4C6D" w:rsidRDefault="0042242F" w:rsidP="007932C0">
      <w:pPr>
        <w:spacing w:after="0" w:line="240" w:lineRule="auto"/>
        <w:ind w:left="-142"/>
        <w:jc w:val="both"/>
        <w:rPr>
          <w:rFonts w:cs="Times New Roman"/>
          <w:i/>
          <w:color w:val="000000"/>
          <w:sz w:val="26"/>
          <w:szCs w:val="26"/>
        </w:rPr>
      </w:pPr>
      <w:r w:rsidRPr="0042242F">
        <w:rPr>
          <w:rFonts w:eastAsia="Calibri" w:cs="Times New Roman"/>
          <w:b/>
          <w:szCs w:val="24"/>
          <w:u w:val="single"/>
        </w:rPr>
        <w:t>Lietuvos pozicija.</w:t>
      </w:r>
      <w:r w:rsidR="00AB4C6D" w:rsidRPr="00AB4C6D">
        <w:rPr>
          <w:rFonts w:eastAsia="Calibri" w:cs="Times New Roman"/>
          <w:sz w:val="26"/>
          <w:szCs w:val="26"/>
        </w:rPr>
        <w:t xml:space="preserve"> </w:t>
      </w:r>
      <w:r w:rsidR="00AB4C6D" w:rsidRPr="00D0691E">
        <w:rPr>
          <w:rFonts w:eastAsia="Calibri" w:cs="Times New Roman"/>
          <w:szCs w:val="24"/>
        </w:rPr>
        <w:t xml:space="preserve">Pritariame </w:t>
      </w:r>
      <w:r w:rsidR="00AB4C6D" w:rsidRPr="00D0691E">
        <w:rPr>
          <w:rFonts w:cs="Times New Roman"/>
          <w:szCs w:val="24"/>
          <w:lang w:bidi="lt-LT"/>
        </w:rPr>
        <w:t xml:space="preserve">Graikijos </w:t>
      </w:r>
      <w:r w:rsidR="00AB4C6D" w:rsidRPr="00D0691E">
        <w:rPr>
          <w:rFonts w:eastAsia="Calibri" w:cs="Times New Roman"/>
          <w:szCs w:val="24"/>
        </w:rPr>
        <w:t>po-programinės politikos vertinimo misijos</w:t>
      </w:r>
      <w:r w:rsidR="00AB4C6D" w:rsidRPr="00D0691E">
        <w:rPr>
          <w:rFonts w:eastAsia="Calibri" w:cs="Times New Roman"/>
          <w:b/>
          <w:szCs w:val="24"/>
        </w:rPr>
        <w:t xml:space="preserve"> </w:t>
      </w:r>
      <w:r w:rsidR="00AB4C6D" w:rsidRPr="00D0691E">
        <w:rPr>
          <w:rFonts w:eastAsia="Calibri" w:cs="Times New Roman"/>
          <w:szCs w:val="24"/>
        </w:rPr>
        <w:t>ataskaitai.</w:t>
      </w:r>
    </w:p>
    <w:p w:rsidR="005E170B" w:rsidRPr="00DF5308" w:rsidRDefault="005E170B" w:rsidP="007932C0">
      <w:pPr>
        <w:spacing w:after="0" w:line="240" w:lineRule="auto"/>
        <w:contextualSpacing/>
        <w:jc w:val="both"/>
        <w:rPr>
          <w:rFonts w:eastAsia="Times New Roman" w:cs="Times New Roman"/>
          <w:color w:val="000000"/>
          <w:szCs w:val="24"/>
          <w:lang w:eastAsia="lt-LT"/>
        </w:rPr>
      </w:pPr>
    </w:p>
    <w:p w:rsidR="00000458" w:rsidRPr="001A542D" w:rsidRDefault="005E170B" w:rsidP="007932C0">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Pr>
          <w:rFonts w:cs="Times New Roman"/>
          <w:b/>
          <w:bCs/>
          <w:szCs w:val="24"/>
          <w:lang w:eastAsia="lt-LT" w:bidi="lt-LT"/>
        </w:rPr>
        <w:t>Pasirengimas tarptautiniams susitikimams: valiutų kursų tendencijos</w:t>
      </w:r>
    </w:p>
    <w:p w:rsidR="00AA1408" w:rsidRPr="00AA1408" w:rsidRDefault="0042242F" w:rsidP="007932C0">
      <w:pPr>
        <w:spacing w:after="0" w:line="240" w:lineRule="auto"/>
        <w:jc w:val="both"/>
        <w:rPr>
          <w:rFonts w:cs="Times New Roman"/>
          <w:szCs w:val="24"/>
        </w:rPr>
      </w:pPr>
      <w:r w:rsidRPr="00AA1408">
        <w:rPr>
          <w:rFonts w:eastAsia="Calibri" w:cs="Times New Roman"/>
          <w:b/>
          <w:szCs w:val="24"/>
          <w:u w:val="single"/>
        </w:rPr>
        <w:t>Klausimo esmė.</w:t>
      </w:r>
      <w:r w:rsidR="00AA1408" w:rsidRPr="00AA1408">
        <w:rPr>
          <w:rFonts w:cs="Times New Roman"/>
          <w:szCs w:val="24"/>
        </w:rPr>
        <w:t xml:space="preserve"> Tarp š. m. vasario ir rugpjūčio mėn. euro kursas (nominalus efektyvus valiutos kursas NEER) pakilo 7,5</w:t>
      </w:r>
      <w:r w:rsidR="00AA1408" w:rsidRPr="00AA1408">
        <w:rPr>
          <w:rFonts w:cs="Times New Roman"/>
          <w:szCs w:val="24"/>
          <w:lang w:val="en-US"/>
        </w:rPr>
        <w:t>%</w:t>
      </w:r>
      <w:r w:rsidR="00AA1408" w:rsidRPr="00AA1408">
        <w:rPr>
          <w:rFonts w:cs="Times New Roman"/>
          <w:szCs w:val="24"/>
        </w:rPr>
        <w:t xml:space="preserve">. Šis laikotarpis apima du euro kurso augimo epizodus: pirmas, kuris vyko nuo kovo mėn. antros pusės iki vasario mėn. antros pusės, buvo daugiausia susijęs su globaliu bandymu apsisaugoti nuo rizikos, </w:t>
      </w:r>
      <w:r w:rsidR="00AA1408">
        <w:rPr>
          <w:rFonts w:cs="Times New Roman"/>
          <w:szCs w:val="24"/>
        </w:rPr>
        <w:t xml:space="preserve">kuris </w:t>
      </w:r>
      <w:r w:rsidR="00AA1408" w:rsidRPr="00AA1408">
        <w:rPr>
          <w:rFonts w:cs="Times New Roman"/>
          <w:szCs w:val="24"/>
        </w:rPr>
        <w:t>stūmė investuotojus į saugesnį turtą. Antras, kuris vyko nuo birželio iki rugpjūčio mėn., buvo daugiausiai susijęs su euro zonos pandemijos suvaldymu, ambicinga fiskaline parama, EVT pasiektu sutarimu dėl Naujos kartos ES atsigavimo paketo. Tolesnis euro kurso augimas gali sukelti reikšmingą neigiamą poveikį EZ augimui ir infliacijai.</w:t>
      </w:r>
    </w:p>
    <w:p w:rsidR="0042242F" w:rsidRPr="0042242F" w:rsidRDefault="0042242F" w:rsidP="007932C0">
      <w:pPr>
        <w:spacing w:after="0" w:line="240" w:lineRule="auto"/>
        <w:jc w:val="both"/>
        <w:rPr>
          <w:rFonts w:eastAsia="Calibri" w:cs="Times New Roman"/>
          <w:b/>
          <w:szCs w:val="24"/>
          <w:u w:val="single"/>
        </w:rPr>
      </w:pPr>
    </w:p>
    <w:p w:rsidR="0042242F" w:rsidRPr="00D11163" w:rsidRDefault="0042242F" w:rsidP="007932C0">
      <w:pPr>
        <w:spacing w:after="0" w:line="240" w:lineRule="auto"/>
        <w:jc w:val="both"/>
        <w:rPr>
          <w:rFonts w:eastAsia="Calibri" w:cs="Times New Roman"/>
          <w:b/>
          <w:szCs w:val="24"/>
          <w:u w:val="single"/>
          <w:lang w:val="en-US"/>
        </w:rPr>
      </w:pPr>
      <w:r w:rsidRPr="0042242F">
        <w:rPr>
          <w:rFonts w:eastAsia="Calibri" w:cs="Times New Roman"/>
          <w:b/>
          <w:szCs w:val="24"/>
          <w:u w:val="single"/>
        </w:rPr>
        <w:t>Lietuvos pozicija.</w:t>
      </w:r>
      <w:r w:rsidR="00AA1408" w:rsidRPr="00AA1408">
        <w:t xml:space="preserve"> </w:t>
      </w:r>
      <w:r w:rsidR="00AA1408">
        <w:rPr>
          <w:rFonts w:eastAsia="Calibri" w:cs="Times New Roman"/>
          <w:szCs w:val="24"/>
        </w:rPr>
        <w:t>Sutinkame su Europos Komisijos valiutų kursų tendencijų vertinimu.</w:t>
      </w:r>
    </w:p>
    <w:p w:rsidR="00000458" w:rsidRDefault="00000458" w:rsidP="007932C0">
      <w:pPr>
        <w:spacing w:after="0" w:line="240" w:lineRule="auto"/>
        <w:jc w:val="both"/>
        <w:rPr>
          <w:rFonts w:eastAsia="Calibri" w:cs="Times New Roman"/>
          <w:szCs w:val="24"/>
        </w:rPr>
      </w:pPr>
    </w:p>
    <w:p w:rsidR="00BF44D9" w:rsidRDefault="00BF44D9" w:rsidP="007932C0">
      <w:pPr>
        <w:spacing w:after="0" w:line="240" w:lineRule="auto"/>
        <w:ind w:hanging="142"/>
        <w:jc w:val="both"/>
        <w:rPr>
          <w:szCs w:val="26"/>
          <w:shd w:val="clear" w:color="auto" w:fill="FFFFFF"/>
        </w:rPr>
      </w:pPr>
    </w:p>
    <w:p w:rsidR="0042242F" w:rsidRPr="00BF44D9" w:rsidRDefault="00BF44D9" w:rsidP="007932C0">
      <w:pPr>
        <w:spacing w:after="0" w:line="240" w:lineRule="auto"/>
        <w:jc w:val="both"/>
        <w:rPr>
          <w:rFonts w:eastAsia="Calibri" w:cs="Times New Roman"/>
          <w:sz w:val="22"/>
          <w:szCs w:val="24"/>
          <w:u w:val="single"/>
        </w:rPr>
      </w:pPr>
      <w:r>
        <w:rPr>
          <w:szCs w:val="26"/>
          <w:shd w:val="clear" w:color="auto" w:fill="FFFFFF"/>
        </w:rPr>
        <w:t xml:space="preserve">Taip pat Euro grupėje bus tęsiama </w:t>
      </w:r>
      <w:r w:rsidRPr="00BF44D9">
        <w:rPr>
          <w:b/>
          <w:szCs w:val="26"/>
          <w:shd w:val="clear" w:color="auto" w:fill="FFFFFF"/>
        </w:rPr>
        <w:t>ECB Vykdomosios valdybos nario</w:t>
      </w:r>
      <w:r w:rsidRPr="00BF44D9">
        <w:rPr>
          <w:szCs w:val="26"/>
          <w:shd w:val="clear" w:color="auto" w:fill="FFFFFF"/>
        </w:rPr>
        <w:t xml:space="preserve"> </w:t>
      </w:r>
      <w:r>
        <w:rPr>
          <w:b/>
          <w:szCs w:val="26"/>
          <w:shd w:val="clear" w:color="auto" w:fill="FFFFFF"/>
        </w:rPr>
        <w:t>rinkimo procedūra</w:t>
      </w:r>
      <w:r>
        <w:rPr>
          <w:szCs w:val="26"/>
          <w:shd w:val="clear" w:color="auto" w:fill="FFFFFF"/>
        </w:rPr>
        <w:t>. Plačiau pristatyta prie ECOFIN klausimų.</w:t>
      </w:r>
    </w:p>
    <w:p w:rsidR="00000458" w:rsidRPr="00000458" w:rsidRDefault="00000458" w:rsidP="007932C0">
      <w:pPr>
        <w:spacing w:after="0" w:line="240" w:lineRule="auto"/>
        <w:contextualSpacing/>
        <w:jc w:val="both"/>
        <w:rPr>
          <w:rFonts w:eastAsia="Times New Roman" w:cs="Times New Roman"/>
          <w:color w:val="000000"/>
          <w:szCs w:val="24"/>
          <w:lang w:eastAsia="lt-LT"/>
        </w:rPr>
      </w:pPr>
    </w:p>
    <w:p w:rsidR="00000458" w:rsidRDefault="00000458" w:rsidP="007932C0">
      <w:pPr>
        <w:spacing w:after="0" w:line="240" w:lineRule="auto"/>
        <w:jc w:val="both"/>
        <w:rPr>
          <w:rFonts w:cs="Times New Roman"/>
          <w:b/>
          <w:szCs w:val="24"/>
          <w:u w:val="single"/>
          <w:lang w:eastAsia="lt-LT" w:bidi="lt-LT"/>
        </w:rPr>
      </w:pPr>
    </w:p>
    <w:p w:rsidR="00000458" w:rsidRPr="00720C6E" w:rsidRDefault="00000458" w:rsidP="007932C0">
      <w:pPr>
        <w:spacing w:after="0" w:line="240" w:lineRule="auto"/>
        <w:jc w:val="both"/>
        <w:rPr>
          <w:rFonts w:cs="Times New Roman"/>
          <w:b/>
          <w:szCs w:val="24"/>
          <w:u w:val="single"/>
          <w:lang w:eastAsia="lt-LT" w:bidi="lt-LT"/>
        </w:rPr>
      </w:pPr>
    </w:p>
    <w:sectPr w:rsidR="00000458" w:rsidRPr="00720C6E" w:rsidSect="004F5635">
      <w:footerReference w:type="default" r:id="rId9"/>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86" w:rsidRDefault="00552B86" w:rsidP="005059EB">
      <w:pPr>
        <w:spacing w:after="0" w:line="240" w:lineRule="auto"/>
      </w:pPr>
      <w:r>
        <w:separator/>
      </w:r>
    </w:p>
  </w:endnote>
  <w:endnote w:type="continuationSeparator" w:id="0">
    <w:p w:rsidR="00552B86" w:rsidRDefault="00552B86" w:rsidP="0050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32025"/>
      <w:docPartObj>
        <w:docPartGallery w:val="Page Numbers (Bottom of Page)"/>
        <w:docPartUnique/>
      </w:docPartObj>
    </w:sdtPr>
    <w:sdtEndPr/>
    <w:sdtContent>
      <w:p w:rsidR="005059EB" w:rsidRDefault="005059EB">
        <w:pPr>
          <w:pStyle w:val="Porat"/>
          <w:jc w:val="right"/>
        </w:pPr>
        <w:r>
          <w:fldChar w:fldCharType="begin"/>
        </w:r>
        <w:r>
          <w:instrText>PAGE   \* MERGEFORMAT</w:instrText>
        </w:r>
        <w:r>
          <w:fldChar w:fldCharType="separate"/>
        </w:r>
        <w:r w:rsidR="003068BF">
          <w:rPr>
            <w:noProof/>
          </w:rPr>
          <w:t>5</w:t>
        </w:r>
        <w:r>
          <w:fldChar w:fldCharType="end"/>
        </w:r>
      </w:p>
    </w:sdtContent>
  </w:sdt>
  <w:p w:rsidR="005059EB" w:rsidRDefault="005059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86" w:rsidRDefault="00552B86" w:rsidP="005059EB">
      <w:pPr>
        <w:spacing w:after="0" w:line="240" w:lineRule="auto"/>
      </w:pPr>
      <w:r>
        <w:separator/>
      </w:r>
    </w:p>
  </w:footnote>
  <w:footnote w:type="continuationSeparator" w:id="0">
    <w:p w:rsidR="00552B86" w:rsidRDefault="00552B86" w:rsidP="005059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4E6"/>
    <w:multiLevelType w:val="hybridMultilevel"/>
    <w:tmpl w:val="B0FC55B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06495604"/>
    <w:multiLevelType w:val="multilevel"/>
    <w:tmpl w:val="3AE834CC"/>
    <w:name w:val="Points"/>
    <w:lvl w:ilvl="0">
      <w:start w:val="1"/>
      <w:numFmt w:val="decimal"/>
      <w:pStyle w:val="Point123"/>
      <w:lvlText w:val="%1."/>
      <w:lvlJc w:val="left"/>
      <w:pPr>
        <w:tabs>
          <w:tab w:val="num" w:pos="567"/>
        </w:tabs>
        <w:ind w:left="567" w:hanging="567"/>
      </w:pPr>
      <w:rPr>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bullet"/>
      <w:pStyle w:val="Point1231"/>
      <w:lvlText w:val=""/>
      <w:lvlJc w:val="left"/>
      <w:pPr>
        <w:tabs>
          <w:tab w:val="num" w:pos="1134"/>
        </w:tabs>
        <w:ind w:left="1134" w:hanging="567"/>
      </w:pPr>
      <w:rPr>
        <w:rFonts w:ascii="Symbol" w:hAnsi="Symbol" w:hint="default"/>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bullet"/>
      <w:pStyle w:val="Pointabc2"/>
      <w:lvlText w:val=""/>
      <w:lvlJc w:val="left"/>
      <w:pPr>
        <w:tabs>
          <w:tab w:val="num" w:pos="1701"/>
        </w:tabs>
        <w:ind w:left="1701" w:hanging="567"/>
      </w:pPr>
      <w:rPr>
        <w:rFonts w:ascii="Symbol" w:hAnsi="Symbol" w:hint="default"/>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2">
    <w:nsid w:val="113C5A9C"/>
    <w:multiLevelType w:val="hybridMultilevel"/>
    <w:tmpl w:val="DAC207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5A46309"/>
    <w:multiLevelType w:val="hybridMultilevel"/>
    <w:tmpl w:val="1AF465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nsid w:val="27936819"/>
    <w:multiLevelType w:val="hybridMultilevel"/>
    <w:tmpl w:val="E87EE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0503399"/>
    <w:multiLevelType w:val="hybridMultilevel"/>
    <w:tmpl w:val="6DFCD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29B307C"/>
    <w:multiLevelType w:val="hybridMultilevel"/>
    <w:tmpl w:val="7E46CD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4F4404A"/>
    <w:multiLevelType w:val="hybridMultilevel"/>
    <w:tmpl w:val="330A73EE"/>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nsid w:val="37991697"/>
    <w:multiLevelType w:val="hybridMultilevel"/>
    <w:tmpl w:val="42D68D80"/>
    <w:lvl w:ilvl="0" w:tplc="59E893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46AF76B1"/>
    <w:multiLevelType w:val="hybridMultilevel"/>
    <w:tmpl w:val="741254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47861AF5"/>
    <w:multiLevelType w:val="hybridMultilevel"/>
    <w:tmpl w:val="CF98B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C5105D3"/>
    <w:multiLevelType w:val="hybridMultilevel"/>
    <w:tmpl w:val="8EACE52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D144A69"/>
    <w:multiLevelType w:val="hybridMultilevel"/>
    <w:tmpl w:val="6E2C1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DC67C97"/>
    <w:multiLevelType w:val="hybridMultilevel"/>
    <w:tmpl w:val="ECDC34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nsid w:val="53CF6F44"/>
    <w:multiLevelType w:val="hybridMultilevel"/>
    <w:tmpl w:val="817E4A3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550607E8"/>
    <w:multiLevelType w:val="hybridMultilevel"/>
    <w:tmpl w:val="E536E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C6A0AA1"/>
    <w:multiLevelType w:val="hybridMultilevel"/>
    <w:tmpl w:val="E41462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DE14646"/>
    <w:multiLevelType w:val="hybridMultilevel"/>
    <w:tmpl w:val="3F7262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97E4B98"/>
    <w:multiLevelType w:val="hybridMultilevel"/>
    <w:tmpl w:val="A8AA3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A226FEA"/>
    <w:multiLevelType w:val="hybridMultilevel"/>
    <w:tmpl w:val="837A60E2"/>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num w:numId="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
  </w:num>
  <w:num w:numId="3">
    <w:abstractNumId w:val="20"/>
  </w:num>
  <w:num w:numId="4">
    <w:abstractNumId w:val="18"/>
  </w:num>
  <w:num w:numId="5">
    <w:abstractNumId w:val="12"/>
  </w:num>
  <w:num w:numId="6">
    <w:abstractNumId w:val="14"/>
  </w:num>
  <w:num w:numId="7">
    <w:abstractNumId w:val="16"/>
  </w:num>
  <w:num w:numId="8">
    <w:abstractNumId w:val="10"/>
  </w:num>
  <w:num w:numId="9">
    <w:abstractNumId w:val="5"/>
  </w:num>
  <w:num w:numId="10">
    <w:abstractNumId w:val="13"/>
  </w:num>
  <w:num w:numId="11">
    <w:abstractNumId w:val="4"/>
  </w:num>
  <w:num w:numId="12">
    <w:abstractNumId w:val="17"/>
  </w:num>
  <w:num w:numId="13">
    <w:abstractNumId w:val="11"/>
  </w:num>
  <w:num w:numId="14">
    <w:abstractNumId w:val="19"/>
  </w:num>
  <w:num w:numId="15">
    <w:abstractNumId w:val="7"/>
  </w:num>
  <w:num w:numId="16">
    <w:abstractNumId w:val="0"/>
  </w:num>
  <w:num w:numId="17">
    <w:abstractNumId w:val="15"/>
  </w:num>
  <w:num w:numId="18">
    <w:abstractNumId w:val="6"/>
  </w:num>
  <w:num w:numId="19">
    <w:abstractNumId w:val="9"/>
  </w:num>
  <w:num w:numId="20">
    <w:abstractNumId w:val="8"/>
  </w:num>
  <w:num w:numId="2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70"/>
    <w:rsid w:val="00000458"/>
    <w:rsid w:val="00017A8E"/>
    <w:rsid w:val="00047C8A"/>
    <w:rsid w:val="00065E8C"/>
    <w:rsid w:val="000678AA"/>
    <w:rsid w:val="000713A4"/>
    <w:rsid w:val="000769A5"/>
    <w:rsid w:val="00076A9E"/>
    <w:rsid w:val="00096A64"/>
    <w:rsid w:val="000A17B8"/>
    <w:rsid w:val="000A25C8"/>
    <w:rsid w:val="000A3B2A"/>
    <w:rsid w:val="000A7ECC"/>
    <w:rsid w:val="000E1051"/>
    <w:rsid w:val="000F1A7A"/>
    <w:rsid w:val="000F2114"/>
    <w:rsid w:val="000F4400"/>
    <w:rsid w:val="000F589C"/>
    <w:rsid w:val="00114907"/>
    <w:rsid w:val="0011678C"/>
    <w:rsid w:val="00126F54"/>
    <w:rsid w:val="00136C11"/>
    <w:rsid w:val="00144F3B"/>
    <w:rsid w:val="001815A1"/>
    <w:rsid w:val="0018263F"/>
    <w:rsid w:val="00187F2F"/>
    <w:rsid w:val="001E0AC8"/>
    <w:rsid w:val="001E3961"/>
    <w:rsid w:val="00201304"/>
    <w:rsid w:val="00214FF8"/>
    <w:rsid w:val="002155E0"/>
    <w:rsid w:val="00244C46"/>
    <w:rsid w:val="00261FBA"/>
    <w:rsid w:val="002764C2"/>
    <w:rsid w:val="002817F5"/>
    <w:rsid w:val="002836CE"/>
    <w:rsid w:val="002914B1"/>
    <w:rsid w:val="00293E2E"/>
    <w:rsid w:val="002A01DD"/>
    <w:rsid w:val="002D4A2E"/>
    <w:rsid w:val="002E08FF"/>
    <w:rsid w:val="002E7316"/>
    <w:rsid w:val="003068BF"/>
    <w:rsid w:val="00334CDB"/>
    <w:rsid w:val="00342933"/>
    <w:rsid w:val="0037377D"/>
    <w:rsid w:val="00377706"/>
    <w:rsid w:val="003779F0"/>
    <w:rsid w:val="00380F9D"/>
    <w:rsid w:val="0038198B"/>
    <w:rsid w:val="003868AF"/>
    <w:rsid w:val="0039677B"/>
    <w:rsid w:val="003B2B69"/>
    <w:rsid w:val="003D4291"/>
    <w:rsid w:val="003E5320"/>
    <w:rsid w:val="004030AB"/>
    <w:rsid w:val="00405345"/>
    <w:rsid w:val="0040729F"/>
    <w:rsid w:val="00421F1D"/>
    <w:rsid w:val="0042242F"/>
    <w:rsid w:val="00433C22"/>
    <w:rsid w:val="00455FB7"/>
    <w:rsid w:val="00462AA2"/>
    <w:rsid w:val="00471481"/>
    <w:rsid w:val="00472B78"/>
    <w:rsid w:val="0047419C"/>
    <w:rsid w:val="0048780D"/>
    <w:rsid w:val="00492AE1"/>
    <w:rsid w:val="004B0771"/>
    <w:rsid w:val="004E03CD"/>
    <w:rsid w:val="004F5635"/>
    <w:rsid w:val="005008AD"/>
    <w:rsid w:val="005059EB"/>
    <w:rsid w:val="00511707"/>
    <w:rsid w:val="00544006"/>
    <w:rsid w:val="00547D85"/>
    <w:rsid w:val="00552B86"/>
    <w:rsid w:val="005706F9"/>
    <w:rsid w:val="005718DC"/>
    <w:rsid w:val="005736B5"/>
    <w:rsid w:val="005A1557"/>
    <w:rsid w:val="005A7E67"/>
    <w:rsid w:val="005D1308"/>
    <w:rsid w:val="005D1A89"/>
    <w:rsid w:val="005E170B"/>
    <w:rsid w:val="005F1C12"/>
    <w:rsid w:val="00621E17"/>
    <w:rsid w:val="006356C2"/>
    <w:rsid w:val="006425A0"/>
    <w:rsid w:val="00651BAA"/>
    <w:rsid w:val="00652FBD"/>
    <w:rsid w:val="006C0FB5"/>
    <w:rsid w:val="006C1EBC"/>
    <w:rsid w:val="006C29E0"/>
    <w:rsid w:val="006E224F"/>
    <w:rsid w:val="006F2118"/>
    <w:rsid w:val="00705ACA"/>
    <w:rsid w:val="00705E0F"/>
    <w:rsid w:val="00707F09"/>
    <w:rsid w:val="00713B84"/>
    <w:rsid w:val="007142F3"/>
    <w:rsid w:val="00720C6E"/>
    <w:rsid w:val="00723FC9"/>
    <w:rsid w:val="007256AD"/>
    <w:rsid w:val="00741E5F"/>
    <w:rsid w:val="00745E44"/>
    <w:rsid w:val="0075072F"/>
    <w:rsid w:val="007569CF"/>
    <w:rsid w:val="007633CD"/>
    <w:rsid w:val="00765E5B"/>
    <w:rsid w:val="007731A8"/>
    <w:rsid w:val="0078551E"/>
    <w:rsid w:val="00791517"/>
    <w:rsid w:val="007932C0"/>
    <w:rsid w:val="00793E3C"/>
    <w:rsid w:val="0079438B"/>
    <w:rsid w:val="007B02BB"/>
    <w:rsid w:val="007C2CFB"/>
    <w:rsid w:val="007D4C6A"/>
    <w:rsid w:val="007F75CB"/>
    <w:rsid w:val="00806F29"/>
    <w:rsid w:val="00814201"/>
    <w:rsid w:val="00830198"/>
    <w:rsid w:val="00873647"/>
    <w:rsid w:val="00874104"/>
    <w:rsid w:val="00883390"/>
    <w:rsid w:val="0088529B"/>
    <w:rsid w:val="008C24FE"/>
    <w:rsid w:val="008D6B38"/>
    <w:rsid w:val="008E21A0"/>
    <w:rsid w:val="008E7545"/>
    <w:rsid w:val="008F1E61"/>
    <w:rsid w:val="009178E9"/>
    <w:rsid w:val="009202C6"/>
    <w:rsid w:val="0094073A"/>
    <w:rsid w:val="009411C0"/>
    <w:rsid w:val="00962666"/>
    <w:rsid w:val="009633E2"/>
    <w:rsid w:val="009A253B"/>
    <w:rsid w:val="009B11DF"/>
    <w:rsid w:val="009B3952"/>
    <w:rsid w:val="009C336F"/>
    <w:rsid w:val="009C5EF2"/>
    <w:rsid w:val="009D3FE2"/>
    <w:rsid w:val="009D4D70"/>
    <w:rsid w:val="009E0F69"/>
    <w:rsid w:val="00A00AAA"/>
    <w:rsid w:val="00A0435E"/>
    <w:rsid w:val="00A051EB"/>
    <w:rsid w:val="00A207C8"/>
    <w:rsid w:val="00A369D4"/>
    <w:rsid w:val="00A613D7"/>
    <w:rsid w:val="00A67809"/>
    <w:rsid w:val="00A85B8F"/>
    <w:rsid w:val="00AA132A"/>
    <w:rsid w:val="00AA1408"/>
    <w:rsid w:val="00AB31B4"/>
    <w:rsid w:val="00AB4C6D"/>
    <w:rsid w:val="00AB5028"/>
    <w:rsid w:val="00AC6837"/>
    <w:rsid w:val="00AD6AE8"/>
    <w:rsid w:val="00AE2304"/>
    <w:rsid w:val="00AF01BF"/>
    <w:rsid w:val="00B11566"/>
    <w:rsid w:val="00B26F29"/>
    <w:rsid w:val="00B35CCF"/>
    <w:rsid w:val="00B85E5A"/>
    <w:rsid w:val="00B9638E"/>
    <w:rsid w:val="00B977E3"/>
    <w:rsid w:val="00B97A6B"/>
    <w:rsid w:val="00BA2279"/>
    <w:rsid w:val="00BB562B"/>
    <w:rsid w:val="00BB78AE"/>
    <w:rsid w:val="00BC6C3E"/>
    <w:rsid w:val="00BD4191"/>
    <w:rsid w:val="00BD577A"/>
    <w:rsid w:val="00BE1479"/>
    <w:rsid w:val="00BF44D9"/>
    <w:rsid w:val="00C14B3D"/>
    <w:rsid w:val="00C22A8F"/>
    <w:rsid w:val="00C4696A"/>
    <w:rsid w:val="00C47633"/>
    <w:rsid w:val="00C55FA8"/>
    <w:rsid w:val="00C73355"/>
    <w:rsid w:val="00C7657E"/>
    <w:rsid w:val="00C83F3B"/>
    <w:rsid w:val="00C94D14"/>
    <w:rsid w:val="00CB3447"/>
    <w:rsid w:val="00CF7AA6"/>
    <w:rsid w:val="00D007F5"/>
    <w:rsid w:val="00D0691E"/>
    <w:rsid w:val="00D11163"/>
    <w:rsid w:val="00D22BC3"/>
    <w:rsid w:val="00D252B6"/>
    <w:rsid w:val="00D33DBA"/>
    <w:rsid w:val="00D4154B"/>
    <w:rsid w:val="00D56A2E"/>
    <w:rsid w:val="00D62032"/>
    <w:rsid w:val="00D8565B"/>
    <w:rsid w:val="00DB79E7"/>
    <w:rsid w:val="00DC63E4"/>
    <w:rsid w:val="00DE28FB"/>
    <w:rsid w:val="00DE5FBF"/>
    <w:rsid w:val="00DF5308"/>
    <w:rsid w:val="00DF72D6"/>
    <w:rsid w:val="00E01424"/>
    <w:rsid w:val="00E0211F"/>
    <w:rsid w:val="00E26685"/>
    <w:rsid w:val="00E52040"/>
    <w:rsid w:val="00E551ED"/>
    <w:rsid w:val="00E6493F"/>
    <w:rsid w:val="00E77291"/>
    <w:rsid w:val="00E8342B"/>
    <w:rsid w:val="00EA5E92"/>
    <w:rsid w:val="00EB0D85"/>
    <w:rsid w:val="00EB1704"/>
    <w:rsid w:val="00EC447A"/>
    <w:rsid w:val="00F502DC"/>
    <w:rsid w:val="00F83D27"/>
    <w:rsid w:val="00FB1CFA"/>
    <w:rsid w:val="00FB3F9A"/>
    <w:rsid w:val="00FE5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242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1"/>
      </w:numPr>
      <w:spacing w:before="200" w:after="0" w:line="240" w:lineRule="auto"/>
    </w:pPr>
    <w:rPr>
      <w:rFonts w:cs="Times New Roman"/>
      <w:lang w:val="en-GB"/>
    </w:rPr>
  </w:style>
  <w:style w:type="paragraph" w:customStyle="1" w:styleId="Pointabc1">
    <w:name w:val="Point abc (1)"/>
    <w:basedOn w:val="prastasis"/>
    <w:rsid w:val="004F5635"/>
    <w:pPr>
      <w:numPr>
        <w:ilvl w:val="3"/>
        <w:numId w:val="1"/>
      </w:numPr>
      <w:spacing w:after="0" w:line="240" w:lineRule="auto"/>
    </w:pPr>
    <w:rPr>
      <w:rFonts w:cs="Times New Roman"/>
      <w:lang w:val="en-GB"/>
    </w:rPr>
  </w:style>
  <w:style w:type="paragraph" w:customStyle="1" w:styleId="Pointabc2">
    <w:name w:val="Point abc (2)"/>
    <w:basedOn w:val="prastasis"/>
    <w:rsid w:val="004F5635"/>
    <w:pPr>
      <w:numPr>
        <w:ilvl w:val="5"/>
        <w:numId w:val="1"/>
      </w:numPr>
      <w:spacing w:after="0" w:line="240" w:lineRule="auto"/>
    </w:pPr>
    <w:rPr>
      <w:rFonts w:cs="Times New Roman"/>
      <w:lang w:val="en-GB"/>
    </w:rPr>
  </w:style>
  <w:style w:type="paragraph" w:customStyle="1" w:styleId="Pointabc3">
    <w:name w:val="Point abc (3)"/>
    <w:basedOn w:val="prastasis"/>
    <w:rsid w:val="004F5635"/>
    <w:pPr>
      <w:numPr>
        <w:ilvl w:val="7"/>
        <w:numId w:val="1"/>
      </w:numPr>
      <w:spacing w:after="0" w:line="240" w:lineRule="auto"/>
    </w:pPr>
    <w:rPr>
      <w:rFonts w:cs="Times New Roman"/>
      <w:lang w:val="en-GB"/>
    </w:rPr>
  </w:style>
  <w:style w:type="paragraph" w:customStyle="1" w:styleId="Pointabc4">
    <w:name w:val="Point abc (4)"/>
    <w:basedOn w:val="prastasis"/>
    <w:rsid w:val="004F5635"/>
    <w:pPr>
      <w:numPr>
        <w:ilvl w:val="8"/>
        <w:numId w:val="1"/>
      </w:numPr>
      <w:spacing w:after="0" w:line="240" w:lineRule="auto"/>
    </w:pPr>
    <w:rPr>
      <w:rFonts w:cs="Times New Roman"/>
      <w:lang w:val="en-GB"/>
    </w:rPr>
  </w:style>
  <w:style w:type="paragraph" w:customStyle="1" w:styleId="Point123">
    <w:name w:val="Point 123"/>
    <w:basedOn w:val="prastasis"/>
    <w:rsid w:val="004F5635"/>
    <w:pPr>
      <w:numPr>
        <w:numId w:val="1"/>
      </w:numPr>
      <w:spacing w:before="200" w:after="0" w:line="240" w:lineRule="auto"/>
    </w:pPr>
    <w:rPr>
      <w:rFonts w:cs="Times New Roman"/>
      <w:lang w:val="en-GB"/>
    </w:rPr>
  </w:style>
  <w:style w:type="paragraph" w:customStyle="1" w:styleId="Point1231">
    <w:name w:val="Point 123 (1)"/>
    <w:basedOn w:val="prastasis"/>
    <w:rsid w:val="004F5635"/>
    <w:pPr>
      <w:numPr>
        <w:ilvl w:val="2"/>
        <w:numId w:val="1"/>
      </w:numPr>
      <w:spacing w:after="0" w:line="240" w:lineRule="auto"/>
    </w:pPr>
    <w:rPr>
      <w:rFonts w:cs="Times New Roman"/>
      <w:lang w:val="en-GB"/>
    </w:rPr>
  </w:style>
  <w:style w:type="paragraph" w:customStyle="1" w:styleId="Point1232">
    <w:name w:val="Point 123 (2)"/>
    <w:basedOn w:val="prastasis"/>
    <w:rsid w:val="004F5635"/>
    <w:pPr>
      <w:numPr>
        <w:ilvl w:val="4"/>
        <w:numId w:val="1"/>
      </w:numPr>
      <w:spacing w:after="0" w:line="240" w:lineRule="auto"/>
    </w:pPr>
    <w:rPr>
      <w:rFonts w:cs="Times New Roman"/>
      <w:lang w:val="en-GB"/>
    </w:rPr>
  </w:style>
  <w:style w:type="paragraph" w:customStyle="1" w:styleId="Point1233">
    <w:name w:val="Point 123 (3)"/>
    <w:basedOn w:val="prastasis"/>
    <w:rsid w:val="004F5635"/>
    <w:pPr>
      <w:numPr>
        <w:ilvl w:val="6"/>
        <w:numId w:val="1"/>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 w:type="character" w:customStyle="1" w:styleId="tlid-translation">
    <w:name w:val="tlid-translation"/>
    <w:basedOn w:val="Numatytasispastraiposriftas"/>
    <w:rsid w:val="00065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242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1"/>
      </w:numPr>
      <w:spacing w:before="200" w:after="0" w:line="240" w:lineRule="auto"/>
    </w:pPr>
    <w:rPr>
      <w:rFonts w:cs="Times New Roman"/>
      <w:lang w:val="en-GB"/>
    </w:rPr>
  </w:style>
  <w:style w:type="paragraph" w:customStyle="1" w:styleId="Pointabc1">
    <w:name w:val="Point abc (1)"/>
    <w:basedOn w:val="prastasis"/>
    <w:rsid w:val="004F5635"/>
    <w:pPr>
      <w:numPr>
        <w:ilvl w:val="3"/>
        <w:numId w:val="1"/>
      </w:numPr>
      <w:spacing w:after="0" w:line="240" w:lineRule="auto"/>
    </w:pPr>
    <w:rPr>
      <w:rFonts w:cs="Times New Roman"/>
      <w:lang w:val="en-GB"/>
    </w:rPr>
  </w:style>
  <w:style w:type="paragraph" w:customStyle="1" w:styleId="Pointabc2">
    <w:name w:val="Point abc (2)"/>
    <w:basedOn w:val="prastasis"/>
    <w:rsid w:val="004F5635"/>
    <w:pPr>
      <w:numPr>
        <w:ilvl w:val="5"/>
        <w:numId w:val="1"/>
      </w:numPr>
      <w:spacing w:after="0" w:line="240" w:lineRule="auto"/>
    </w:pPr>
    <w:rPr>
      <w:rFonts w:cs="Times New Roman"/>
      <w:lang w:val="en-GB"/>
    </w:rPr>
  </w:style>
  <w:style w:type="paragraph" w:customStyle="1" w:styleId="Pointabc3">
    <w:name w:val="Point abc (3)"/>
    <w:basedOn w:val="prastasis"/>
    <w:rsid w:val="004F5635"/>
    <w:pPr>
      <w:numPr>
        <w:ilvl w:val="7"/>
        <w:numId w:val="1"/>
      </w:numPr>
      <w:spacing w:after="0" w:line="240" w:lineRule="auto"/>
    </w:pPr>
    <w:rPr>
      <w:rFonts w:cs="Times New Roman"/>
      <w:lang w:val="en-GB"/>
    </w:rPr>
  </w:style>
  <w:style w:type="paragraph" w:customStyle="1" w:styleId="Pointabc4">
    <w:name w:val="Point abc (4)"/>
    <w:basedOn w:val="prastasis"/>
    <w:rsid w:val="004F5635"/>
    <w:pPr>
      <w:numPr>
        <w:ilvl w:val="8"/>
        <w:numId w:val="1"/>
      </w:numPr>
      <w:spacing w:after="0" w:line="240" w:lineRule="auto"/>
    </w:pPr>
    <w:rPr>
      <w:rFonts w:cs="Times New Roman"/>
      <w:lang w:val="en-GB"/>
    </w:rPr>
  </w:style>
  <w:style w:type="paragraph" w:customStyle="1" w:styleId="Point123">
    <w:name w:val="Point 123"/>
    <w:basedOn w:val="prastasis"/>
    <w:rsid w:val="004F5635"/>
    <w:pPr>
      <w:numPr>
        <w:numId w:val="1"/>
      </w:numPr>
      <w:spacing w:before="200" w:after="0" w:line="240" w:lineRule="auto"/>
    </w:pPr>
    <w:rPr>
      <w:rFonts w:cs="Times New Roman"/>
      <w:lang w:val="en-GB"/>
    </w:rPr>
  </w:style>
  <w:style w:type="paragraph" w:customStyle="1" w:styleId="Point1231">
    <w:name w:val="Point 123 (1)"/>
    <w:basedOn w:val="prastasis"/>
    <w:rsid w:val="004F5635"/>
    <w:pPr>
      <w:numPr>
        <w:ilvl w:val="2"/>
        <w:numId w:val="1"/>
      </w:numPr>
      <w:spacing w:after="0" w:line="240" w:lineRule="auto"/>
    </w:pPr>
    <w:rPr>
      <w:rFonts w:cs="Times New Roman"/>
      <w:lang w:val="en-GB"/>
    </w:rPr>
  </w:style>
  <w:style w:type="paragraph" w:customStyle="1" w:styleId="Point1232">
    <w:name w:val="Point 123 (2)"/>
    <w:basedOn w:val="prastasis"/>
    <w:rsid w:val="004F5635"/>
    <w:pPr>
      <w:numPr>
        <w:ilvl w:val="4"/>
        <w:numId w:val="1"/>
      </w:numPr>
      <w:spacing w:after="0" w:line="240" w:lineRule="auto"/>
    </w:pPr>
    <w:rPr>
      <w:rFonts w:cs="Times New Roman"/>
      <w:lang w:val="en-GB"/>
    </w:rPr>
  </w:style>
  <w:style w:type="paragraph" w:customStyle="1" w:styleId="Point1233">
    <w:name w:val="Point 123 (3)"/>
    <w:basedOn w:val="prastasis"/>
    <w:rsid w:val="004F5635"/>
    <w:pPr>
      <w:numPr>
        <w:ilvl w:val="6"/>
        <w:numId w:val="1"/>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 w:type="character" w:customStyle="1" w:styleId="tlid-translation">
    <w:name w:val="tlid-translation"/>
    <w:basedOn w:val="Numatytasispastraiposriftas"/>
    <w:rsid w:val="0006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04749">
      <w:bodyDiv w:val="1"/>
      <w:marLeft w:val="0"/>
      <w:marRight w:val="0"/>
      <w:marTop w:val="0"/>
      <w:marBottom w:val="0"/>
      <w:divBdr>
        <w:top w:val="none" w:sz="0" w:space="0" w:color="auto"/>
        <w:left w:val="none" w:sz="0" w:space="0" w:color="auto"/>
        <w:bottom w:val="none" w:sz="0" w:space="0" w:color="auto"/>
        <w:right w:val="none" w:sz="0" w:space="0" w:color="auto"/>
      </w:divBdr>
      <w:divsChild>
        <w:div w:id="433283570">
          <w:marLeft w:val="0"/>
          <w:marRight w:val="0"/>
          <w:marTop w:val="0"/>
          <w:marBottom w:val="0"/>
          <w:divBdr>
            <w:top w:val="none" w:sz="0" w:space="0" w:color="auto"/>
            <w:left w:val="none" w:sz="0" w:space="0" w:color="auto"/>
            <w:bottom w:val="none" w:sz="0" w:space="0" w:color="auto"/>
            <w:right w:val="none" w:sz="0" w:space="0" w:color="auto"/>
          </w:divBdr>
        </w:div>
      </w:divsChild>
    </w:div>
    <w:div w:id="1331523899">
      <w:bodyDiv w:val="1"/>
      <w:marLeft w:val="0"/>
      <w:marRight w:val="0"/>
      <w:marTop w:val="0"/>
      <w:marBottom w:val="0"/>
      <w:divBdr>
        <w:top w:val="none" w:sz="0" w:space="0" w:color="auto"/>
        <w:left w:val="none" w:sz="0" w:space="0" w:color="auto"/>
        <w:bottom w:val="none" w:sz="0" w:space="0" w:color="auto"/>
        <w:right w:val="none" w:sz="0" w:space="0" w:color="auto"/>
      </w:divBdr>
    </w:div>
    <w:div w:id="1337684271">
      <w:bodyDiv w:val="1"/>
      <w:marLeft w:val="0"/>
      <w:marRight w:val="0"/>
      <w:marTop w:val="0"/>
      <w:marBottom w:val="0"/>
      <w:divBdr>
        <w:top w:val="none" w:sz="0" w:space="0" w:color="auto"/>
        <w:left w:val="none" w:sz="0" w:space="0" w:color="auto"/>
        <w:bottom w:val="none" w:sz="0" w:space="0" w:color="auto"/>
        <w:right w:val="none" w:sz="0" w:space="0" w:color="auto"/>
      </w:divBdr>
    </w:div>
    <w:div w:id="1415591921">
      <w:bodyDiv w:val="1"/>
      <w:marLeft w:val="0"/>
      <w:marRight w:val="0"/>
      <w:marTop w:val="0"/>
      <w:marBottom w:val="0"/>
      <w:divBdr>
        <w:top w:val="none" w:sz="0" w:space="0" w:color="auto"/>
        <w:left w:val="none" w:sz="0" w:space="0" w:color="auto"/>
        <w:bottom w:val="none" w:sz="0" w:space="0" w:color="auto"/>
        <w:right w:val="none" w:sz="0" w:space="0" w:color="auto"/>
      </w:divBdr>
    </w:div>
    <w:div w:id="1438871682">
      <w:bodyDiv w:val="1"/>
      <w:marLeft w:val="0"/>
      <w:marRight w:val="0"/>
      <w:marTop w:val="0"/>
      <w:marBottom w:val="0"/>
      <w:divBdr>
        <w:top w:val="none" w:sz="0" w:space="0" w:color="auto"/>
        <w:left w:val="none" w:sz="0" w:space="0" w:color="auto"/>
        <w:bottom w:val="none" w:sz="0" w:space="0" w:color="auto"/>
        <w:right w:val="none" w:sz="0" w:space="0" w:color="auto"/>
      </w:divBdr>
    </w:div>
    <w:div w:id="1450973189">
      <w:bodyDiv w:val="1"/>
      <w:marLeft w:val="0"/>
      <w:marRight w:val="0"/>
      <w:marTop w:val="0"/>
      <w:marBottom w:val="0"/>
      <w:divBdr>
        <w:top w:val="none" w:sz="0" w:space="0" w:color="auto"/>
        <w:left w:val="none" w:sz="0" w:space="0" w:color="auto"/>
        <w:bottom w:val="none" w:sz="0" w:space="0" w:color="auto"/>
        <w:right w:val="none" w:sz="0" w:space="0" w:color="auto"/>
      </w:divBdr>
      <w:divsChild>
        <w:div w:id="614480118">
          <w:marLeft w:val="0"/>
          <w:marRight w:val="0"/>
          <w:marTop w:val="0"/>
          <w:marBottom w:val="0"/>
          <w:divBdr>
            <w:top w:val="none" w:sz="0" w:space="0" w:color="auto"/>
            <w:left w:val="none" w:sz="0" w:space="0" w:color="auto"/>
            <w:bottom w:val="none" w:sz="0" w:space="0" w:color="auto"/>
            <w:right w:val="none" w:sz="0" w:space="0" w:color="auto"/>
          </w:divBdr>
        </w:div>
      </w:divsChild>
    </w:div>
    <w:div w:id="1461992523">
      <w:bodyDiv w:val="1"/>
      <w:marLeft w:val="0"/>
      <w:marRight w:val="0"/>
      <w:marTop w:val="0"/>
      <w:marBottom w:val="0"/>
      <w:divBdr>
        <w:top w:val="none" w:sz="0" w:space="0" w:color="auto"/>
        <w:left w:val="none" w:sz="0" w:space="0" w:color="auto"/>
        <w:bottom w:val="none" w:sz="0" w:space="0" w:color="auto"/>
        <w:right w:val="none" w:sz="0" w:space="0" w:color="auto"/>
      </w:divBdr>
      <w:divsChild>
        <w:div w:id="320502628">
          <w:marLeft w:val="0"/>
          <w:marRight w:val="0"/>
          <w:marTop w:val="0"/>
          <w:marBottom w:val="0"/>
          <w:divBdr>
            <w:top w:val="none" w:sz="0" w:space="0" w:color="auto"/>
            <w:left w:val="none" w:sz="0" w:space="0" w:color="auto"/>
            <w:bottom w:val="none" w:sz="0" w:space="0" w:color="auto"/>
            <w:right w:val="none" w:sz="0" w:space="0" w:color="auto"/>
          </w:divBdr>
          <w:divsChild>
            <w:div w:id="518472175">
              <w:marLeft w:val="0"/>
              <w:marRight w:val="0"/>
              <w:marTop w:val="0"/>
              <w:marBottom w:val="0"/>
              <w:divBdr>
                <w:top w:val="none" w:sz="0" w:space="0" w:color="auto"/>
                <w:left w:val="none" w:sz="0" w:space="0" w:color="auto"/>
                <w:bottom w:val="none" w:sz="0" w:space="0" w:color="auto"/>
                <w:right w:val="none" w:sz="0" w:space="0" w:color="auto"/>
              </w:divBdr>
              <w:divsChild>
                <w:div w:id="15245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324">
      <w:bodyDiv w:val="1"/>
      <w:marLeft w:val="0"/>
      <w:marRight w:val="0"/>
      <w:marTop w:val="0"/>
      <w:marBottom w:val="0"/>
      <w:divBdr>
        <w:top w:val="none" w:sz="0" w:space="0" w:color="auto"/>
        <w:left w:val="none" w:sz="0" w:space="0" w:color="auto"/>
        <w:bottom w:val="none" w:sz="0" w:space="0" w:color="auto"/>
        <w:right w:val="none" w:sz="0" w:space="0" w:color="auto"/>
      </w:divBdr>
      <w:divsChild>
        <w:div w:id="788744897">
          <w:marLeft w:val="0"/>
          <w:marRight w:val="0"/>
          <w:marTop w:val="0"/>
          <w:marBottom w:val="0"/>
          <w:divBdr>
            <w:top w:val="none" w:sz="0" w:space="0" w:color="auto"/>
            <w:left w:val="none" w:sz="0" w:space="0" w:color="auto"/>
            <w:bottom w:val="none" w:sz="0" w:space="0" w:color="auto"/>
            <w:right w:val="none" w:sz="0" w:space="0" w:color="auto"/>
          </w:divBdr>
          <w:divsChild>
            <w:div w:id="10256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8CCC-C369-4B6E-AF87-BF19E808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4462</TotalTime>
  <Pages>5</Pages>
  <Words>10188</Words>
  <Characters>5808</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Markevičius</dc:creator>
  <cp:lastModifiedBy>Simona Narkevičienė</cp:lastModifiedBy>
  <cp:revision>25</cp:revision>
  <cp:lastPrinted>2020-07-03T08:02:00Z</cp:lastPrinted>
  <dcterms:created xsi:type="dcterms:W3CDTF">2020-09-25T05:45:00Z</dcterms:created>
  <dcterms:modified xsi:type="dcterms:W3CDTF">2020-09-28T12:29:00Z</dcterms:modified>
</cp:coreProperties>
</file>