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d537007bfe514a45b953765f1d7a5315"/>
        <w:lock w:val="sdtLocked"/>
        <w:richText/>
      </w:sdtPr>
      <w:sdtContent>
        <w:p w14:paraId="4739676C" w14:textId="77777777">
          <w:pPr>
            <w:tabs>
              <w:tab w:val="center" w:pos="4153"/>
              <w:tab w:val="right" w:pos="8306"/>
            </w:tabs>
            <w:rPr>
              <w:lang w:eastAsia="lt-LT"/>
            </w:rPr>
          </w:pPr>
        </w:p>
        <w:p w14:paraId="23A96044" w14:textId="77777777">
          <w:pPr>
            <w:tabs>
              <w:tab w:val="center" w:pos="4153"/>
              <w:tab w:val="right" w:pos="8306"/>
            </w:tabs>
            <w:rPr>
              <w:lang w:eastAsia="lt-LT"/>
            </w:rPr>
          </w:pPr>
        </w:p>
        <w:p w14:paraId="23A96045" w14:textId="77777777">
          <w:pPr>
            <w:keepNext/>
            <w:tabs>
              <w:tab w:val="left" w:pos="993"/>
            </w:tabs>
            <w:spacing w:line="288" w:lineRule="auto"/>
            <w:ind w:left="7371"/>
            <w:jc w:val="right"/>
            <w:outlineLvl w:val="1"/>
            <w:rPr>
              <w:b/>
              <w:bCs/>
              <w:szCs w:val="24"/>
            </w:rPr>
          </w:pPr>
          <w:r>
            <w:rPr>
              <w:b/>
              <w:bCs/>
              <w:szCs w:val="24"/>
            </w:rPr>
            <w:t>Projektas</w:t>
          </w:r>
        </w:p>
        <w:p w14:paraId="23A96046" w14:textId="77777777">
          <w:pPr>
            <w:tabs>
              <w:tab w:val="left" w:pos="993"/>
            </w:tabs>
            <w:spacing w:line="288" w:lineRule="auto"/>
            <w:jc w:val="center"/>
            <w:rPr>
              <w:b/>
              <w:bCs/>
              <w:szCs w:val="24"/>
            </w:rPr>
          </w:pPr>
        </w:p>
        <w:p w14:paraId="23A96047" w14:textId="77777777">
          <w:pPr>
            <w:tabs>
              <w:tab w:val="left" w:pos="993"/>
            </w:tabs>
            <w:spacing w:line="288" w:lineRule="auto"/>
            <w:jc w:val="center"/>
            <w:rPr>
              <w:rFonts w:ascii="Tahoma" w:hAnsi="Tahoma" w:cs="Tahoma"/>
              <w:b/>
              <w:bCs/>
            </w:rPr>
          </w:pPr>
          <w:r>
            <w:rPr>
              <w:b/>
              <w:bCs/>
              <w:szCs w:val="24"/>
            </w:rPr>
            <w:t>LIETUVOS RESPUBLIKOS VYRIAUSYBĖ</w:t>
          </w:r>
        </w:p>
        <w:p w14:paraId="23A96048" w14:textId="77777777">
          <w:pPr>
            <w:tabs>
              <w:tab w:val="left" w:pos="993"/>
            </w:tabs>
            <w:spacing w:line="288" w:lineRule="auto"/>
            <w:jc w:val="center"/>
            <w:rPr>
              <w:szCs w:val="24"/>
            </w:rPr>
          </w:pPr>
        </w:p>
        <w:p w14:paraId="23A96049" w14:textId="77777777">
          <w:pPr>
            <w:tabs>
              <w:tab w:val="left" w:pos="993"/>
            </w:tabs>
            <w:spacing w:line="288" w:lineRule="auto"/>
            <w:jc w:val="center"/>
            <w:rPr>
              <w:b/>
              <w:szCs w:val="24"/>
              <w:lang w:eastAsia="lt-LT"/>
            </w:rPr>
          </w:pPr>
          <w:r>
            <w:rPr>
              <w:b/>
              <w:szCs w:val="24"/>
              <w:lang w:eastAsia="lt-LT"/>
            </w:rPr>
            <w:t>NUTARIMAS</w:t>
          </w:r>
        </w:p>
        <w:p w14:paraId="23A9604A" w14:textId="77777777">
          <w:pPr>
            <w:tabs>
              <w:tab w:val="left" w:pos="993"/>
            </w:tabs>
            <w:spacing w:line="288" w:lineRule="auto"/>
            <w:jc w:val="center"/>
            <w:rPr>
              <w:b/>
              <w:szCs w:val="24"/>
            </w:rPr>
          </w:pPr>
          <w:r>
            <w:rPr>
              <w:b/>
              <w:szCs w:val="24"/>
            </w:rPr>
            <w:t>DĖL VIEŠOSIOS ĮSTAIGOS LIETUVOS VIEŠOJO ADMINISTRAVIMO INSTITUTO LIKVIDAVIMO</w:t>
          </w:r>
        </w:p>
        <w:p w14:paraId="23A9604B" w14:textId="77777777">
          <w:pPr>
            <w:tabs>
              <w:tab w:val="left" w:pos="993"/>
              <w:tab w:val="center" w:pos="4153"/>
              <w:tab w:val="right" w:pos="8306"/>
            </w:tabs>
            <w:spacing w:line="288" w:lineRule="auto"/>
            <w:rPr>
              <w:lang w:eastAsia="lt-LT"/>
            </w:rPr>
          </w:pPr>
        </w:p>
        <w:p w14:paraId="23A9604C" w14:textId="642482F9">
          <w:pPr>
            <w:tabs>
              <w:tab w:val="left" w:pos="993"/>
            </w:tabs>
            <w:spacing w:line="288" w:lineRule="auto"/>
            <w:ind w:firstLine="60"/>
            <w:jc w:val="center"/>
            <w:rPr>
              <w:szCs w:val="24"/>
            </w:rPr>
          </w:pPr>
          <w:r>
            <w:rPr>
              <w:szCs w:val="24"/>
            </w:rPr>
            <w:t xml:space="preserve">Nr. </w:t>
          </w:r>
        </w:p>
        <w:p w14:paraId="23A9604D" w14:textId="77777777">
          <w:pPr>
            <w:tabs>
              <w:tab w:val="left" w:pos="993"/>
            </w:tabs>
            <w:spacing w:line="288" w:lineRule="auto"/>
            <w:jc w:val="center"/>
            <w:rPr>
              <w:szCs w:val="24"/>
            </w:rPr>
          </w:pPr>
          <w:r>
            <w:rPr>
              <w:szCs w:val="24"/>
            </w:rPr>
            <w:t>Vilnius</w:t>
          </w:r>
        </w:p>
        <w:p w14:paraId="23A9604E" w14:textId="77777777">
          <w:pPr>
            <w:tabs>
              <w:tab w:val="left" w:pos="993"/>
            </w:tabs>
            <w:spacing w:line="288" w:lineRule="auto"/>
            <w:jc w:val="center"/>
            <w:rPr>
              <w:szCs w:val="24"/>
            </w:rPr>
          </w:pPr>
        </w:p>
        <w:sdt>
          <w:sdtPr>
            <w:alias w:val="preambule"/>
            <w:tag w:val="part_df043051aca94bc9b59d2b54f9ffeca6"/>
            <w:lock w:val="sdtLocked"/>
            <w:richText/>
          </w:sdtPr>
          <w:sdtContent>
            <w:p w14:paraId="23A9604F" w14:textId="016B06B3">
              <w:pPr>
                <w:shd w:val="clear" w:color="auto" w:fill="FFFFFF"/>
                <w:tabs>
                  <w:tab w:val="left" w:pos="1134"/>
                </w:tabs>
                <w:spacing w:line="360" w:lineRule="atLeast"/>
                <w:ind w:firstLine="720"/>
                <w:jc w:val="both"/>
                <w:rPr>
                  <w:szCs w:val="24"/>
                  <w:lang w:eastAsia="lt-LT"/>
                </w:rPr>
              </w:pPr>
              <w:r>
                <w:rPr>
                  <w:szCs w:val="24"/>
                  <w:lang w:eastAsia="lt-LT"/>
                </w:rPr>
                <w:t xml:space="preserve">Vadovaudamasi Lietuvos Respublikos viešųjų įstaigų įstatymo 17 straipsniu ir įgyvendindama Valstybės ir savivaldybių turtinių ir neturtinių teisių įgyvendinimo viešosiose įstaigose taisykles, patvirtintas Lietuvos Respublikos Vyriausybės 2007 m. rugsėjo 26 d. nutarimu Nr. 1025 „Dėl valstybės ir savivaldybių turtinių ir neturtinių teisių įgyvendinimo viešosiose įstaigose“, Lietuvos Respublikos Vyriausybė </w:t>
              </w:r>
              <w:r>
                <w:rPr>
                  <w:spacing w:val="80"/>
                  <w:szCs w:val="24"/>
                  <w:lang w:eastAsia="lt-LT"/>
                </w:rPr>
                <w:t>nutari</w:t>
              </w:r>
              <w:r>
                <w:rPr>
                  <w:szCs w:val="24"/>
                  <w:lang w:eastAsia="lt-LT"/>
                </w:rPr>
                <w:t>a:</w:t>
              </w:r>
            </w:p>
          </w:sdtContent>
        </w:sdt>
        <w:sdt>
          <w:sdtPr>
            <w:alias w:val="1 p."/>
            <w:tag w:val="part_efbf57a1c7b34d2195fbf548fb482727"/>
            <w:lock w:val="sdtLocked"/>
            <w:richText/>
          </w:sdtPr>
          <w:sdtContent>
            <w:p w14:paraId="23A96050" w14:textId="4F270D2F">
              <w:pPr>
                <w:shd w:val="clear" w:color="auto" w:fill="FFFFFF"/>
                <w:tabs>
                  <w:tab w:val="left" w:pos="1134"/>
                </w:tabs>
                <w:spacing w:line="360" w:lineRule="atLeast"/>
                <w:ind w:firstLine="720"/>
                <w:jc w:val="both"/>
                <w:rPr>
                  <w:szCs w:val="24"/>
                  <w:lang w:eastAsia="lt-LT"/>
                </w:rPr>
              </w:pPr>
              <w:sdt>
                <w:sdtPr>
                  <w:alias w:val="Numeris"/>
                  <w:tag w:val="nr_efbf57a1c7b34d2195fbf548fb482727"/>
                  <w:lock w:val="sdtLocked"/>
                  <w:richText/>
                </w:sdtPr>
                <w:sdtContent>
                  <w:r>
                    <w:rPr>
                      <w:szCs w:val="24"/>
                      <w:lang w:eastAsia="lt-LT"/>
                    </w:rPr>
                    <w:t>1</w:t>
                  </w:r>
                </w:sdtContent>
              </w:sdt>
              <w:r>
                <w:rPr>
                  <w:szCs w:val="24"/>
                  <w:lang w:eastAsia="lt-LT"/>
                </w:rPr>
                <w:t xml:space="preserve">. Sutikti, kad Valstybės tarnybos departamentas, įgyvendinantis valstybės, kaip viešosios įstaigos </w:t>
              </w:r>
              <w:r>
                <w:rPr>
                  <w:szCs w:val="24"/>
                </w:rPr>
                <w:t xml:space="preserve">Lietuvos viešojo administravimo instituto </w:t>
              </w:r>
              <w:r>
                <w:rPr>
                  <w:szCs w:val="24"/>
                  <w:lang w:eastAsia="lt-LT"/>
                </w:rPr>
                <w:t>savininkės, turtines ir neturtines teises ir pareigas, priimtų sprendimą dėl šios įstaigos likvidavimo.</w:t>
              </w:r>
            </w:p>
          </w:sdtContent>
        </w:sdt>
        <w:sdt>
          <w:sdtPr>
            <w:alias w:val="2 p."/>
            <w:tag w:val="part_ebb013e9a3d94f9e93b6260fc5b001bf"/>
            <w:lock w:val="sdtLocked"/>
            <w:richText/>
          </w:sdtPr>
          <w:sdtContent>
            <w:p w14:paraId="23A96051" w14:textId="5A266CA9">
              <w:pPr>
                <w:shd w:val="clear" w:color="auto" w:fill="FFFFFF"/>
                <w:tabs>
                  <w:tab w:val="left" w:pos="1134"/>
                </w:tabs>
                <w:spacing w:line="360" w:lineRule="atLeast"/>
                <w:ind w:firstLine="720"/>
                <w:jc w:val="both"/>
                <w:rPr>
                  <w:szCs w:val="24"/>
                  <w:lang w:eastAsia="lt-LT"/>
                </w:rPr>
              </w:pPr>
              <w:sdt>
                <w:sdtPr>
                  <w:alias w:val="Numeris"/>
                  <w:tag w:val="nr_ebb013e9a3d94f9e93b6260fc5b001bf"/>
                  <w:lock w:val="sdtLocked"/>
                  <w:richText/>
                </w:sdtPr>
                <w:sdtContent>
                  <w:r>
                    <w:rPr>
                      <w:szCs w:val="24"/>
                      <w:lang w:eastAsia="lt-LT"/>
                    </w:rPr>
                    <w:t>2</w:t>
                  </w:r>
                </w:sdtContent>
              </w:sdt>
              <w:r>
                <w:rPr>
                  <w:szCs w:val="24"/>
                  <w:lang w:eastAsia="lt-LT"/>
                </w:rPr>
                <w:t xml:space="preserve">. Nustatyti, kad valstybei, kaip likviduojamos viešosios įstaigos </w:t>
              </w:r>
              <w:r>
                <w:rPr>
                  <w:szCs w:val="24"/>
                </w:rPr>
                <w:t>Lietuvos viešojo administravimo instituto</w:t>
              </w:r>
              <w:r>
                <w:rPr>
                  <w:szCs w:val="24"/>
                  <w:lang w:eastAsia="lt-LT"/>
                </w:rPr>
                <w:t xml:space="preserve"> savininkei, tenkantis </w:t>
              </w:r>
              <w:r>
                <w:t xml:space="preserve">ilgalaikis materialusis, nematerialusis ir trumpalaikis materialusis turtas perduodamas patikėjimo teise biudžetinei įstaigai </w:t>
              </w:r>
              <w:r>
                <w:rPr>
                  <w:szCs w:val="24"/>
                  <w:lang w:eastAsia="lt-LT"/>
                </w:rPr>
                <w:t xml:space="preserve">Valstybės tarnybos departamentui. </w:t>
              </w:r>
            </w:p>
            <w:p w14:paraId="23A96052" w14:textId="77777777">
              <w:pPr>
                <w:shd w:val="clear" w:color="auto" w:fill="FFFFFF"/>
                <w:ind w:firstLine="720"/>
                <w:jc w:val="both"/>
                <w:rPr>
                  <w:szCs w:val="24"/>
                  <w:lang w:eastAsia="lt-LT"/>
                </w:rPr>
              </w:pPr>
            </w:p>
            <w:p w14:paraId="23A96053" w14:textId="77777777">
              <w:pPr>
                <w:tabs>
                  <w:tab w:val="left" w:pos="993"/>
                  <w:tab w:val="num" w:pos="1134"/>
                </w:tabs>
                <w:spacing w:line="288" w:lineRule="auto"/>
                <w:jc w:val="both"/>
                <w:rPr>
                  <w:szCs w:val="24"/>
                  <w:lang w:eastAsia="lt-LT"/>
                </w:rPr>
              </w:pPr>
            </w:p>
            <w:p w14:paraId="23A96054" w14:textId="77777777">
              <w:pPr>
                <w:tabs>
                  <w:tab w:val="left" w:pos="993"/>
                  <w:tab w:val="num" w:pos="1134"/>
                </w:tabs>
                <w:spacing w:line="288" w:lineRule="auto"/>
                <w:jc w:val="both"/>
                <w:rPr>
                  <w:szCs w:val="24"/>
                  <w:lang w:eastAsia="lt-LT"/>
                </w:rPr>
              </w:pPr>
            </w:p>
          </w:sdtContent>
        </w:sdt>
        <w:sdt>
          <w:sdtPr>
            <w:alias w:val="signatura"/>
            <w:tag w:val="part_72c45e0218954cf4b3047193b17bb3df"/>
            <w:lock w:val="sdtLocked"/>
            <w:richText/>
          </w:sdtPr>
          <w:sdtContent>
            <w:p w14:paraId="23A96055" w14:textId="77777777">
              <w:pPr>
                <w:tabs>
                  <w:tab w:val="left" w:pos="993"/>
                  <w:tab w:val="left" w:pos="6237"/>
                </w:tabs>
                <w:spacing w:line="288" w:lineRule="auto"/>
                <w:rPr>
                  <w:lang w:eastAsia="lt-LT"/>
                </w:rPr>
              </w:pPr>
              <w:r>
                <w:rPr>
                  <w:lang w:eastAsia="lt-LT"/>
                </w:rPr>
                <w:t>Ministras Pirmininkas</w:t>
              </w:r>
            </w:p>
            <w:p w14:paraId="23A96056" w14:textId="77777777">
              <w:pPr>
                <w:tabs>
                  <w:tab w:val="left" w:pos="993"/>
                  <w:tab w:val="left" w:pos="6804"/>
                </w:tabs>
                <w:spacing w:line="288" w:lineRule="auto"/>
                <w:rPr>
                  <w:szCs w:val="24"/>
                </w:rPr>
              </w:pPr>
            </w:p>
            <w:p w14:paraId="23A96057" w14:textId="77777777">
              <w:pPr>
                <w:tabs>
                  <w:tab w:val="left" w:pos="993"/>
                  <w:tab w:val="left" w:pos="6804"/>
                </w:tabs>
                <w:spacing w:line="288" w:lineRule="auto"/>
                <w:rPr>
                  <w:szCs w:val="24"/>
                </w:rPr>
              </w:pPr>
            </w:p>
            <w:p w14:paraId="6B892436" w14:textId="77777777">
              <w:pPr>
                <w:tabs>
                  <w:tab w:val="left" w:pos="993"/>
                  <w:tab w:val="left" w:pos="6804"/>
                </w:tabs>
                <w:spacing w:line="288" w:lineRule="auto"/>
                <w:rPr>
                  <w:szCs w:val="24"/>
                </w:rPr>
              </w:pPr>
            </w:p>
            <w:p w14:paraId="23A96058" w14:textId="77777777">
              <w:pPr>
                <w:tabs>
                  <w:tab w:val="left" w:pos="993"/>
                  <w:tab w:val="left" w:pos="6237"/>
                </w:tabs>
                <w:spacing w:line="288" w:lineRule="auto"/>
                <w:rPr>
                  <w:lang w:eastAsia="lt-LT"/>
                </w:rPr>
              </w:pPr>
              <w:r>
                <w:rPr>
                  <w:lang w:eastAsia="lt-LT"/>
                </w:rPr>
                <w:t>Vidaus reikalų ministras</w:t>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284" w:gutter="0"/>
      <w:cols w:space="708"/>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4CE00" w14:textId="77777777">
      <w:pPr>
        <w:rPr>
          <w:szCs w:val="24"/>
          <w:lang w:val="en-GB"/>
        </w:rPr>
      </w:pPr>
      <w:r>
        <w:rPr>
          <w:szCs w:val="24"/>
          <w:lang w:val="en-GB"/>
        </w:rPr>
        <w:separator/>
      </w:r>
    </w:p>
  </w:endnote>
  <w:endnote w:type="continuationSeparator" w:id="0">
    <w:p w14:paraId="46DC9981" w14:textId="77777777">
      <w:pPr>
        <w:rPr>
          <w:szCs w:val="24"/>
          <w:lang w:val="en-GB"/>
        </w:rPr>
      </w:pPr>
      <w:r>
        <w:rPr>
          <w:szCs w:val="24"/>
          <w:lang w:val="en-GB"/>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96061" w14:textId="77777777">
    <w:pPr>
      <w:tabs>
        <w:tab w:val="center" w:pos="4986"/>
        <w:tab w:val="right" w:pos="9972"/>
      </w:tabs>
      <w:rPr>
        <w:szCs w:val="24"/>
        <w:lang w:val="en-GB"/>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96062" w14:textId="77777777">
    <w:pPr>
      <w:tabs>
        <w:tab w:val="center" w:pos="4986"/>
        <w:tab w:val="right" w:pos="9972"/>
      </w:tabs>
      <w:rPr>
        <w:szCs w:val="24"/>
        <w:lang w:val="en-GB"/>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96064" w14:textId="77777777">
    <w:pPr>
      <w:tabs>
        <w:tab w:val="center" w:pos="4986"/>
        <w:tab w:val="right" w:pos="9972"/>
      </w:tabs>
      <w:rPr>
        <w:szCs w:val="24"/>
        <w:lang w:val="en-GB"/>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D069C" w14:textId="77777777">
      <w:pPr>
        <w:rPr>
          <w:szCs w:val="24"/>
          <w:lang w:val="en-GB"/>
        </w:rPr>
      </w:pPr>
      <w:r>
        <w:rPr>
          <w:szCs w:val="24"/>
          <w:lang w:val="en-GB"/>
        </w:rPr>
        <w:separator/>
      </w:r>
    </w:p>
  </w:footnote>
  <w:footnote w:type="continuationSeparator" w:id="0">
    <w:p w14:paraId="6F37D8B0" w14:textId="77777777">
      <w:pPr>
        <w:rPr>
          <w:szCs w:val="24"/>
          <w:lang w:val="en-GB"/>
        </w:rPr>
      </w:pPr>
      <w:r>
        <w:rPr>
          <w:szCs w:val="24"/>
          <w:lang w:val="en-GB"/>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9605D" w14:textId="7777777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23A9605E" w14:textId="77777777">
    <w:pPr>
      <w:tabs>
        <w:tab w:val="center" w:pos="4153"/>
        <w:tab w:val="right" w:pos="8306"/>
      </w:tabs>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9605F" w14:textId="7777777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14:paraId="23A96060" w14:textId="77777777">
    <w:pPr>
      <w:tabs>
        <w:tab w:val="center" w:pos="4153"/>
        <w:tab w:val="right" w:pos="8306"/>
      </w:tabs>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96063"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96044"/>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38366295">
      <w:bodyDiv w:val="1"/>
      <w:marLeft w:val="0"/>
      <w:marRight w:val="0"/>
      <w:marTop w:val="0"/>
      <w:marBottom w:val="0"/>
      <w:divBdr>
        <w:top w:val="none" w:sz="0" w:space="0" w:color="auto"/>
        <w:left w:val="none" w:sz="0" w:space="0" w:color="auto"/>
        <w:bottom w:val="none" w:sz="0" w:space="0" w:color="auto"/>
        <w:right w:val="none" w:sz="0" w:space="0" w:color="auto"/>
      </w:divBdr>
    </w:div>
    <w:div w:id="1297833478">
      <w:bodyDiv w:val="1"/>
      <w:marLeft w:val="0"/>
      <w:marRight w:val="0"/>
      <w:marTop w:val="0"/>
      <w:marBottom w:val="0"/>
      <w:divBdr>
        <w:top w:val="none" w:sz="0" w:space="0" w:color="auto"/>
        <w:left w:val="none" w:sz="0" w:space="0" w:color="auto"/>
        <w:bottom w:val="none" w:sz="0" w:space="0" w:color="auto"/>
        <w:right w:val="none" w:sz="0" w:space="0" w:color="auto"/>
      </w:divBdr>
    </w:div>
    <w:div w:id="1762989323">
      <w:bodyDiv w:val="1"/>
      <w:marLeft w:val="0"/>
      <w:marRight w:val="0"/>
      <w:marTop w:val="0"/>
      <w:marBottom w:val="0"/>
      <w:divBdr>
        <w:top w:val="none" w:sz="0" w:space="0" w:color="auto"/>
        <w:left w:val="none" w:sz="0" w:space="0" w:color="auto"/>
        <w:bottom w:val="none" w:sz="0" w:space="0" w:color="auto"/>
        <w:right w:val="none" w:sz="0" w:space="0" w:color="auto"/>
      </w:divBdr>
    </w:div>
    <w:div w:id="19455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d723a02623d645c084e456ba5d0e27e5" PartId="d537007bfe514a45b953765f1d7a5315">
    <Part Type="preambule" DocPartId="4046355060fb464480d8a5d5ebe20493" PartId="df043051aca94bc9b59d2b54f9ffeca6"/>
    <Part Type="punktas" Nr="1" Abbr="1 p." DocPartId="2b5efbfa977742148514c1c29d508c4d" PartId="efbf57a1c7b34d2195fbf548fb482727"/>
    <Part Type="punktas" Nr="2" Abbr="2 p." DocPartId="a5016c3f305a455f849e4f6d5467d8b8" PartId="ebb013e9a3d94f9e93b6260fc5b001bf"/>
    <Part Type="signatura" DocPartId="4663099f189c4729b746ef3dc4b4bfbe" PartId="72c45e0218954cf4b3047193b17bb3df"/>
  </Part>
</Parts>
</file>

<file path=customXml/itemProps1.xml><?xml version="1.0" encoding="utf-8"?>
<ds:datastoreItem xmlns:ds="http://schemas.openxmlformats.org/officeDocument/2006/customXml" ds:itemID="{C499F486-023D-4604-84FE-6E11CF49AA50}">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1029</Characters>
  <Application>Microsoft Office Word</Application>
  <DocSecurity>4</DocSecurity>
  <Lines>33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Projektas-2</vt:lpstr>
      <vt:lpstr>Projektas-2</vt:lpstr>
    </vt:vector>
  </TitlesOfParts>
  <Company>Hewlett-Packard Company</Company>
  <LinksUpToDate>false</LinksUpToDate>
  <CharactersWithSpaces>1143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2018-10-23T06:50:00Z</dcterms:created>
  <dc:creator>j.kontutiene</dc:creator>
  <cp:lastModifiedBy>Asseco</cp:lastModifiedBy>
  <cp:lastPrinted>2018-08-29T05:42:00Z</cp:lastPrinted>
  <dcterms:modified xsi:type="dcterms:W3CDTF">2018-10-23T06:50:00Z</dcterms:modified>
  <cp:revision>2</cp:revision>
  <dc:title>Projektas-2</dc:title>
</cp:coreProperties>
</file>