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72E" w:rsidRPr="002F66D9" w:rsidRDefault="009709C9" w:rsidP="001E6EB1">
      <w:pPr>
        <w:jc w:val="center"/>
        <w:rPr>
          <w:b/>
          <w:caps/>
          <w:noProof w:val="0"/>
        </w:rPr>
      </w:pPr>
      <w:r w:rsidRPr="002F66D9">
        <w:rPr>
          <w:b/>
          <w:caps/>
          <w:noProof w:val="0"/>
        </w:rPr>
        <w:t xml:space="preserve">derinimo </w:t>
      </w:r>
      <w:r w:rsidR="006B772E" w:rsidRPr="002F66D9">
        <w:rPr>
          <w:b/>
          <w:caps/>
          <w:noProof w:val="0"/>
        </w:rPr>
        <w:t>PAŽYMA</w:t>
      </w:r>
    </w:p>
    <w:p w:rsidR="00824B17" w:rsidRPr="00D52E3A" w:rsidRDefault="00D52E3A" w:rsidP="00D02754">
      <w:pPr>
        <w:jc w:val="center"/>
        <w:rPr>
          <w:rStyle w:val="Grietas"/>
          <w:b w:val="0"/>
          <w:bCs w:val="0"/>
          <w:color w:val="auto"/>
        </w:rPr>
      </w:pPr>
      <w:r w:rsidRPr="00D52E3A">
        <w:rPr>
          <w:rStyle w:val="Grietas"/>
          <w:color w:val="auto"/>
        </w:rPr>
        <w:t>DĖL</w:t>
      </w:r>
      <w:r w:rsidRPr="00D52E3A">
        <w:rPr>
          <w:rStyle w:val="Grietas"/>
          <w:b w:val="0"/>
        </w:rPr>
        <w:t xml:space="preserve"> </w:t>
      </w:r>
      <w:r w:rsidRPr="00D52E3A">
        <w:rPr>
          <w:b/>
        </w:rPr>
        <w:t xml:space="preserve">LIETUVOS RESPUBLIKOS VYRIAUSYBĖS NUTARIMO „DĖL LIETUVOS RESPUBLIKOS VYRIAUSYBĖS 2016 M. BALANDŽIO 13 D. NUTARIMO NR. 364 </w:t>
      </w:r>
      <w:r w:rsidRPr="00D52E3A">
        <w:rPr>
          <w:rStyle w:val="clear1"/>
          <w:b/>
          <w:color w:val="000000"/>
        </w:rPr>
        <w:t xml:space="preserve">„DĖL UŽ ANTRINĖS TEISINĖS PAGALBOS TEIKIMĄ, KOORDINAVIMĄ IR </w:t>
      </w:r>
      <w:r w:rsidR="00D445DD">
        <w:rPr>
          <w:rStyle w:val="clear1"/>
          <w:b/>
          <w:color w:val="000000"/>
        </w:rPr>
        <w:t>MEDIACIJĄ</w:t>
      </w:r>
      <w:r w:rsidR="00D445DD" w:rsidRPr="00D52E3A">
        <w:rPr>
          <w:rStyle w:val="clear1"/>
          <w:b/>
          <w:color w:val="000000"/>
        </w:rPr>
        <w:t xml:space="preserve"> </w:t>
      </w:r>
      <w:r w:rsidRPr="00D52E3A">
        <w:rPr>
          <w:rStyle w:val="clear1"/>
          <w:b/>
          <w:color w:val="000000"/>
        </w:rPr>
        <w:t>MOKAMO UŽMOKESČIO DYDŽIŲ IR MOKĖJIMO TAISYKLIŲ PATVIRTINIMO“ PAKEITIMO“</w:t>
      </w:r>
      <w:r w:rsidRPr="00D52E3A">
        <w:rPr>
          <w:b/>
        </w:rPr>
        <w:t xml:space="preserve">  PROJEKTO (TAP NR.</w:t>
      </w:r>
      <w:r w:rsidRPr="00D52E3A">
        <w:t xml:space="preserve"> </w:t>
      </w:r>
      <w:r w:rsidRPr="00D52E3A">
        <w:rPr>
          <w:b/>
        </w:rPr>
        <w:t>19-5396)</w:t>
      </w:r>
    </w:p>
    <w:p w:rsidR="00BB2917" w:rsidRDefault="00BB2917" w:rsidP="001E6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noProof w:val="0"/>
        </w:rPr>
      </w:pPr>
    </w:p>
    <w:p w:rsidR="006B772E" w:rsidRPr="00AA683D" w:rsidRDefault="006B772E" w:rsidP="001E6EB1">
      <w:pPr>
        <w:pStyle w:val="tekstas"/>
        <w:spacing w:before="0" w:beforeAutospacing="0" w:after="0" w:afterAutospacing="0"/>
        <w:rPr>
          <w:b/>
          <w:caps/>
        </w:rPr>
      </w:pPr>
    </w:p>
    <w:tbl>
      <w:tblPr>
        <w:tblW w:w="1573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7315"/>
        <w:gridCol w:w="6096"/>
      </w:tblGrid>
      <w:tr w:rsidR="002B0A72" w:rsidRPr="00192DB8" w:rsidTr="00ED45BB">
        <w:trPr>
          <w:trHeight w:val="49"/>
        </w:trPr>
        <w:tc>
          <w:tcPr>
            <w:tcW w:w="2324" w:type="dxa"/>
          </w:tcPr>
          <w:p w:rsidR="006B772E" w:rsidRPr="00192DB8" w:rsidRDefault="006B772E" w:rsidP="00192DB8">
            <w:pPr>
              <w:jc w:val="center"/>
              <w:rPr>
                <w:noProof w:val="0"/>
              </w:rPr>
            </w:pPr>
            <w:r w:rsidRPr="00192DB8">
              <w:rPr>
                <w:b/>
                <w:noProof w:val="0"/>
              </w:rPr>
              <w:t>Institucijos pavadinimas (rašto data ir Nr.)</w:t>
            </w:r>
          </w:p>
        </w:tc>
        <w:tc>
          <w:tcPr>
            <w:tcW w:w="7315" w:type="dxa"/>
          </w:tcPr>
          <w:p w:rsidR="006B772E" w:rsidRPr="00192DB8" w:rsidRDefault="006B772E" w:rsidP="00192DB8">
            <w:pPr>
              <w:jc w:val="center"/>
              <w:rPr>
                <w:noProof w:val="0"/>
              </w:rPr>
            </w:pPr>
            <w:r w:rsidRPr="00192DB8">
              <w:rPr>
                <w:b/>
                <w:noProof w:val="0"/>
              </w:rPr>
              <w:t>Pasiūlymas/pastaba</w:t>
            </w:r>
          </w:p>
        </w:tc>
        <w:tc>
          <w:tcPr>
            <w:tcW w:w="6096" w:type="dxa"/>
          </w:tcPr>
          <w:p w:rsidR="006B772E" w:rsidRPr="00192DB8" w:rsidRDefault="006B772E" w:rsidP="00192DB8">
            <w:pPr>
              <w:jc w:val="center"/>
              <w:rPr>
                <w:b/>
                <w:noProof w:val="0"/>
              </w:rPr>
            </w:pPr>
            <w:r w:rsidRPr="00192DB8">
              <w:rPr>
                <w:b/>
                <w:noProof w:val="0"/>
              </w:rPr>
              <w:t>Komentarai</w:t>
            </w:r>
          </w:p>
          <w:p w:rsidR="006B772E" w:rsidRPr="00192DB8" w:rsidRDefault="006B772E" w:rsidP="00192DB8">
            <w:pPr>
              <w:jc w:val="center"/>
              <w:rPr>
                <w:noProof w:val="0"/>
              </w:rPr>
            </w:pPr>
          </w:p>
        </w:tc>
      </w:tr>
      <w:tr w:rsidR="00462F9F" w:rsidRPr="00192DB8" w:rsidTr="00ED45BB">
        <w:trPr>
          <w:trHeight w:val="49"/>
        </w:trPr>
        <w:tc>
          <w:tcPr>
            <w:tcW w:w="2324" w:type="dxa"/>
          </w:tcPr>
          <w:p w:rsidR="00462F9F" w:rsidRPr="00192DB8" w:rsidRDefault="00462F9F" w:rsidP="00462F9F">
            <w:pPr>
              <w:jc w:val="both"/>
            </w:pPr>
            <w:r w:rsidRPr="00192DB8">
              <w:t>Valstybės garantuojamos teisinės pagalbos tarnybos 2019-05-16 rašas Nr. (1.21)NO-2-3026</w:t>
            </w:r>
          </w:p>
        </w:tc>
        <w:tc>
          <w:tcPr>
            <w:tcW w:w="7315" w:type="dxa"/>
          </w:tcPr>
          <w:p w:rsidR="00462F9F" w:rsidRPr="00192DB8" w:rsidRDefault="00462F9F" w:rsidP="00462F9F">
            <w:pPr>
              <w:pStyle w:val="Betarp"/>
              <w:ind w:firstLine="7"/>
              <w:jc w:val="both"/>
              <w:rPr>
                <w:rFonts w:ascii="Times New Roman" w:hAnsi="Times New Roman"/>
                <w:sz w:val="24"/>
                <w:szCs w:val="24"/>
              </w:rPr>
            </w:pPr>
            <w:r w:rsidRPr="00192DB8">
              <w:rPr>
                <w:rFonts w:ascii="Times New Roman" w:eastAsia="Times New Roman" w:hAnsi="Times New Roman"/>
                <w:sz w:val="24"/>
                <w:szCs w:val="24"/>
                <w:lang w:eastAsia="lt-LT"/>
              </w:rPr>
              <w:t>Projekto 1.1. papunktyje, kuriuo keičiamas minimo teisės akto 4 punktas, nurodyta, kad &lt;...</w:t>
            </w:r>
            <w:r w:rsidRPr="00192DB8">
              <w:rPr>
                <w:rFonts w:ascii="Times New Roman" w:eastAsia="Times New Roman" w:hAnsi="Times New Roman"/>
                <w:i/>
                <w:sz w:val="24"/>
                <w:szCs w:val="24"/>
                <w:lang w:eastAsia="lt-LT"/>
              </w:rPr>
              <w:t>Jeigu be svarbių (objektyvių ir nuo advokato valios nepriklausančių) priežasčių advokatas nevykdo Lietuvos Respublikos valstybės garantuojamos teisinės pagalbos įstatymo 23 straipsnio 2 dalyje nustatytos pareigos arba nepateikia teismui duomenų apie apskaičiuotas antrinės teisinės pagalbos išlaidas, Valstybės garantuojamos teisinės pagalbos tarnyba (toliau – tarnyba) priima sprendimą sumažinti jam užmokestį 30 procentų arba jo nemokėti.</w:t>
            </w:r>
            <w:r w:rsidRPr="00192DB8">
              <w:rPr>
                <w:rFonts w:ascii="Times New Roman" w:eastAsia="Times New Roman" w:hAnsi="Times New Roman"/>
                <w:sz w:val="24"/>
                <w:szCs w:val="24"/>
                <w:lang w:eastAsia="lt-LT"/>
              </w:rPr>
              <w:t xml:space="preserve">..&gt;. </w:t>
            </w:r>
          </w:p>
          <w:p w:rsidR="00462F9F" w:rsidRPr="00192DB8" w:rsidRDefault="00462F9F" w:rsidP="005315B7">
            <w:pPr>
              <w:pStyle w:val="Betarp"/>
              <w:tabs>
                <w:tab w:val="left" w:pos="1560"/>
              </w:tabs>
              <w:ind w:firstLine="7"/>
              <w:jc w:val="both"/>
              <w:rPr>
                <w:rFonts w:ascii="Times New Roman" w:hAnsi="Times New Roman"/>
                <w:sz w:val="24"/>
                <w:szCs w:val="24"/>
              </w:rPr>
            </w:pPr>
            <w:r w:rsidRPr="00192DB8">
              <w:rPr>
                <w:rFonts w:ascii="Times New Roman" w:eastAsia="Times New Roman" w:hAnsi="Times New Roman"/>
                <w:sz w:val="24"/>
                <w:szCs w:val="24"/>
                <w:lang w:eastAsia="lt-LT"/>
              </w:rPr>
              <w:t>Nuolatiniams advokatams kiekvieną mėnesį mokamas fiksuotas užmokestis</w:t>
            </w:r>
            <w:r w:rsidR="005315B7">
              <w:rPr>
                <w:rFonts w:ascii="Times New Roman" w:eastAsia="Times New Roman" w:hAnsi="Times New Roman"/>
                <w:sz w:val="24"/>
                <w:szCs w:val="24"/>
                <w:lang w:eastAsia="lt-LT"/>
              </w:rPr>
              <w:t xml:space="preserve"> (</w:t>
            </w:r>
            <w:r w:rsidRPr="00192DB8">
              <w:rPr>
                <w:rFonts w:ascii="Times New Roman" w:eastAsia="Times New Roman" w:hAnsi="Times New Roman"/>
                <w:i/>
                <w:sz w:val="24"/>
                <w:szCs w:val="24"/>
                <w:lang w:eastAsia="lt-LT"/>
              </w:rPr>
              <w:t xml:space="preserve"> </w:t>
            </w:r>
            <w:r w:rsidR="005315B7" w:rsidRPr="00192DB8">
              <w:rPr>
                <w:rFonts w:ascii="Times New Roman" w:eastAsia="Times New Roman" w:hAnsi="Times New Roman"/>
                <w:sz w:val="24"/>
                <w:szCs w:val="24"/>
                <w:lang w:eastAsia="lt-LT"/>
              </w:rPr>
              <w:t xml:space="preserve">163,6 UBD </w:t>
            </w:r>
            <w:r w:rsidR="005315B7">
              <w:rPr>
                <w:rFonts w:ascii="Times New Roman" w:eastAsia="Times New Roman" w:hAnsi="Times New Roman"/>
                <w:sz w:val="24"/>
                <w:szCs w:val="24"/>
                <w:lang w:eastAsia="lt-LT"/>
              </w:rPr>
              <w:t xml:space="preserve">(2126, 8 Eur </w:t>
            </w:r>
            <w:r w:rsidR="005315B7" w:rsidRPr="00192DB8">
              <w:rPr>
                <w:rFonts w:ascii="Times New Roman" w:eastAsia="Times New Roman" w:hAnsi="Times New Roman"/>
                <w:sz w:val="24"/>
                <w:szCs w:val="24"/>
                <w:lang w:eastAsia="lt-LT"/>
              </w:rPr>
              <w:t>užmokestis</w:t>
            </w:r>
            <w:r w:rsidR="005315B7">
              <w:rPr>
                <w:rFonts w:ascii="Times New Roman" w:eastAsia="Times New Roman" w:hAnsi="Times New Roman"/>
                <w:sz w:val="24"/>
                <w:szCs w:val="24"/>
                <w:lang w:eastAsia="lt-LT"/>
              </w:rPr>
              <w:t xml:space="preserve">) </w:t>
            </w:r>
            <w:r w:rsidR="005315B7" w:rsidRPr="00192DB8">
              <w:rPr>
                <w:rFonts w:ascii="Times New Roman" w:eastAsia="Times New Roman" w:hAnsi="Times New Roman"/>
                <w:sz w:val="24"/>
                <w:szCs w:val="24"/>
                <w:lang w:eastAsia="lt-LT"/>
              </w:rPr>
              <w:t xml:space="preserve"> </w:t>
            </w:r>
            <w:r w:rsidRPr="00192DB8">
              <w:rPr>
                <w:rFonts w:ascii="Times New Roman" w:eastAsia="Times New Roman" w:hAnsi="Times New Roman"/>
                <w:sz w:val="24"/>
                <w:szCs w:val="24"/>
                <w:lang w:eastAsia="lt-LT"/>
              </w:rPr>
              <w:t>ir 30 procentų nuo advokato gaunamo užmokesčio sudarytų konkreti suma – 638,04 Eur. Tarnyba mano, kad numatomas 30 procentų užmokesčio už suteiktą teisinę pagalbą sumažinimas arba jo nemokėjimas</w:t>
            </w:r>
            <w:r w:rsidR="005315B7">
              <w:rPr>
                <w:rFonts w:ascii="Times New Roman" w:eastAsia="Times New Roman" w:hAnsi="Times New Roman"/>
                <w:sz w:val="24"/>
                <w:szCs w:val="24"/>
                <w:lang w:eastAsia="lt-LT"/>
              </w:rPr>
              <w:t xml:space="preserve"> &lt;...&gt; </w:t>
            </w:r>
            <w:r w:rsidRPr="00192DB8">
              <w:rPr>
                <w:rFonts w:ascii="Times New Roman" w:eastAsia="Times New Roman" w:hAnsi="Times New Roman"/>
                <w:sz w:val="24"/>
                <w:szCs w:val="24"/>
                <w:lang w:eastAsia="lt-LT"/>
              </w:rPr>
              <w:t xml:space="preserve"> būtų neproporcingas ir neadekvatus galimai žalai. Pavyzdžiui, gavus advokato duomenis, paaiškėja, kad antrinės teisinės pagalbos išlaidų suma už konkrečiam asmeniui suteiktą antrinę teisinę pagalbą sudaro 100 Eur, o advokatui dėl jo kaltės (išskyrus objektyvias priežastis) nepateikus teismui duomenų apie apskaičiuotas antrinės teisinės pagalbos išlaidas ir nesant galimybės Tarnybai inicijuoti šių išlaidų priteisimo iš kitos šalies procedūros, Tarnyba turėtų nemokėti 30 procentų užmokesčio už suteiktą antrinę teisinę pagalbą. Tarnybos nuomone, </w:t>
            </w:r>
            <w:r w:rsidRPr="00192DB8">
              <w:rPr>
                <w:rFonts w:ascii="Times New Roman" w:hAnsi="Times New Roman"/>
                <w:sz w:val="24"/>
                <w:szCs w:val="24"/>
              </w:rPr>
              <w:t xml:space="preserve">kad būtų užtikrinti proporcingumo, teisingo apmokėjimo nuolatiniams advokatams principai, objektyviausias užmokesčio sumažinimas būtų toks, jei būtų nemokama advokatui užmokesčio dalis lygi valstybės patirtų </w:t>
            </w:r>
            <w:r w:rsidRPr="00192DB8">
              <w:rPr>
                <w:rFonts w:ascii="Times New Roman" w:eastAsia="Times New Roman" w:hAnsi="Times New Roman"/>
                <w:sz w:val="24"/>
                <w:szCs w:val="24"/>
                <w:lang w:eastAsia="lt-LT"/>
              </w:rPr>
              <w:t xml:space="preserve">antrinės teisinės pagalbos išlaidų </w:t>
            </w:r>
            <w:r w:rsidRPr="00192DB8">
              <w:rPr>
                <w:rFonts w:ascii="Times New Roman" w:eastAsia="Times New Roman" w:hAnsi="Times New Roman"/>
                <w:sz w:val="24"/>
                <w:szCs w:val="24"/>
                <w:lang w:eastAsia="lt-LT"/>
              </w:rPr>
              <w:lastRenderedPageBreak/>
              <w:t>sumai, kuri nebuvo priteista iš priešingos šalies dėl duomenų nepateikimo, bet ne daugiau kaip 30 procentų užmokesčio.</w:t>
            </w:r>
          </w:p>
        </w:tc>
        <w:tc>
          <w:tcPr>
            <w:tcW w:w="6096" w:type="dxa"/>
          </w:tcPr>
          <w:p w:rsidR="00462F9F" w:rsidRDefault="00462F9F" w:rsidP="00462F9F">
            <w:pPr>
              <w:jc w:val="both"/>
              <w:rPr>
                <w:b/>
                <w:noProof w:val="0"/>
              </w:rPr>
            </w:pPr>
            <w:r>
              <w:rPr>
                <w:b/>
                <w:noProof w:val="0"/>
              </w:rPr>
              <w:lastRenderedPageBreak/>
              <w:t xml:space="preserve">Atsižvelgta iš dalies. </w:t>
            </w:r>
          </w:p>
          <w:p w:rsidR="00462F9F" w:rsidRPr="00192DB8" w:rsidRDefault="00462F9F" w:rsidP="002E28B5">
            <w:pPr>
              <w:jc w:val="both"/>
              <w:rPr>
                <w:b/>
                <w:noProof w:val="0"/>
              </w:rPr>
            </w:pPr>
            <w:r>
              <w:rPr>
                <w:noProof w:val="0"/>
              </w:rPr>
              <w:t>Atsižvelgiant į proporcingumo principą, siūloma n</w:t>
            </w:r>
            <w:r w:rsidRPr="002A5B77">
              <w:rPr>
                <w:noProof w:val="0"/>
              </w:rPr>
              <w:t>umatyti, kad „</w:t>
            </w:r>
            <w:r w:rsidRPr="002A5B77">
              <w:rPr>
                <w:i/>
                <w:noProof w:val="0"/>
              </w:rPr>
              <w:t xml:space="preserve">Jeigu be svarbių (objektyvių ir nuo advokato valios nepriklausančių) priežasčių advokatas nevykdo Lietuvos Respublikos valstybės garantuojamos </w:t>
            </w:r>
            <w:r w:rsidRPr="004A2468">
              <w:rPr>
                <w:i/>
                <w:noProof w:val="0"/>
              </w:rPr>
              <w:t xml:space="preserve">teisinės pagalbos įstatymo 23 straipsnio 2 dalyje nustatytos pareigos arba nepateikia teismui duomenų apie apskaičiuotas antrinės teisinės pagalbos išlaidas, Valstybės garantuojamos teisinės pagalbos tarnyba (toliau – tarnyba) priima sprendimą nemokėti </w:t>
            </w:r>
            <w:r w:rsidRPr="004A2468">
              <w:rPr>
                <w:i/>
              </w:rPr>
              <w:t>advokatui užmokesčio dalies, lygios valstybės patirtų antrinės t</w:t>
            </w:r>
            <w:r w:rsidR="002E28B5" w:rsidRPr="004A2468">
              <w:rPr>
                <w:i/>
              </w:rPr>
              <w:t>eisinės pagalbos išlaidų sumai.</w:t>
            </w:r>
          </w:p>
        </w:tc>
      </w:tr>
      <w:tr w:rsidR="00462F9F" w:rsidRPr="00192DB8" w:rsidTr="00ED45BB">
        <w:trPr>
          <w:trHeight w:val="49"/>
        </w:trPr>
        <w:tc>
          <w:tcPr>
            <w:tcW w:w="2324" w:type="dxa"/>
          </w:tcPr>
          <w:p w:rsidR="00462F9F" w:rsidRPr="00192DB8" w:rsidRDefault="00462F9F" w:rsidP="00462F9F">
            <w:pPr>
              <w:jc w:val="both"/>
            </w:pPr>
          </w:p>
        </w:tc>
        <w:tc>
          <w:tcPr>
            <w:tcW w:w="7315" w:type="dxa"/>
          </w:tcPr>
          <w:p w:rsidR="00462F9F" w:rsidRPr="00192DB8" w:rsidRDefault="00462F9F" w:rsidP="00462F9F">
            <w:pPr>
              <w:pStyle w:val="Betarp"/>
              <w:tabs>
                <w:tab w:val="left" w:pos="993"/>
                <w:tab w:val="left" w:pos="1560"/>
              </w:tabs>
              <w:suppressAutoHyphens/>
              <w:autoSpaceDN w:val="0"/>
              <w:jc w:val="both"/>
              <w:textAlignment w:val="baseline"/>
              <w:rPr>
                <w:rFonts w:ascii="Times New Roman" w:hAnsi="Times New Roman"/>
                <w:sz w:val="24"/>
                <w:szCs w:val="24"/>
                <w:lang w:eastAsia="lt-LT"/>
              </w:rPr>
            </w:pPr>
            <w:r w:rsidRPr="00192DB8">
              <w:rPr>
                <w:rFonts w:ascii="Times New Roman" w:hAnsi="Times New Roman"/>
                <w:sz w:val="24"/>
                <w:szCs w:val="24"/>
                <w:lang w:eastAsia="lt-LT"/>
              </w:rPr>
              <w:t>Projekto priede nurodoma kelionės atstumų (km) lentelė, kurioje nurodyti ne visi Lietuvos Respublikos miestai. Atsižvelgiant į tai, siūloma įtraukti Kalvarijos miestą (Lentelė Nr. 1 pridedama).</w:t>
            </w:r>
          </w:p>
          <w:p w:rsidR="00462F9F" w:rsidRPr="00192DB8" w:rsidRDefault="00462F9F" w:rsidP="00462F9F">
            <w:pPr>
              <w:pStyle w:val="Betarp"/>
              <w:tabs>
                <w:tab w:val="left" w:pos="851"/>
                <w:tab w:val="left" w:pos="1418"/>
              </w:tabs>
              <w:suppressAutoHyphens/>
              <w:autoSpaceDN w:val="0"/>
              <w:ind w:left="7"/>
              <w:jc w:val="both"/>
              <w:textAlignment w:val="baseline"/>
              <w:rPr>
                <w:rFonts w:ascii="Times New Roman" w:hAnsi="Times New Roman"/>
                <w:sz w:val="24"/>
                <w:szCs w:val="24"/>
              </w:rPr>
            </w:pPr>
            <w:r w:rsidRPr="00192DB8">
              <w:rPr>
                <w:rFonts w:ascii="Times New Roman" w:hAnsi="Times New Roman"/>
                <w:sz w:val="24"/>
                <w:szCs w:val="24"/>
                <w:lang w:eastAsia="lt-LT"/>
              </w:rPr>
              <w:t>Papildomai akcentuotina, kad Tarnyba 2018 m. liepos 24 d. raštu Nr. (1.21)NO-2-5707 pateikė Lietuvos Respublikos teisingumo ministerijai siūlymą dėl kelionėms skirto laiko normatyvo apskaičiavimo. Šiame siūlyme nurodyti argumentai, pagrindžiantys kelionėms į antrinės teisinės pagalbos teikimo ar procesinių veiksmų atlikimo vietą ir atgal skirto laiko normatyvo apskaičiavimo metodikos keitimo poreikį.</w:t>
            </w:r>
          </w:p>
          <w:p w:rsidR="00462F9F" w:rsidRPr="00192DB8" w:rsidRDefault="00462F9F" w:rsidP="00462F9F">
            <w:pPr>
              <w:pStyle w:val="Betarp"/>
              <w:jc w:val="both"/>
              <w:rPr>
                <w:rFonts w:ascii="Times New Roman" w:hAnsi="Times New Roman"/>
                <w:sz w:val="24"/>
                <w:szCs w:val="24"/>
              </w:rPr>
            </w:pPr>
            <w:r w:rsidRPr="00192DB8">
              <w:rPr>
                <w:rFonts w:ascii="Times New Roman" w:hAnsi="Times New Roman"/>
                <w:sz w:val="24"/>
                <w:szCs w:val="24"/>
              </w:rPr>
              <w:t xml:space="preserve">Tarnyba siūlo </w:t>
            </w:r>
            <w:r w:rsidRPr="00192DB8">
              <w:rPr>
                <w:rFonts w:ascii="Times New Roman" w:hAnsi="Times New Roman"/>
                <w:sz w:val="24"/>
                <w:szCs w:val="24"/>
                <w:lang w:eastAsia="lt-LT"/>
              </w:rPr>
              <w:t xml:space="preserve">suvienodinti advokatų nuolat ir prireikus teikiančių antrinę teisinę pagalbą kelionei skirto laiko apskaičiavimo metodiką, ir patvirtinti pridedamus priedus dėl laiko normatyvų, kurie būtų taikomi sugaišto laiko kelionėms, advokatams vykstant į procesinių veiksmų atlikimo vietą ir atgal kitoje Lietuvos Respublikos gyvenamojoje vietoje (Lentelė Nr. 2 ) ir toje pačioje procesinių veiksmų atlikimo vietovėje (Lentelė Nr. 3), apskaičiavimui. </w:t>
            </w:r>
          </w:p>
          <w:p w:rsidR="00462F9F" w:rsidRPr="0025406E" w:rsidRDefault="00462F9F" w:rsidP="00462F9F">
            <w:pPr>
              <w:pStyle w:val="Betarp"/>
              <w:ind w:firstLine="7"/>
              <w:jc w:val="both"/>
              <w:rPr>
                <w:rFonts w:ascii="Times New Roman" w:hAnsi="Times New Roman"/>
                <w:sz w:val="24"/>
                <w:szCs w:val="24"/>
              </w:rPr>
            </w:pPr>
          </w:p>
        </w:tc>
        <w:tc>
          <w:tcPr>
            <w:tcW w:w="6096" w:type="dxa"/>
          </w:tcPr>
          <w:p w:rsidR="00462F9F" w:rsidRDefault="00462F9F" w:rsidP="00462F9F">
            <w:pPr>
              <w:jc w:val="both"/>
              <w:rPr>
                <w:b/>
                <w:noProof w:val="0"/>
              </w:rPr>
            </w:pPr>
            <w:r>
              <w:rPr>
                <w:b/>
                <w:noProof w:val="0"/>
              </w:rPr>
              <w:t>Atsižvelgta iš dalies</w:t>
            </w:r>
            <w:r w:rsidRPr="00192DB8">
              <w:rPr>
                <w:b/>
                <w:noProof w:val="0"/>
              </w:rPr>
              <w:t>.</w:t>
            </w:r>
            <w:r>
              <w:rPr>
                <w:b/>
                <w:noProof w:val="0"/>
              </w:rPr>
              <w:t xml:space="preserve"> </w:t>
            </w:r>
          </w:p>
          <w:p w:rsidR="00462F9F" w:rsidRPr="00D445DD" w:rsidRDefault="00462F9F" w:rsidP="00462F9F">
            <w:pPr>
              <w:jc w:val="both"/>
              <w:rPr>
                <w:noProof w:val="0"/>
              </w:rPr>
            </w:pPr>
            <w:r>
              <w:rPr>
                <w:noProof w:val="0"/>
              </w:rPr>
              <w:t>Taisyklių pried</w:t>
            </w:r>
            <w:r w:rsidR="004A2468">
              <w:rPr>
                <w:noProof w:val="0"/>
              </w:rPr>
              <w:t>o atsisakyt</w:t>
            </w:r>
            <w:r w:rsidR="000533B7">
              <w:rPr>
                <w:noProof w:val="0"/>
              </w:rPr>
              <w:t>a</w:t>
            </w:r>
            <w:r w:rsidR="004A2468">
              <w:rPr>
                <w:noProof w:val="0"/>
              </w:rPr>
              <w:t xml:space="preserve">, numatant, kad kelionės atstumų apskaičiavimui taikoma </w:t>
            </w:r>
            <w:r w:rsidR="004A2468">
              <w:rPr>
                <w:color w:val="000000"/>
              </w:rPr>
              <w:t xml:space="preserve">atstumų tarp Lietuvos miestų ir pasienio kontrolės punktų lentelė, patvirtinta Lietuvos Respublikos susisiekimo ministro </w:t>
            </w:r>
            <w:r w:rsidR="000533B7">
              <w:rPr>
                <w:color w:val="000000"/>
              </w:rPr>
              <w:t>2012-04-23 įsakymu Nr. 3-289</w:t>
            </w:r>
            <w:r>
              <w:rPr>
                <w:noProof w:val="0"/>
              </w:rPr>
              <w:t xml:space="preserve">. </w:t>
            </w:r>
          </w:p>
          <w:p w:rsidR="00462F9F" w:rsidRPr="00192DB8" w:rsidRDefault="00462F9F" w:rsidP="00462F9F">
            <w:pPr>
              <w:jc w:val="both"/>
              <w:rPr>
                <w:noProof w:val="0"/>
              </w:rPr>
            </w:pPr>
            <w:r w:rsidRPr="00192DB8">
              <w:rPr>
                <w:noProof w:val="0"/>
              </w:rPr>
              <w:t xml:space="preserve">Kelionės laiko apskaičiavimas yra ne šio teisės akto reguliavimo dalykas. </w:t>
            </w:r>
          </w:p>
        </w:tc>
      </w:tr>
      <w:tr w:rsidR="00462F9F" w:rsidRPr="00192DB8" w:rsidTr="00ED45BB">
        <w:trPr>
          <w:trHeight w:val="49"/>
        </w:trPr>
        <w:tc>
          <w:tcPr>
            <w:tcW w:w="2324" w:type="dxa"/>
          </w:tcPr>
          <w:p w:rsidR="00462F9F" w:rsidRPr="00192DB8" w:rsidRDefault="00462F9F" w:rsidP="00462F9F">
            <w:pPr>
              <w:jc w:val="both"/>
            </w:pPr>
            <w:r w:rsidRPr="00192DB8">
              <w:t>Lietuvos advokatūros 2019-05-20 raštas Nr. 429</w:t>
            </w:r>
          </w:p>
        </w:tc>
        <w:tc>
          <w:tcPr>
            <w:tcW w:w="7315" w:type="dxa"/>
          </w:tcPr>
          <w:p w:rsidR="00462F9F" w:rsidRDefault="00462F9F" w:rsidP="00462F9F">
            <w:pPr>
              <w:jc w:val="both"/>
            </w:pPr>
            <w:r>
              <w:t>P</w:t>
            </w:r>
            <w:r w:rsidRPr="00216B9F">
              <w:t xml:space="preserve">rojekto </w:t>
            </w:r>
            <w:r>
              <w:t>1.1.</w:t>
            </w:r>
            <w:r w:rsidRPr="00216B9F">
              <w:t xml:space="preserve"> punkte </w:t>
            </w:r>
            <w:r>
              <w:t xml:space="preserve">siūloma pakeisti Taisyklių 4 punktą įtvirtinant, kad, kai be svarbių priežasčių advokatas nevykdo </w:t>
            </w:r>
            <w:r w:rsidRPr="00216B9F">
              <w:t>Lietuvos Respublikos valstybės garantuojamos teisinės pagalbos įstatymo (toliau – VGTĮ)  23 straipsnio 2 dalyje</w:t>
            </w:r>
            <w:r>
              <w:t xml:space="preserve"> nustatytos pareigos arba nepateikia teismui duomenų apie apskaičiuotas antrinės teisinės pagalbos išlaidas</w:t>
            </w:r>
            <w:r w:rsidRPr="00216B9F">
              <w:t>,</w:t>
            </w:r>
            <w:r>
              <w:t xml:space="preserve"> Valstybės garantuojamos teisinės pagalbos tarnyba (toliau – Tarnyba) priima sprendimą sumažinti jam užmokestį 30 procentų arba jo nemokėti. Šiuo metu galiojantis reguliavimas numato Tarnybai teisę sumažinti atlyginimą ribose nuo 10 iki 30 procentų. </w:t>
            </w:r>
          </w:p>
          <w:p w:rsidR="00462F9F" w:rsidRPr="00192DB8" w:rsidRDefault="00462F9F" w:rsidP="00462F9F">
            <w:pPr>
              <w:jc w:val="both"/>
            </w:pPr>
            <w:r>
              <w:t>Manytina</w:t>
            </w:r>
            <w:r w:rsidRPr="00216B9F">
              <w:t xml:space="preserve">, kad </w:t>
            </w:r>
            <w:r>
              <w:t>toks</w:t>
            </w:r>
            <w:r w:rsidRPr="00216B9F">
              <w:t xml:space="preserve"> baudos didinimas </w:t>
            </w:r>
            <w:r>
              <w:t>ne tik yra</w:t>
            </w:r>
            <w:r w:rsidRPr="00216B9F">
              <w:t xml:space="preserve"> neproporcingai didelis</w:t>
            </w:r>
            <w:r>
              <w:t>, bet</w:t>
            </w:r>
            <w:r w:rsidRPr="00216B9F">
              <w:t xml:space="preserve"> ir prieštarauja </w:t>
            </w:r>
            <w:r>
              <w:t>teisingumo, protingumo ir sąžiningumo</w:t>
            </w:r>
            <w:r w:rsidRPr="00216B9F">
              <w:t xml:space="preserve"> princip</w:t>
            </w:r>
            <w:r>
              <w:t>ams.</w:t>
            </w:r>
          </w:p>
          <w:p w:rsidR="00462F9F" w:rsidRPr="00192DB8" w:rsidRDefault="00462F9F" w:rsidP="00462F9F">
            <w:pPr>
              <w:jc w:val="both"/>
            </w:pPr>
          </w:p>
        </w:tc>
        <w:tc>
          <w:tcPr>
            <w:tcW w:w="6096" w:type="dxa"/>
          </w:tcPr>
          <w:p w:rsidR="00462F9F" w:rsidRDefault="00462F9F" w:rsidP="00462F9F">
            <w:pPr>
              <w:jc w:val="both"/>
              <w:rPr>
                <w:b/>
                <w:noProof w:val="0"/>
              </w:rPr>
            </w:pPr>
            <w:r>
              <w:rPr>
                <w:b/>
                <w:noProof w:val="0"/>
              </w:rPr>
              <w:t xml:space="preserve">Atsižvelgta iš dalies. </w:t>
            </w:r>
          </w:p>
          <w:p w:rsidR="00462F9F" w:rsidRPr="00192DB8" w:rsidRDefault="00462F9F" w:rsidP="002E28B5">
            <w:pPr>
              <w:jc w:val="both"/>
              <w:rPr>
                <w:b/>
                <w:noProof w:val="0"/>
              </w:rPr>
            </w:pPr>
            <w:r>
              <w:rPr>
                <w:noProof w:val="0"/>
              </w:rPr>
              <w:t>Atsižvelgiant į proporcingumo principą, siūloma n</w:t>
            </w:r>
            <w:r w:rsidRPr="002A5B77">
              <w:rPr>
                <w:noProof w:val="0"/>
              </w:rPr>
              <w:t>umatyti, kad „</w:t>
            </w:r>
            <w:r w:rsidRPr="002A5B77">
              <w:rPr>
                <w:i/>
                <w:noProof w:val="0"/>
              </w:rPr>
              <w:t xml:space="preserve">Jeigu be svarbių (objektyvių ir nuo advokato valios nepriklausančių) priežasčių advokatas nevykdo Lietuvos Respublikos valstybės garantuojamos teisinės pagalbos įstatymo 23 straipsnio 2 dalyje nustatytos pareigos arba nepateikia teismui duomenų apie apskaičiuotas antrinės teisinės pagalbos išlaidas, Valstybės garantuojamos teisinės pagalbos tarnyba (toliau – tarnyba) </w:t>
            </w:r>
            <w:r w:rsidRPr="000533B7">
              <w:rPr>
                <w:i/>
                <w:noProof w:val="0"/>
              </w:rPr>
              <w:t xml:space="preserve">priima sprendimą nemokėti </w:t>
            </w:r>
            <w:r w:rsidRPr="000533B7">
              <w:rPr>
                <w:i/>
              </w:rPr>
              <w:t xml:space="preserve">advokatui užmokesčio dalies, lygios valstybės patirtų antrinės </w:t>
            </w:r>
            <w:r w:rsidR="002E28B5" w:rsidRPr="00176422">
              <w:rPr>
                <w:i/>
              </w:rPr>
              <w:t>teisinės pagalbos išlaidų sumai</w:t>
            </w:r>
            <w:r w:rsidRPr="00176422">
              <w:t>.“</w:t>
            </w:r>
          </w:p>
        </w:tc>
      </w:tr>
      <w:tr w:rsidR="00BD2021" w:rsidRPr="00192DB8" w:rsidTr="00ED45BB">
        <w:trPr>
          <w:trHeight w:val="49"/>
        </w:trPr>
        <w:tc>
          <w:tcPr>
            <w:tcW w:w="2324" w:type="dxa"/>
          </w:tcPr>
          <w:p w:rsidR="00BD2021" w:rsidRPr="00192DB8" w:rsidRDefault="00BD2021" w:rsidP="00462F9F">
            <w:pPr>
              <w:jc w:val="both"/>
            </w:pPr>
          </w:p>
        </w:tc>
        <w:tc>
          <w:tcPr>
            <w:tcW w:w="7315" w:type="dxa"/>
          </w:tcPr>
          <w:p w:rsidR="00BD2021" w:rsidRDefault="00BD2021" w:rsidP="00462F9F">
            <w:pPr>
              <w:jc w:val="both"/>
            </w:pPr>
            <w:r>
              <w:t xml:space="preserve">Siūloma pakeisti Taisyklių </w:t>
            </w:r>
            <w:r w:rsidRPr="00216B9F">
              <w:t>5.3. ir 9.1. punkt</w:t>
            </w:r>
            <w:r>
              <w:t>us, numatant, kad pasirengti nagrinėti bylą gali būti skiriama ne daugiau kaip pusė valandos (šiuo metu skiriama valanda) prieš kiekvieną teismo posėdį, taip pat tais atvejais, kai advokatas antrinę teisinę pagalbą toje pačioje byloje teikė keliose proceso stadijose, susipažinti su vieno dokumentų bylos tomo medžiaga vėlesnėje proceso stadijoje gali būti skiriama ne daugiau kaip pusė valandos.</w:t>
            </w:r>
            <w:r w:rsidRPr="00216B9F">
              <w:t xml:space="preserve"> </w:t>
            </w:r>
            <w:r>
              <w:t>Pabrėžtina</w:t>
            </w:r>
            <w:r w:rsidRPr="00216B9F">
              <w:t>, kad nustačius ne daugiau kaip pus</w:t>
            </w:r>
            <w:r>
              <w:t>ės</w:t>
            </w:r>
            <w:r w:rsidRPr="00216B9F">
              <w:t xml:space="preserve"> valandos laiką advokatui pasireng</w:t>
            </w:r>
            <w:r>
              <w:t>ti</w:t>
            </w:r>
            <w:r w:rsidRPr="00216B9F">
              <w:t xml:space="preserve"> nagrinėti bylą, tai turėtų akivaizdžia</w:t>
            </w:r>
            <w:r>
              <w:t>i</w:t>
            </w:r>
            <w:r w:rsidRPr="00216B9F">
              <w:t xml:space="preserve"> neigiam</w:t>
            </w:r>
            <w:r>
              <w:t>ų</w:t>
            </w:r>
            <w:r w:rsidRPr="00216B9F">
              <w:t xml:space="preserve"> pasekm</w:t>
            </w:r>
            <w:r>
              <w:t>ių</w:t>
            </w:r>
            <w:r w:rsidRPr="00216B9F">
              <w:t xml:space="preserve"> teisinės pagalbos kokybei. </w:t>
            </w:r>
            <w:r>
              <w:t xml:space="preserve">Abejotina, ar valstybės lėšos turėtų būti taupomos teikiamų teisinių paslaugų kokybės sąskaita, nes siūlomas laiko tarpas </w:t>
            </w:r>
            <w:r w:rsidRPr="00216B9F">
              <w:t>gali būti skirtas tik greitam bylos medžiagos peržiūrėjimui bei informacijos atnaujinimui.</w:t>
            </w:r>
          </w:p>
        </w:tc>
        <w:tc>
          <w:tcPr>
            <w:tcW w:w="6096" w:type="dxa"/>
          </w:tcPr>
          <w:p w:rsidR="00BD2021" w:rsidRDefault="00BD2021" w:rsidP="00462F9F">
            <w:pPr>
              <w:jc w:val="both"/>
              <w:rPr>
                <w:b/>
                <w:noProof w:val="0"/>
              </w:rPr>
            </w:pPr>
            <w:r w:rsidRPr="004F259B">
              <w:rPr>
                <w:rStyle w:val="clear"/>
                <w:b/>
                <w:color w:val="000000"/>
              </w:rPr>
              <w:t>Atsižvelgta iš dalies.</w:t>
            </w:r>
            <w:r>
              <w:rPr>
                <w:rStyle w:val="clear"/>
                <w:b/>
                <w:color w:val="000000"/>
              </w:rPr>
              <w:t xml:space="preserve"> </w:t>
            </w:r>
            <w:r w:rsidRPr="004F259B">
              <w:rPr>
                <w:rStyle w:val="clear"/>
                <w:color w:val="000000"/>
              </w:rPr>
              <w:t>Taisyklių pakeitimo projektu</w:t>
            </w:r>
            <w:r>
              <w:rPr>
                <w:rStyle w:val="clear"/>
                <w:color w:val="000000"/>
              </w:rPr>
              <w:t xml:space="preserve"> siūloma susipažinimo su bylos mdžiaga laiką sumažinti per pusę tik tais atvejais, kai advokatas su bylos medžiaga susipažįsta pakartotinai, t. y. jis teikia antrinę teisinę pagalbą keliose proceso stadijose.</w:t>
            </w:r>
          </w:p>
        </w:tc>
      </w:tr>
      <w:tr w:rsidR="00462F9F" w:rsidRPr="00192DB8" w:rsidTr="00ED45BB">
        <w:trPr>
          <w:trHeight w:val="49"/>
        </w:trPr>
        <w:tc>
          <w:tcPr>
            <w:tcW w:w="2324" w:type="dxa"/>
          </w:tcPr>
          <w:p w:rsidR="00462F9F" w:rsidRPr="00192DB8" w:rsidRDefault="00462F9F" w:rsidP="00462F9F">
            <w:pPr>
              <w:jc w:val="both"/>
            </w:pPr>
          </w:p>
        </w:tc>
        <w:tc>
          <w:tcPr>
            <w:tcW w:w="7315" w:type="dxa"/>
          </w:tcPr>
          <w:p w:rsidR="00462F9F" w:rsidRDefault="00462F9F" w:rsidP="00462F9F">
            <w:pPr>
              <w:jc w:val="both"/>
            </w:pPr>
            <w:r>
              <w:t>P</w:t>
            </w:r>
            <w:r w:rsidRPr="00216B9F">
              <w:t xml:space="preserve">rojekto </w:t>
            </w:r>
            <w:r>
              <w:t xml:space="preserve">1.6. punkte siūloma pakeisti Taisyklių </w:t>
            </w:r>
            <w:r w:rsidRPr="00216B9F">
              <w:t>11 punkt</w:t>
            </w:r>
            <w:r>
              <w:t>ą bei numatyti,</w:t>
            </w:r>
            <w:r w:rsidRPr="00216B9F">
              <w:t xml:space="preserve"> kad antrinės teisinės pagalbos teikimo laikas negali </w:t>
            </w:r>
            <w:r>
              <w:t xml:space="preserve">pusę </w:t>
            </w:r>
            <w:r w:rsidRPr="00216B9F">
              <w:t>karto viršyti Taisyklėse bylos stadijai (procesiniam veiksmui) skirto laiko, išskyrus bylas, nurodytas</w:t>
            </w:r>
            <w:r>
              <w:t xml:space="preserve"> siūlomame naujame Taisyklių </w:t>
            </w:r>
            <w:r w:rsidRPr="00216B9F">
              <w:t>11</w:t>
            </w:r>
            <w:r w:rsidRPr="00216B9F">
              <w:rPr>
                <w:vertAlign w:val="superscript"/>
              </w:rPr>
              <w:t>1</w:t>
            </w:r>
            <w:r w:rsidRPr="00216B9F">
              <w:t> punkte</w:t>
            </w:r>
            <w:r>
              <w:t>, t.y. baudžiamosiose bylose dėl tyčinių sunkių ir tyčinių labai sunkių nusikaltimų, kai gynėjo ar įgaliotojo atstovo dalyvavimas būtinas pagal Baudžiamojo proceso kodekso 51 ar 55 straipsnį.</w:t>
            </w:r>
            <w:r w:rsidRPr="00C863D7">
              <w:t xml:space="preserve"> </w:t>
            </w:r>
            <w:r>
              <w:t>Pažymėtina,</w:t>
            </w:r>
            <w:r w:rsidRPr="00216B9F">
              <w:t xml:space="preserve"> </w:t>
            </w:r>
            <w:r>
              <w:t xml:space="preserve">kad </w:t>
            </w:r>
            <w:r w:rsidRPr="00216B9F">
              <w:t>ši Taisyklių projekto nuostata</w:t>
            </w:r>
            <w:r>
              <w:t xml:space="preserve"> praktikoje lemtų ne </w:t>
            </w:r>
            <w:r w:rsidRPr="00F700C9">
              <w:t>efektyvesn</w:t>
            </w:r>
            <w:r>
              <w:t>į</w:t>
            </w:r>
            <w:r w:rsidRPr="00F700C9">
              <w:t xml:space="preserve"> valstybės biudžeto lėšų, išmokamų už suteiktą antrinę teisinę pagalbą, panaudojim</w:t>
            </w:r>
            <w:r>
              <w:t xml:space="preserve">ą, kurio siekia Projekto rengėjai, tačiau antrinės teisinės pagalbos kokybės ir efektyvumo neišvengiamą sumažėjimą, o tuo pačiu ir galimą Lietuvos Respublikos Konstitucijos pažeidimą. Jos 48 straipsnyje numatyta, kad </w:t>
            </w:r>
            <w:r w:rsidRPr="00216B9F">
              <w:t>„kiekvienas žmogus gali laisvai pasirinkti darbą bei verslą ir turi teisę turėti tinkamas, saugias ir sveikas darbo sąlygas, gauti teisingą apmokėjimą už darbą ir socialinę apsaugą nedarbo atveju. Priverčiamasis darbas draudžiamas.“</w:t>
            </w:r>
            <w:r>
              <w:t>. Atkreiptinas dėmesys, kad teikiamų teisinių paslaugų trukmė yra sąlygojama individualaus ginčo pobūdžio. Lietuvos Respublikos advokatūros įstatymo (toliau – Advokatūros įstatymas) 26 straipsnis teisinių paslaugų subjektu įvardiną patį advokatą,  o t</w:t>
            </w:r>
            <w:r w:rsidRPr="00A9000C">
              <w:t>ai reiškia, kad priėmus pavedimą</w:t>
            </w:r>
            <w:r>
              <w:t xml:space="preserve">, </w:t>
            </w:r>
            <w:r w:rsidRPr="00A9000C">
              <w:t xml:space="preserve">tik pats advokatas tampa atsakingu už kliento jam patikėto </w:t>
            </w:r>
            <w:r>
              <w:t>klausimo ir susijusios</w:t>
            </w:r>
            <w:r w:rsidRPr="00A9000C">
              <w:t xml:space="preserve"> bylos vedimo sėkmę, jo teikiam</w:t>
            </w:r>
            <w:r>
              <w:t>ų</w:t>
            </w:r>
            <w:r w:rsidRPr="00A9000C">
              <w:t xml:space="preserve"> paslaug</w:t>
            </w:r>
            <w:r>
              <w:t>ų</w:t>
            </w:r>
            <w:r w:rsidRPr="00A9000C">
              <w:t xml:space="preserve"> tinkamumą. Todėl nuo pat pavedimo pradžios iki jo pabaigos išimtinai tik advokatas, suderinęs su savo klientu</w:t>
            </w:r>
            <w:r>
              <w:t>,</w:t>
            </w:r>
            <w:r w:rsidRPr="00A9000C">
              <w:t xml:space="preserve"> sprendžia klausimus, susijusius su tinkamu jo kliento atstovavimu bei pastarajam priimtino rezultato siekimu: pasirenka bylos poziciją, jos vedimo taktiką, įrodinėjimo priemones bei apimtį, o taip pat, įvertinęs bylos kategoriją, jos sudėtingumą, dalyvaujančių byloje asmenų skaičių, jų užimamą poziciją bei reikalavimų turinį, sprendžia dėl būtinų atlikti parengiamųjų veiksmų. Dėl šios priežasties joks subjektas, neturėtų riboti galimybių </w:t>
            </w:r>
            <w:r>
              <w:t>advokatui tinkamai teikti teisines paslaugas, o v</w:t>
            </w:r>
            <w:r w:rsidRPr="00A9000C">
              <w:t xml:space="preserve">ien aplinkybė, </w:t>
            </w:r>
            <w:r>
              <w:t>kad</w:t>
            </w:r>
            <w:r w:rsidRPr="00A9000C">
              <w:t xml:space="preserve"> advokatams už teisinių paslaugų teikimą yra mokama iš valstybės biudžeto, valstybei </w:t>
            </w:r>
            <w:r>
              <w:t>nesuteikia</w:t>
            </w:r>
            <w:r w:rsidRPr="00A9000C">
              <w:t xml:space="preserve"> </w:t>
            </w:r>
            <w:r>
              <w:t>galios</w:t>
            </w:r>
            <w:r w:rsidRPr="00A9000C">
              <w:t xml:space="preserve"> kištis į advokato veiklą dirbtinai ribojant asmenų teisę į kokybišką teisinę pagalbą.</w:t>
            </w:r>
            <w:r>
              <w:t xml:space="preserve"> Dėl šių priežasčių, ribojimas gauti užmokestį už suteiktas teisines paslaugas yra neteisėtas bei nesuderinamas su Lietuvos Respublikos Konstitucijos nuostatomis.</w:t>
            </w:r>
          </w:p>
          <w:p w:rsidR="00462F9F" w:rsidRPr="00216B9F" w:rsidRDefault="00462F9F" w:rsidP="00462F9F">
            <w:pPr>
              <w:jc w:val="both"/>
            </w:pPr>
            <w:r w:rsidRPr="007845D6">
              <w:t>Advokato profesija yra viena iš profesijų rūšių, kurios atstovams yra taikomi didesni, reiklesni elgesio, moralės ir etikos standartai. Griežtas advokato profesinei etikai keliamų reikalavimų laikymasis yra svarbus visuomenės pasitikėjimui šios profesijos atstovais, teisės ginamų vertybių apsaugai, pagarbos advokato vardui išlaikymui</w:t>
            </w:r>
            <w:r>
              <w:t xml:space="preserve">. Advokatas, įgyvendindamas asmens konstitucinę teisę į gynybą, vadovaujasi Advokatūros įstatyme įtvirtintais pamatiniais veiklos principais – kliento paslapties neatskleidimo, lojalumo klientui ir kt. Advokatas negali nesilaikyti pareigos teisines paslaugas teikti atidžiai, rūpestingai ir sąžiningai bei trumpinti savo teikiamų paslaugų apimties dėl teisės aktuose nustatyto laiko limito, todėl ribojimai advokatui gauti užmokestį </w:t>
            </w:r>
            <w:bookmarkStart w:id="0" w:name="_GoBack"/>
            <w:bookmarkEnd w:id="0"/>
            <w:r>
              <w:t>už suteiktas teisines paslaugas galimai prieštarauja Lietuvos Respublikos Konstitucijoje įtvirtintai asmens teisei į gynybą. Taigi manytina</w:t>
            </w:r>
            <w:r w:rsidRPr="00216B9F">
              <w:t>, kad valstybė</w:t>
            </w:r>
            <w:r>
              <w:t>,</w:t>
            </w:r>
            <w:r w:rsidRPr="00216B9F">
              <w:t xml:space="preserve"> </w:t>
            </w:r>
            <w:r>
              <w:t>garantuodama teisinę pagalbą,</w:t>
            </w:r>
            <w:r w:rsidRPr="00216B9F">
              <w:t xml:space="preserve"> </w:t>
            </w:r>
            <w:r>
              <w:t>neturėtų</w:t>
            </w:r>
            <w:r w:rsidRPr="00216B9F">
              <w:t xml:space="preserve"> vadovautis išimtinio ekonominio efektyvumo principu</w:t>
            </w:r>
            <w:r>
              <w:t xml:space="preserve"> – siekti ją teikti kuo mažesnėmis sąnaudomis, bet užtikrinti šių paslaugų kokybę ir prieinamumą, o ją teikiantys asmenys, a</w:t>
            </w:r>
            <w:r w:rsidRPr="00216B9F">
              <w:t>dvokata</w:t>
            </w:r>
            <w:r>
              <w:t>i,</w:t>
            </w:r>
            <w:r w:rsidRPr="00216B9F">
              <w:t xml:space="preserve"> turi gauti apmokėjimą už suteiktą teisinę pagalbą už fakti</w:t>
            </w:r>
            <w:r>
              <w:t>škai</w:t>
            </w:r>
            <w:r w:rsidRPr="00216B9F">
              <w:t xml:space="preserve"> sugaištą laiką.</w:t>
            </w:r>
          </w:p>
          <w:p w:rsidR="00462F9F" w:rsidRDefault="00462F9F" w:rsidP="00462F9F">
            <w:pPr>
              <w:jc w:val="both"/>
              <w:rPr>
                <w:rStyle w:val="clear1"/>
                <w:color w:val="000000"/>
              </w:rPr>
            </w:pPr>
            <w:r>
              <w:rPr>
                <w:color w:val="000000"/>
              </w:rPr>
              <w:t xml:space="preserve">Sistemiškai įvertinus siūlomus pakeitimus, darytina išvada, kad jų įgyvendinimas galimai leistų valstybei sutaupyti </w:t>
            </w:r>
            <w:r w:rsidRPr="007D2035">
              <w:rPr>
                <w:rStyle w:val="clear1"/>
                <w:color w:val="000000"/>
              </w:rPr>
              <w:t>antrinės teisinės pagalbos teikimo funkcijai užtikrinti</w:t>
            </w:r>
            <w:r>
              <w:rPr>
                <w:rStyle w:val="clear1"/>
                <w:color w:val="000000"/>
              </w:rPr>
              <w:t xml:space="preserve"> skiriamas lėšas, tačiau tai lemtų teisinių paslaugų kokybės mažinimą ir konstitucinių teisių pažeidimą.</w:t>
            </w:r>
            <w:r w:rsidRPr="00522CE9">
              <w:rPr>
                <w:rStyle w:val="clear1"/>
                <w:color w:val="000000"/>
              </w:rPr>
              <w:t xml:space="preserve"> </w:t>
            </w:r>
            <w:r>
              <w:rPr>
                <w:rStyle w:val="clear1"/>
                <w:color w:val="000000"/>
              </w:rPr>
              <w:t>Pakartotinai pažymime, kad advokato klientas yra ne valstybė, o paslaugos gavėjas, valstybė yra tik pinigų mokėtojas už klientui suteiktas paslaugas. Jeigu valstybė nusprendė apmokėti už advokato klientui teikiamas paslaugas, tai valstybė ir privalo garantuoti apmokėjimą, o advokatas – paslaugų suteikimą. Valstybė turi arba imtis esminės VGTP reformos, arba mažinti VGTP paslaugų apimtis, arba didinti valandinį atlygį, kad pritraukti didesnį VGTP paslaugas teiktinų advokatų skaičių, tačiau nedaryti neteisėtos intervencijos į kliento ir advokato tarpusavio santykio turinį.</w:t>
            </w:r>
          </w:p>
          <w:p w:rsidR="00462F9F" w:rsidRPr="00216B9F" w:rsidRDefault="00462F9F" w:rsidP="00462F9F">
            <w:pPr>
              <w:jc w:val="both"/>
            </w:pPr>
            <w:r w:rsidRPr="00216B9F">
              <w:t xml:space="preserve">Atsižvelgiant į tai, </w:t>
            </w:r>
            <w:r w:rsidRPr="00216B9F">
              <w:rPr>
                <w:color w:val="000000"/>
              </w:rPr>
              <w:t>Lietuvos advokatūra</w:t>
            </w:r>
            <w:r>
              <w:rPr>
                <w:color w:val="000000"/>
              </w:rPr>
              <w:t xml:space="preserve"> nepritaria teikiamam Projektui bei</w:t>
            </w:r>
            <w:r w:rsidRPr="00216B9F">
              <w:rPr>
                <w:color w:val="000000"/>
              </w:rPr>
              <w:t xml:space="preserve"> </w:t>
            </w:r>
            <w:r w:rsidRPr="00216B9F">
              <w:t>siūl</w:t>
            </w:r>
            <w:r>
              <w:t>o svarstyti</w:t>
            </w:r>
            <w:r w:rsidRPr="00216B9F">
              <w:t xml:space="preserve"> teisinio reguliavimo, kuris išplečiamai detalizuoja kiekvieną antrinės teisinės pagalbos teikimo veiksmą</w:t>
            </w:r>
            <w:r>
              <w:t xml:space="preserve">, </w:t>
            </w:r>
            <w:r w:rsidRPr="00216B9F">
              <w:t>t. y. laikas konsultacijoms teikti, susipažinti su bylos medžiaga, pasirengimas bylos nagrinėjimui, įrodymų rinkimas, laikas</w:t>
            </w:r>
            <w:r>
              <w:t>,</w:t>
            </w:r>
            <w:r w:rsidRPr="00216B9F">
              <w:t xml:space="preserve"> skirtas laukti teisminėse ir kitose institucijose, kelionei į antrinės teisinės pagalbos teikimo ar procesinių veiksmų atlikimo vietą ir atgal</w:t>
            </w:r>
            <w:r>
              <w:t>,</w:t>
            </w:r>
            <w:r w:rsidRPr="00216B9F">
              <w:t xml:space="preserve"> </w:t>
            </w:r>
            <w:r>
              <w:t xml:space="preserve">kt., tikslingumą. </w:t>
            </w:r>
          </w:p>
          <w:p w:rsidR="00462F9F" w:rsidRPr="00216B9F" w:rsidRDefault="00462F9F" w:rsidP="00462F9F">
            <w:pPr>
              <w:jc w:val="both"/>
              <w:rPr>
                <w:b/>
              </w:rPr>
            </w:pPr>
            <w:r w:rsidRPr="00216B9F">
              <w:t xml:space="preserve">Pabrėžtina, kad </w:t>
            </w:r>
            <w:r>
              <w:t>VGTP reforma</w:t>
            </w:r>
            <w:r w:rsidRPr="00216B9F">
              <w:t xml:space="preserve"> reikalauja gilesnės teisės akt</w:t>
            </w:r>
            <w:r>
              <w:t xml:space="preserve">ų ir praktikos </w:t>
            </w:r>
            <w:r w:rsidRPr="00216B9F">
              <w:t>analizės, reikalingas ne tik tam tikrų nuostatų atsisakymas, tačiau ir naujų įdiegimas bei vis</w:t>
            </w:r>
            <w:r>
              <w:t>ų</w:t>
            </w:r>
            <w:r w:rsidRPr="00216B9F">
              <w:t xml:space="preserve"> su </w:t>
            </w:r>
            <w:r>
              <w:t>galimais</w:t>
            </w:r>
            <w:r w:rsidRPr="00216B9F">
              <w:t xml:space="preserve"> pakeitimais susijusi</w:t>
            </w:r>
            <w:r>
              <w:t>ų</w:t>
            </w:r>
            <w:r w:rsidRPr="00216B9F">
              <w:t xml:space="preserve"> teisės aktų peržiūra. Taip pat svarbu ne tik įvertinti reformos privalumus, bet ir galimų pokyčių rizikas, atsižvelgiant į prioritetinį tikslą </w:t>
            </w:r>
            <w:r>
              <w:t xml:space="preserve">– paslaugų kokybės, valstybės lėšų efektyvumo užtikrinimą bei siekį </w:t>
            </w:r>
            <w:r w:rsidRPr="00216B9F">
              <w:t>supaprastinti ir palengvinti antrinę teisinę pagalbą teikiančių advokatų ir advokatų padėjėjų užmokesčio tvarką, proporcingai padidinant mokamo užmokesčio dydžius bei nustatant esminius kriterijus, kurie racionaliai pagrįstų advokatų ir advokatų padėjėjų</w:t>
            </w:r>
            <w:r>
              <w:t>,</w:t>
            </w:r>
            <w:r w:rsidRPr="00216B9F">
              <w:t xml:space="preserve"> teikiančių antrinę teisinę pagalbą</w:t>
            </w:r>
            <w:r>
              <w:t>,</w:t>
            </w:r>
            <w:r w:rsidRPr="00216B9F">
              <w:t xml:space="preserve"> užmokestį ir jo dydį</w:t>
            </w:r>
          </w:p>
        </w:tc>
        <w:tc>
          <w:tcPr>
            <w:tcW w:w="6096" w:type="dxa"/>
          </w:tcPr>
          <w:p w:rsidR="00462F9F" w:rsidRPr="004816C1" w:rsidRDefault="00462F9F" w:rsidP="00462F9F">
            <w:pPr>
              <w:jc w:val="both"/>
              <w:rPr>
                <w:b/>
              </w:rPr>
            </w:pPr>
            <w:r>
              <w:rPr>
                <w:b/>
              </w:rPr>
              <w:t>Neatsižvelgta</w:t>
            </w:r>
            <w:r w:rsidRPr="004816C1">
              <w:rPr>
                <w:b/>
              </w:rPr>
              <w:t>.</w:t>
            </w:r>
          </w:p>
          <w:p w:rsidR="00462F9F" w:rsidRDefault="00462F9F" w:rsidP="00462F9F">
            <w:pPr>
              <w:jc w:val="both"/>
            </w:pPr>
            <w:r>
              <w:t>Taisyklių pakeitimo projektu siūloma numatyti fiksuotą užmokesčio sistemą</w:t>
            </w:r>
            <w:r w:rsidRPr="008A6037">
              <w:t xml:space="preserve"> (vadinam</w:t>
            </w:r>
            <w:r>
              <w:t>a</w:t>
            </w:r>
            <w:r w:rsidRPr="008A6037">
              <w:t xml:space="preserve"> „</w:t>
            </w:r>
            <w:r w:rsidRPr="008A6037">
              <w:rPr>
                <w:i/>
              </w:rPr>
              <w:t>lump sum</w:t>
            </w:r>
            <w:r w:rsidRPr="008A6037">
              <w:t xml:space="preserve">“ metodu), </w:t>
            </w:r>
            <w:r>
              <w:t>kuri užtikrintų</w:t>
            </w:r>
            <w:r w:rsidRPr="008A6037">
              <w:t xml:space="preserve"> sąlygas racionaliam val</w:t>
            </w:r>
            <w:r>
              <w:t>stybės biudžeto lėšų naudojimui, siekiant garantuoti antrinės teisinės pagalbos teikimą asmenims, kuriems ji yra būtiniausia.</w:t>
            </w:r>
            <w:r w:rsidRPr="008A6037">
              <w:t xml:space="preserve"> </w:t>
            </w:r>
          </w:p>
          <w:p w:rsidR="00462F9F" w:rsidRDefault="00462F9F" w:rsidP="00462F9F">
            <w:pPr>
              <w:jc w:val="both"/>
            </w:pPr>
            <w:r>
              <w:t>Be to, pastebėtina, kad u</w:t>
            </w:r>
            <w:r w:rsidRPr="00F8633B">
              <w:t xml:space="preserve">žmokesčio, atitinkančio valstybės ekonominę ir finansinę būklę, užtikrinimui </w:t>
            </w:r>
            <w:r>
              <w:t>Nutarimo 2.2 papunktyje numatytas</w:t>
            </w:r>
            <w:r w:rsidRPr="00F8633B">
              <w:t xml:space="preserve"> periodinis </w:t>
            </w:r>
            <w:r>
              <w:t>užmokesčio apskaičiavimui taikomo užmokesčio bazinio dydžio (toliau – UBD) peržiūrėjimas.</w:t>
            </w:r>
            <w:r w:rsidRPr="00F8633B">
              <w:t xml:space="preserve"> </w:t>
            </w:r>
          </w:p>
          <w:p w:rsidR="00462F9F" w:rsidRPr="001F716D" w:rsidRDefault="00462F9F" w:rsidP="00462F9F">
            <w:pPr>
              <w:jc w:val="both"/>
            </w:pPr>
            <w:r w:rsidRPr="001F716D">
              <w:t>Taip pat pažymėtina, kad „lump sum“ metodo taikymas leidžia efektyviau planuoti valstybės biudžeto lėšas, reikalingas antrinės teisinės pagalbos teikimo užtikrinimui, ir sudaro prielaidas UBD didinimui.</w:t>
            </w:r>
          </w:p>
          <w:p w:rsidR="00462F9F" w:rsidRPr="006A7AA3" w:rsidRDefault="00462F9F" w:rsidP="00462F9F">
            <w:pPr>
              <w:jc w:val="both"/>
            </w:pPr>
            <w:r w:rsidRPr="001F716D">
              <w:t xml:space="preserve">Atkreiptinas dėmesys, kad Lietuvos Respublikos Konstitucinis teismas </w:t>
            </w:r>
            <w:r w:rsidRPr="001F716D">
              <w:rPr>
                <w:rStyle w:val="clear"/>
              </w:rPr>
              <w:t xml:space="preserve">2015-07-09 nutarime </w:t>
            </w:r>
            <w:r w:rsidRPr="001F716D">
              <w:t xml:space="preserve">Nr. KT20-N13/2015 nurodė, kad tuo metu galiojusių Advokatams už antrinės teisinės pagalbos teikimą ir koordinavimą mokamo užmokesčio dydžių ir mokėjimo taisyklių 7 punktas tiek, kiek jame buvo nustatytas </w:t>
            </w:r>
            <w:r w:rsidRPr="001F716D">
              <w:rPr>
                <w:u w:val="single"/>
              </w:rPr>
              <w:t>papildomo užmokesčio ribojimas</w:t>
            </w:r>
            <w:r>
              <w:rPr>
                <w:u w:val="single"/>
              </w:rPr>
              <w:t>,</w:t>
            </w:r>
            <w:r w:rsidRPr="001F716D">
              <w:rPr>
                <w:u w:val="single"/>
              </w:rPr>
              <w:t xml:space="preserve"> neprieštaravo Lietuvos Respublikos Konstitucijai</w:t>
            </w:r>
            <w:r w:rsidRPr="001F716D">
              <w:t xml:space="preserve">. </w:t>
            </w:r>
            <w:r w:rsidRPr="006A7AA3">
              <w:t xml:space="preserve">Konstitucinis teismas pabrėžė, kad konstitucinė valstybės pareiga įstatyme nustatyta tvarka ir sąlygomis užtikrinti teisinės pagalbos (viešosios teisinės paslaugos) teikimą suponuoja ir priedermę atsakingai planuoti, kaupti ir naudoti tam reikalingas lėšas, taip pat įpareigojimą tos paslaugos teikimo, </w:t>
            </w:r>
            <w:r w:rsidRPr="006A7AA3">
              <w:rPr>
                <w:i/>
                <w:iCs/>
              </w:rPr>
              <w:t xml:space="preserve">inter alia </w:t>
            </w:r>
            <w:r w:rsidRPr="006A7AA3">
              <w:t>advokatų profesinės veiklos pagrindu</w:t>
            </w:r>
            <w:r w:rsidRPr="001F716D">
              <w:rPr>
                <w:color w:val="000000"/>
              </w:rPr>
              <w:t xml:space="preserve">, apmokėjimą reguliuoti taip, kad finansiniai ištekliai būtų naudojami racionaliai, paskirstomi tolygiai, kad tokia teisinė pagalba būtų prieinama visiems, kuriems ji reikalinga, taip pat kad būtų skatinama siekti greito teisinio proceso, rinktis veiksmingiausius teisių gynybos būdus ir priemones. Konstitucinis teismas pabrėžė ir tai, kad advokatai, prisiimdami įsipareigojimą teikti viešosiomis lėšomis finansuojamą teisinę pagalbą, pagal savarankiškos profesinės teisinės pagalbos teikimo veiklos esmę ir valstybės garantuojamą teisinę pagalbą reglamentuojančio </w:t>
            </w:r>
            <w:r w:rsidRPr="006A7AA3">
              <w:t xml:space="preserve">įstatymo </w:t>
            </w:r>
            <w:r w:rsidRPr="001F716D">
              <w:rPr>
                <w:color w:val="000000"/>
              </w:rPr>
              <w:t xml:space="preserve">paskirtį traktuotini kaip atitinkamai saistomi iš savo profesijos specifikos kylančios priedermės neatmesti papildomų sąnaudų ir išlaidų rizikos dėl objektyvių priežasčių užsitęsus paslaugos teikimui ir ją įvertinti, laikytis aukštų savo profesinės veiklos standartų, </w:t>
            </w:r>
            <w:r w:rsidRPr="001F716D">
              <w:rPr>
                <w:i/>
                <w:iCs/>
                <w:color w:val="000000"/>
              </w:rPr>
              <w:t>inter alia</w:t>
            </w:r>
            <w:r w:rsidRPr="001F716D">
              <w:rPr>
                <w:color w:val="000000"/>
              </w:rPr>
              <w:t xml:space="preserve"> rinktis tokius teisėtus gynybos būdus ir priemones, kurie kuo labiau atitiktų tinkamo, </w:t>
            </w:r>
            <w:r w:rsidRPr="001F716D">
              <w:rPr>
                <w:i/>
                <w:iCs/>
                <w:color w:val="000000"/>
              </w:rPr>
              <w:t>inter alia</w:t>
            </w:r>
            <w:r w:rsidRPr="001F716D">
              <w:rPr>
                <w:color w:val="000000"/>
              </w:rPr>
              <w:t xml:space="preserve"> greito, ekonomiško, sąžiningo, teisinio proceso reikalavimus. Todėl valstybės garantuojamos teisinės pagalbos teikėjai, sutikę ją teikti pagal laisva valia sudaromą sutartį, negali būti traktuojami kaip įgiję teisėtą </w:t>
            </w:r>
            <w:r w:rsidRPr="006A7AA3">
              <w:t xml:space="preserve">lūkestį, kad dėl objektyvių priežasčių užsitęsus paslaugos teikimui visos jų patirtos su viešosios paslaugos teikimu susijusios darbo sąnaudos bus papildomai atlygintos valstybės biudžeto lėšomis. </w:t>
            </w:r>
          </w:p>
          <w:p w:rsidR="00462F9F" w:rsidRPr="006A7AA3" w:rsidRDefault="00462F9F" w:rsidP="00462F9F">
            <w:pPr>
              <w:jc w:val="both"/>
            </w:pPr>
            <w:r w:rsidRPr="006A7AA3">
              <w:t xml:space="preserve">Konstitucinis teismas išaiškino, kad pagal Valstybės garantuojamos teisinės pagalbos įstatymo 17 straipsnyje įtvirtintą teisinį reguliavimą advokatams už antrinės teisinės pagalbos teikimą mokamo užmokesčio dydžius buvo pavesta nustatyti Vyriausybei. Įstatyme buvo įtvirtinti reikalavimai, kuriais turėjo būti vadovaujamasi nustatant šio užmokesčio dydžius, </w:t>
            </w:r>
            <w:r w:rsidRPr="006A7AA3">
              <w:rPr>
                <w:i/>
                <w:iCs/>
              </w:rPr>
              <w:t>inter alia</w:t>
            </w:r>
            <w:r w:rsidRPr="006A7AA3">
              <w:t xml:space="preserve"> reikalavimas užtikrinti, kad valstybės biudžeto lėšos, skirtos valstybės garantuojamai teisinei pagalbai, būtų naudojamos efektyviai ir ekonomiškai. Įstatyme taip pat buvo įtvirtintas reikalavimas advokatams, kurie prireikus teikia antrinę teisinę pagalbą, už kiekvieną bylą mokamo užmokesčio dydį nustatyti atsižvelgiant į bylos sudėtingumą (bylos kategoriją, nagrinėjimo stadiją ir pan.). Advokatams už antrinės teisinės pagalbos teikimą ir koordinavimą mokamo užmokesčio dydžių ir mokėjimo taisyklėse advokatams, kurie prireikus teikia antrinę teisinę pagalbą, mokamo užmokesčio dydis buvo diferencijuotas pagal atitinkamus bylą (procesą), kurioje (kuriame) ši teisinė pagalba teikiama, apibūdinančius kriterijus: nusikalstamos veikos pavojingumą ir kaltės formą baudžiamosiose bylose, bylų kategoriją ir teiseną civilinėse bylose, taip pat proceso stadiją baudžiamosiose, civilinėse, administracinėse bylose. Taigi Vyriausybė, įgyvendindama jai suteiktus įgaliojimus ir nustatydama advokatų, prireikus teikiančių antrinę teisinę pagalbą, užmokesčio sistemą, atsižvelgė į tai, kad už teisinę pagalbą skirtingo sudėtingumo bylose, taigi ir už skirtingą advokato darbo krūvį, būtų apmokama skirtingai. </w:t>
            </w:r>
          </w:p>
          <w:p w:rsidR="00462F9F" w:rsidRPr="001D11E2" w:rsidRDefault="00462F9F" w:rsidP="00462F9F">
            <w:pPr>
              <w:jc w:val="both"/>
              <w:rPr>
                <w:u w:val="single"/>
              </w:rPr>
            </w:pPr>
            <w:r>
              <w:t>Taisyklėse</w:t>
            </w:r>
            <w:r w:rsidRPr="006A7AA3">
              <w:t xml:space="preserve"> nustatytas </w:t>
            </w:r>
            <w:r w:rsidRPr="006A7AA3">
              <w:rPr>
                <w:u w:val="single"/>
              </w:rPr>
              <w:t xml:space="preserve">papildomo užmokesčio už antrinei teisinei pagalbai teikti faktiškai sugaištą laiką, viršijantį nustatytąjį taisyklėse, susiejimas su maksimaliu tokio užmokesčio dydžiu vertintinas kaip objektyviai pateisinamas, </w:t>
            </w:r>
            <w:r w:rsidRPr="006A7AA3">
              <w:rPr>
                <w:i/>
                <w:iCs/>
                <w:u w:val="single"/>
              </w:rPr>
              <w:t>inter alia</w:t>
            </w:r>
            <w:r w:rsidRPr="006A7AA3">
              <w:rPr>
                <w:u w:val="single"/>
              </w:rPr>
              <w:t xml:space="preserve"> atsakingo valdymo požiūriu, neiškreipiantis iš konstitucinio teisinės valstybės principo kylančių teisingumo, proporcingumo reikalavimų ir teisėtų lūkesčių paisymo imperatyvo, nepaneigiantis iš Konstitucijos 48 straipsnio 1 dalies kylančios teisės reikalauti, kad asmeniui būtų sumokėtas visas pagal teisės aktus priklausantis darbo užmokestis (atlyginimas).</w:t>
            </w:r>
          </w:p>
        </w:tc>
      </w:tr>
      <w:tr w:rsidR="00462F9F" w:rsidRPr="00192DB8" w:rsidTr="00ED45BB">
        <w:trPr>
          <w:trHeight w:val="49"/>
        </w:trPr>
        <w:tc>
          <w:tcPr>
            <w:tcW w:w="2324" w:type="dxa"/>
          </w:tcPr>
          <w:p w:rsidR="00462F9F" w:rsidRPr="00192DB8" w:rsidRDefault="00462F9F" w:rsidP="00462F9F">
            <w:pPr>
              <w:jc w:val="both"/>
            </w:pPr>
            <w:r>
              <w:t>Advokačių Birutės Stimaitytės ir Aušros Saulėnienės 2019 m. gegužės 14 d. pastabos</w:t>
            </w:r>
          </w:p>
        </w:tc>
        <w:tc>
          <w:tcPr>
            <w:tcW w:w="7315" w:type="dxa"/>
          </w:tcPr>
          <w:p w:rsidR="00462F9F" w:rsidRPr="006A7AA3" w:rsidRDefault="00462F9F" w:rsidP="00462F9F">
            <w:pPr>
              <w:jc w:val="both"/>
            </w:pPr>
            <w:r w:rsidRPr="00462F9F">
              <w:t>Teisės akte siūlomas apribojimas, kad bylos stadijai skirtas laikas negali 0,5 karto viršyti Taisyklėse bylos stadijai (procesiniam veiksmui) skirto laiko, išskyrus bylas, nurodytas 11</w:t>
            </w:r>
            <w:r w:rsidRPr="00462F9F">
              <w:rPr>
                <w:vertAlign w:val="superscript"/>
              </w:rPr>
              <w:t>1</w:t>
            </w:r>
            <w:r w:rsidRPr="00462F9F">
              <w:t xml:space="preserve"> punkte prieštarauja Konstitucijos nuostatoms, nes taip ribojama asmenų teisė į gynybą ne tik baudžiamosiose, bet ir civilinėse bei administracinėse bylose, o taip pat absoliučiai bei esmingai apriboja advokato teisę gauti teisingą ir visišką apmokėjimą už atliktą darbą. Todėl turi būti palikta galioti šiuo metu veikiančio teisės akto redakcija be pakeitimų. </w:t>
            </w:r>
          </w:p>
        </w:tc>
        <w:tc>
          <w:tcPr>
            <w:tcW w:w="6096" w:type="dxa"/>
          </w:tcPr>
          <w:p w:rsidR="00462F9F" w:rsidRPr="001D11E2" w:rsidRDefault="00462F9F" w:rsidP="00462F9F">
            <w:pPr>
              <w:jc w:val="both"/>
              <w:rPr>
                <w:b/>
                <w:noProof w:val="0"/>
              </w:rPr>
            </w:pPr>
            <w:r>
              <w:rPr>
                <w:b/>
                <w:noProof w:val="0"/>
              </w:rPr>
              <w:t>Neatsižvelgta.</w:t>
            </w:r>
            <w:r w:rsidR="001D11E2">
              <w:rPr>
                <w:b/>
                <w:noProof w:val="0"/>
              </w:rPr>
              <w:t xml:space="preserve"> </w:t>
            </w:r>
            <w:r w:rsidR="001D11E2" w:rsidRPr="001D11E2">
              <w:rPr>
                <w:noProof w:val="0"/>
              </w:rPr>
              <w:t xml:space="preserve">Žr. </w:t>
            </w:r>
            <w:r w:rsidR="001D11E2">
              <w:rPr>
                <w:noProof w:val="0"/>
              </w:rPr>
              <w:t>komentarą au</w:t>
            </w:r>
            <w:r w:rsidR="001D11E2" w:rsidRPr="001D11E2">
              <w:rPr>
                <w:noProof w:val="0"/>
              </w:rPr>
              <w:t>kščiau.</w:t>
            </w:r>
          </w:p>
        </w:tc>
      </w:tr>
      <w:tr w:rsidR="00462F9F" w:rsidRPr="00192DB8" w:rsidTr="00ED45BB">
        <w:trPr>
          <w:trHeight w:val="49"/>
        </w:trPr>
        <w:tc>
          <w:tcPr>
            <w:tcW w:w="2324" w:type="dxa"/>
          </w:tcPr>
          <w:p w:rsidR="00462F9F" w:rsidRPr="00192DB8" w:rsidRDefault="00462F9F" w:rsidP="00462F9F">
            <w:pPr>
              <w:jc w:val="both"/>
            </w:pPr>
            <w:r w:rsidRPr="00192DB8">
              <w:rPr>
                <w:noProof w:val="0"/>
              </w:rPr>
              <w:t xml:space="preserve">Teisėjų tarybos  </w:t>
            </w:r>
            <w:r w:rsidRPr="00192DB8">
              <w:t>2019-05-28 raštas Nr. 36P-77-(7.1.10)</w:t>
            </w:r>
          </w:p>
        </w:tc>
        <w:tc>
          <w:tcPr>
            <w:tcW w:w="7315" w:type="dxa"/>
          </w:tcPr>
          <w:p w:rsidR="004F259B" w:rsidRDefault="004F259B" w:rsidP="004F259B">
            <w:pPr>
              <w:pStyle w:val="Komentarotekstas"/>
              <w:tabs>
                <w:tab w:val="left" w:pos="1134"/>
              </w:tabs>
              <w:jc w:val="both"/>
              <w:rPr>
                <w:sz w:val="24"/>
                <w:szCs w:val="24"/>
              </w:rPr>
            </w:pPr>
            <w:r>
              <w:rPr>
                <w:sz w:val="24"/>
                <w:szCs w:val="24"/>
              </w:rPr>
              <w:t xml:space="preserve">Teisėjų taryba pastebi, kad advokato tinkamas ir apmokamas pasiruošimas atstovauti asmenį yra svarbus tiek asmens teisių gynybos kontekste, tiek operatyviam teismo procesui ir bylos nagrinėjimui. Todėl svarstytina, ar apmokamo laiko susipažinti su byla ar pasirengti teismo posėdžiui mažinimas ir jo sąsajos su sklandžiu teismo procesu ir asmens teisių tinkamu gynimu būtų proporcingas siekiui </w:t>
            </w:r>
            <w:r w:rsidRPr="003B135A">
              <w:rPr>
                <w:sz w:val="24"/>
                <w:szCs w:val="24"/>
              </w:rPr>
              <w:t>efektyv</w:t>
            </w:r>
            <w:r>
              <w:rPr>
                <w:sz w:val="24"/>
                <w:szCs w:val="24"/>
              </w:rPr>
              <w:t>iau panaudoti valstybės biudžeto lėšas, išmokamas</w:t>
            </w:r>
            <w:r w:rsidRPr="003B135A">
              <w:rPr>
                <w:sz w:val="24"/>
                <w:szCs w:val="24"/>
              </w:rPr>
              <w:t xml:space="preserve"> už suteiktą antrinę teisinę pagalbą</w:t>
            </w:r>
            <w:r>
              <w:rPr>
                <w:sz w:val="24"/>
                <w:szCs w:val="24"/>
              </w:rPr>
              <w:t>.</w:t>
            </w:r>
          </w:p>
          <w:p w:rsidR="001D11E2" w:rsidRPr="00640911" w:rsidRDefault="001D11E2" w:rsidP="004F259B">
            <w:pPr>
              <w:jc w:val="both"/>
              <w:rPr>
                <w:i/>
                <w:iCs/>
                <w:noProof w:val="0"/>
              </w:rPr>
            </w:pPr>
          </w:p>
        </w:tc>
        <w:tc>
          <w:tcPr>
            <w:tcW w:w="6096" w:type="dxa"/>
          </w:tcPr>
          <w:p w:rsidR="00462F9F" w:rsidRPr="004F259B" w:rsidRDefault="004F259B" w:rsidP="001D11E2">
            <w:pPr>
              <w:jc w:val="both"/>
              <w:rPr>
                <w:noProof w:val="0"/>
              </w:rPr>
            </w:pPr>
            <w:r w:rsidRPr="004F259B">
              <w:rPr>
                <w:rStyle w:val="clear"/>
                <w:b/>
                <w:color w:val="000000"/>
              </w:rPr>
              <w:t>Atsižvelgta iš dalies.</w:t>
            </w:r>
            <w:r>
              <w:rPr>
                <w:rStyle w:val="clear"/>
                <w:b/>
                <w:color w:val="000000"/>
              </w:rPr>
              <w:t xml:space="preserve"> </w:t>
            </w:r>
            <w:r w:rsidRPr="004F259B">
              <w:rPr>
                <w:rStyle w:val="clear"/>
                <w:color w:val="000000"/>
              </w:rPr>
              <w:t>Taisyklių pakeitimo projektu</w:t>
            </w:r>
            <w:r>
              <w:rPr>
                <w:rStyle w:val="clear"/>
                <w:color w:val="000000"/>
              </w:rPr>
              <w:t xml:space="preserve"> siūloma susipažinimo su bylos mdžiaga laiką sumažinti per pusę tik tais atvejais, kai advokatas su bylos medžiaga susipažįsta pakartotinai, t. y. jis teikia antrinę teisinę pagalbą keliose proceso stadijose.</w:t>
            </w:r>
          </w:p>
        </w:tc>
      </w:tr>
      <w:tr w:rsidR="004F259B" w:rsidRPr="00192DB8" w:rsidTr="00ED45BB">
        <w:trPr>
          <w:trHeight w:val="49"/>
        </w:trPr>
        <w:tc>
          <w:tcPr>
            <w:tcW w:w="2324" w:type="dxa"/>
          </w:tcPr>
          <w:p w:rsidR="004F259B" w:rsidRPr="00192DB8" w:rsidRDefault="004F259B" w:rsidP="00462F9F">
            <w:pPr>
              <w:jc w:val="both"/>
              <w:rPr>
                <w:noProof w:val="0"/>
              </w:rPr>
            </w:pPr>
          </w:p>
        </w:tc>
        <w:tc>
          <w:tcPr>
            <w:tcW w:w="7315" w:type="dxa"/>
          </w:tcPr>
          <w:p w:rsidR="004F259B" w:rsidRDefault="004F259B" w:rsidP="004F259B">
            <w:pPr>
              <w:jc w:val="both"/>
              <w:rPr>
                <w:noProof w:val="0"/>
              </w:rPr>
            </w:pPr>
            <w:r w:rsidRPr="00640911">
              <w:rPr>
                <w:noProof w:val="0"/>
              </w:rPr>
              <w:t>Projekto 1.6 papunktyje numatyta tikslinti teisės aktą panaikinant nuostatas, kuriomis VGTPT nurodomas kaip konkretus subjektas, į kurį advokatas turi teisę kreiptis su prašymu priimti sprendimą dėl papildomo užmokesčio už suteiktą antrinės teisinės pagalbos trukmę. Svarstytina, ar šios nuostatos panaikinimas yra tikslingas, nes Projektu panaikinama aiški nuostata dėl adresato, į kurį turėtų kreiptis advokatas, teikęs papildomos trukmės antrinę teisinę pagalbą.</w:t>
            </w:r>
          </w:p>
          <w:p w:rsidR="004F259B" w:rsidRPr="00640911" w:rsidRDefault="004F259B" w:rsidP="00462F9F">
            <w:pPr>
              <w:jc w:val="both"/>
              <w:rPr>
                <w:noProof w:val="0"/>
              </w:rPr>
            </w:pPr>
          </w:p>
        </w:tc>
        <w:tc>
          <w:tcPr>
            <w:tcW w:w="6096" w:type="dxa"/>
          </w:tcPr>
          <w:p w:rsidR="004F259B" w:rsidRPr="001D11E2" w:rsidRDefault="004F259B" w:rsidP="001D11E2">
            <w:pPr>
              <w:jc w:val="both"/>
              <w:rPr>
                <w:b/>
                <w:noProof w:val="0"/>
              </w:rPr>
            </w:pPr>
            <w:r w:rsidRPr="001D11E2">
              <w:rPr>
                <w:b/>
                <w:noProof w:val="0"/>
              </w:rPr>
              <w:t xml:space="preserve">Neatsižvelgta. </w:t>
            </w:r>
            <w:r w:rsidRPr="001D11E2">
              <w:rPr>
                <w:noProof w:val="0"/>
              </w:rPr>
              <w:t xml:space="preserve">Siūlomas pakeitimas yra techninis siekiant atsisakyti dviejų atskirų prašymų išmokėti užmokestį (už stadijos ar procesinio veiksmo laiką ir už papildomą laiką) teikimo. Visa informacija apie teisinės pagalbos teikimui skirtą laiką būtų nurodoma viename prašyme. Pažymėtina, kad priėmus siūlomą taisyklių pakeitimą, būtų keičiama </w:t>
            </w:r>
            <w:r>
              <w:rPr>
                <w:rStyle w:val="clear"/>
                <w:color w:val="000000"/>
              </w:rPr>
              <w:t>P</w:t>
            </w:r>
            <w:r w:rsidRPr="001D11E2">
              <w:rPr>
                <w:rStyle w:val="clear"/>
                <w:color w:val="000000"/>
              </w:rPr>
              <w:t>rašymo išmokėti užmokestį už suteikt</w:t>
            </w:r>
            <w:r>
              <w:rPr>
                <w:rStyle w:val="clear"/>
                <w:color w:val="000000"/>
              </w:rPr>
              <w:t>ą antrinę teisinę pagalbą forma, patvirtinta</w:t>
            </w:r>
            <w:r w:rsidRPr="001D11E2">
              <w:rPr>
                <w:rStyle w:val="clear"/>
                <w:color w:val="000000"/>
              </w:rPr>
              <w:t xml:space="preserve"> Lietuvos Respu</w:t>
            </w:r>
            <w:r>
              <w:rPr>
                <w:rStyle w:val="clear"/>
                <w:color w:val="000000"/>
              </w:rPr>
              <w:t xml:space="preserve">blikos teisingumo ministro 2005-05-13 </w:t>
            </w:r>
            <w:r w:rsidRPr="001D11E2">
              <w:rPr>
                <w:rStyle w:val="clear"/>
                <w:color w:val="000000"/>
              </w:rPr>
              <w:t>įsakym</w:t>
            </w:r>
            <w:r>
              <w:rPr>
                <w:rStyle w:val="clear"/>
                <w:color w:val="000000"/>
              </w:rPr>
              <w:t>u Nr. 1R-158.</w:t>
            </w:r>
          </w:p>
        </w:tc>
      </w:tr>
    </w:tbl>
    <w:p w:rsidR="00A14D54" w:rsidRDefault="003637D1" w:rsidP="003637D1">
      <w:pPr>
        <w:jc w:val="center"/>
      </w:pPr>
      <w:r>
        <w:rPr>
          <w:noProof w:val="0"/>
          <w:lang w:eastAsia="en-US"/>
        </w:rPr>
        <w:t>______________</w:t>
      </w:r>
    </w:p>
    <w:sectPr w:rsidR="00A14D54" w:rsidSect="0047523D">
      <w:headerReference w:type="even" r:id="rId8"/>
      <w:headerReference w:type="default" r:id="rId9"/>
      <w:pgSz w:w="16838" w:h="11906" w:orient="landscape"/>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23F" w:rsidRDefault="0033023F" w:rsidP="008D200C">
      <w:r>
        <w:separator/>
      </w:r>
    </w:p>
  </w:endnote>
  <w:endnote w:type="continuationSeparator" w:id="0">
    <w:p w:rsidR="0033023F" w:rsidRDefault="0033023F" w:rsidP="008D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23F" w:rsidRDefault="0033023F" w:rsidP="008D200C">
      <w:r>
        <w:separator/>
      </w:r>
    </w:p>
  </w:footnote>
  <w:footnote w:type="continuationSeparator" w:id="0">
    <w:p w:rsidR="0033023F" w:rsidRDefault="0033023F" w:rsidP="008D2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F5" w:rsidRDefault="00032F4F">
    <w:pPr>
      <w:pStyle w:val="Antrats"/>
      <w:framePr w:wrap="around" w:vAnchor="text" w:hAnchor="margin" w:xAlign="center" w:y="1"/>
      <w:rPr>
        <w:rStyle w:val="Puslapionumeris"/>
      </w:rPr>
    </w:pPr>
    <w:r>
      <w:rPr>
        <w:rStyle w:val="Puslapionumeris"/>
      </w:rPr>
      <w:fldChar w:fldCharType="begin"/>
    </w:r>
    <w:r w:rsidR="003104B4">
      <w:rPr>
        <w:rStyle w:val="Puslapionumeris"/>
      </w:rPr>
      <w:instrText xml:space="preserve">PAGE  </w:instrText>
    </w:r>
    <w:r>
      <w:rPr>
        <w:rStyle w:val="Puslapionumeris"/>
      </w:rPr>
      <w:fldChar w:fldCharType="end"/>
    </w:r>
  </w:p>
  <w:p w:rsidR="00D876F5" w:rsidRDefault="0033023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F5" w:rsidRDefault="00032F4F">
    <w:pPr>
      <w:pStyle w:val="Antrats"/>
      <w:framePr w:wrap="around" w:vAnchor="text" w:hAnchor="margin" w:xAlign="center" w:y="1"/>
      <w:rPr>
        <w:rStyle w:val="Puslapionumeris"/>
      </w:rPr>
    </w:pPr>
    <w:r>
      <w:rPr>
        <w:rStyle w:val="Puslapionumeris"/>
      </w:rPr>
      <w:fldChar w:fldCharType="begin"/>
    </w:r>
    <w:r w:rsidR="003104B4">
      <w:rPr>
        <w:rStyle w:val="Puslapionumeris"/>
      </w:rPr>
      <w:instrText xml:space="preserve">PAGE  </w:instrText>
    </w:r>
    <w:r>
      <w:rPr>
        <w:rStyle w:val="Puslapionumeris"/>
      </w:rPr>
      <w:fldChar w:fldCharType="separate"/>
    </w:r>
    <w:r w:rsidR="00707D0A">
      <w:rPr>
        <w:rStyle w:val="Puslapionumeris"/>
      </w:rPr>
      <w:t>4</w:t>
    </w:r>
    <w:r>
      <w:rPr>
        <w:rStyle w:val="Puslapionumeris"/>
      </w:rPr>
      <w:fldChar w:fldCharType="end"/>
    </w:r>
  </w:p>
  <w:p w:rsidR="00D876F5" w:rsidRPr="0092709F" w:rsidRDefault="003302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1480A"/>
    <w:multiLevelType w:val="hybridMultilevel"/>
    <w:tmpl w:val="70C00C90"/>
    <w:lvl w:ilvl="0" w:tplc="14A0BCAE">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0A4068"/>
    <w:multiLevelType w:val="hybridMultilevel"/>
    <w:tmpl w:val="3964066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9E644DF"/>
    <w:multiLevelType w:val="multilevel"/>
    <w:tmpl w:val="A80200E0"/>
    <w:lvl w:ilvl="0">
      <w:start w:val="1"/>
      <w:numFmt w:val="upperRoman"/>
      <w:lvlText w:val="%1."/>
      <w:lvlJc w:val="left"/>
      <w:pPr>
        <w:ind w:left="1430" w:hanging="720"/>
      </w:pPr>
      <w:rPr>
        <w:rFonts w:ascii="Times New Roman" w:eastAsia="Times New Roman" w:hAnsi="Times New Roman"/>
        <w:i w:val="0"/>
        <w:sz w:val="24"/>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3" w15:restartNumberingAfterBreak="0">
    <w:nsid w:val="24B44966"/>
    <w:multiLevelType w:val="hybridMultilevel"/>
    <w:tmpl w:val="1CC6575A"/>
    <w:lvl w:ilvl="0" w:tplc="26BEB2C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72C69"/>
    <w:multiLevelType w:val="hybridMultilevel"/>
    <w:tmpl w:val="35AA0C96"/>
    <w:lvl w:ilvl="0" w:tplc="E8C688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FC26BD8"/>
    <w:multiLevelType w:val="hybridMultilevel"/>
    <w:tmpl w:val="3964066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33AA4819"/>
    <w:multiLevelType w:val="hybridMultilevel"/>
    <w:tmpl w:val="3964066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4EBD5CF4"/>
    <w:multiLevelType w:val="hybridMultilevel"/>
    <w:tmpl w:val="C9DC79E8"/>
    <w:lvl w:ilvl="0" w:tplc="14A0BCAE">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CC2BFA"/>
    <w:multiLevelType w:val="hybridMultilevel"/>
    <w:tmpl w:val="751A02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081DDF"/>
    <w:multiLevelType w:val="hybridMultilevel"/>
    <w:tmpl w:val="3964066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E261098"/>
    <w:multiLevelType w:val="hybridMultilevel"/>
    <w:tmpl w:val="22C2DA18"/>
    <w:lvl w:ilvl="0" w:tplc="5FB6203E">
      <w:start w:val="1"/>
      <w:numFmt w:val="decimal"/>
      <w:lvlText w:val="%1."/>
      <w:lvlJc w:val="left"/>
      <w:pPr>
        <w:ind w:left="1069" w:hanging="360"/>
      </w:pPr>
      <w:rPr>
        <w:b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61C17684"/>
    <w:multiLevelType w:val="hybridMultilevel"/>
    <w:tmpl w:val="FC12E4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610A9E"/>
    <w:multiLevelType w:val="hybridMultilevel"/>
    <w:tmpl w:val="C9DC79E8"/>
    <w:lvl w:ilvl="0" w:tplc="14A0BCAE">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1"/>
  </w:num>
  <w:num w:numId="3">
    <w:abstractNumId w:val="8"/>
  </w:num>
  <w:num w:numId="4">
    <w:abstractNumId w:val="1"/>
  </w:num>
  <w:num w:numId="5">
    <w:abstractNumId w:val="5"/>
  </w:num>
  <w:num w:numId="6">
    <w:abstractNumId w:val="6"/>
  </w:num>
  <w:num w:numId="7">
    <w:abstractNumId w:val="9"/>
  </w:num>
  <w:num w:numId="8">
    <w:abstractNumId w:val="0"/>
  </w:num>
  <w:num w:numId="9">
    <w:abstractNumId w:val="12"/>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2E"/>
    <w:rsid w:val="000008EB"/>
    <w:rsid w:val="000013B8"/>
    <w:rsid w:val="00001B37"/>
    <w:rsid w:val="00007516"/>
    <w:rsid w:val="000204A5"/>
    <w:rsid w:val="00021247"/>
    <w:rsid w:val="00032F4F"/>
    <w:rsid w:val="00043745"/>
    <w:rsid w:val="00044A37"/>
    <w:rsid w:val="0004744A"/>
    <w:rsid w:val="00051036"/>
    <w:rsid w:val="00052B4E"/>
    <w:rsid w:val="000533B7"/>
    <w:rsid w:val="00055775"/>
    <w:rsid w:val="00064BF3"/>
    <w:rsid w:val="000679A3"/>
    <w:rsid w:val="00070068"/>
    <w:rsid w:val="00090820"/>
    <w:rsid w:val="00090FB8"/>
    <w:rsid w:val="00091E16"/>
    <w:rsid w:val="00096B9C"/>
    <w:rsid w:val="000B0095"/>
    <w:rsid w:val="000C2F8B"/>
    <w:rsid w:val="000C67AE"/>
    <w:rsid w:val="000D0D38"/>
    <w:rsid w:val="000D1078"/>
    <w:rsid w:val="000D130C"/>
    <w:rsid w:val="000D35A4"/>
    <w:rsid w:val="000E2DF2"/>
    <w:rsid w:val="000F126B"/>
    <w:rsid w:val="000F269B"/>
    <w:rsid w:val="00103E49"/>
    <w:rsid w:val="00113A1C"/>
    <w:rsid w:val="001276DD"/>
    <w:rsid w:val="0013361B"/>
    <w:rsid w:val="0013399D"/>
    <w:rsid w:val="00133BF1"/>
    <w:rsid w:val="001346DE"/>
    <w:rsid w:val="0014373B"/>
    <w:rsid w:val="001468FA"/>
    <w:rsid w:val="00152098"/>
    <w:rsid w:val="0015460D"/>
    <w:rsid w:val="00157DAE"/>
    <w:rsid w:val="0016618A"/>
    <w:rsid w:val="00172EFB"/>
    <w:rsid w:val="00176422"/>
    <w:rsid w:val="00184293"/>
    <w:rsid w:val="00190311"/>
    <w:rsid w:val="0019123B"/>
    <w:rsid w:val="00192DB8"/>
    <w:rsid w:val="00197620"/>
    <w:rsid w:val="001A0F93"/>
    <w:rsid w:val="001A20E9"/>
    <w:rsid w:val="001A21A6"/>
    <w:rsid w:val="001A5709"/>
    <w:rsid w:val="001C6A4A"/>
    <w:rsid w:val="001D11E2"/>
    <w:rsid w:val="001D20F4"/>
    <w:rsid w:val="001D338C"/>
    <w:rsid w:val="001D3E96"/>
    <w:rsid w:val="001E2F35"/>
    <w:rsid w:val="001E6EB1"/>
    <w:rsid w:val="001E74F7"/>
    <w:rsid w:val="001F3708"/>
    <w:rsid w:val="001F6921"/>
    <w:rsid w:val="001F716D"/>
    <w:rsid w:val="00201381"/>
    <w:rsid w:val="00217DFD"/>
    <w:rsid w:val="00225CAD"/>
    <w:rsid w:val="00234DAA"/>
    <w:rsid w:val="00235668"/>
    <w:rsid w:val="00253699"/>
    <w:rsid w:val="0025406E"/>
    <w:rsid w:val="00272F5F"/>
    <w:rsid w:val="00280FCA"/>
    <w:rsid w:val="00281B50"/>
    <w:rsid w:val="00281DDF"/>
    <w:rsid w:val="00282AA8"/>
    <w:rsid w:val="00294269"/>
    <w:rsid w:val="002A1E55"/>
    <w:rsid w:val="002A3113"/>
    <w:rsid w:val="002A5B77"/>
    <w:rsid w:val="002B0A72"/>
    <w:rsid w:val="002C20C2"/>
    <w:rsid w:val="002D50ED"/>
    <w:rsid w:val="002E28B5"/>
    <w:rsid w:val="002E3CD8"/>
    <w:rsid w:val="002F2198"/>
    <w:rsid w:val="002F3288"/>
    <w:rsid w:val="002F66D9"/>
    <w:rsid w:val="003019F2"/>
    <w:rsid w:val="003104B4"/>
    <w:rsid w:val="0031054F"/>
    <w:rsid w:val="00312CE9"/>
    <w:rsid w:val="003132CE"/>
    <w:rsid w:val="0031531F"/>
    <w:rsid w:val="003172B1"/>
    <w:rsid w:val="00323EEE"/>
    <w:rsid w:val="003267E0"/>
    <w:rsid w:val="00326CD1"/>
    <w:rsid w:val="0033023F"/>
    <w:rsid w:val="00332A81"/>
    <w:rsid w:val="0033501F"/>
    <w:rsid w:val="003448B2"/>
    <w:rsid w:val="00346583"/>
    <w:rsid w:val="0034658C"/>
    <w:rsid w:val="003526FA"/>
    <w:rsid w:val="00352C0C"/>
    <w:rsid w:val="00354A23"/>
    <w:rsid w:val="00355130"/>
    <w:rsid w:val="00356B4F"/>
    <w:rsid w:val="003637D1"/>
    <w:rsid w:val="003637D5"/>
    <w:rsid w:val="00376EFA"/>
    <w:rsid w:val="00381B40"/>
    <w:rsid w:val="00385D35"/>
    <w:rsid w:val="00385E16"/>
    <w:rsid w:val="003873D9"/>
    <w:rsid w:val="003A7AB7"/>
    <w:rsid w:val="003B0449"/>
    <w:rsid w:val="003B6FC0"/>
    <w:rsid w:val="003C069A"/>
    <w:rsid w:val="003C3E4C"/>
    <w:rsid w:val="003C77E3"/>
    <w:rsid w:val="003D3366"/>
    <w:rsid w:val="003D3CC9"/>
    <w:rsid w:val="003D53A7"/>
    <w:rsid w:val="003E3821"/>
    <w:rsid w:val="003F4898"/>
    <w:rsid w:val="004022B9"/>
    <w:rsid w:val="00413FAE"/>
    <w:rsid w:val="0043338F"/>
    <w:rsid w:val="00435AC5"/>
    <w:rsid w:val="00443FF5"/>
    <w:rsid w:val="00446D90"/>
    <w:rsid w:val="004509ED"/>
    <w:rsid w:val="004524AC"/>
    <w:rsid w:val="00457E39"/>
    <w:rsid w:val="00460CAB"/>
    <w:rsid w:val="00462F9F"/>
    <w:rsid w:val="004667A2"/>
    <w:rsid w:val="004745F4"/>
    <w:rsid w:val="0047523D"/>
    <w:rsid w:val="0047733A"/>
    <w:rsid w:val="004816C1"/>
    <w:rsid w:val="00490FC0"/>
    <w:rsid w:val="00491767"/>
    <w:rsid w:val="0049515E"/>
    <w:rsid w:val="00497780"/>
    <w:rsid w:val="004A2468"/>
    <w:rsid w:val="004A5DF4"/>
    <w:rsid w:val="004B1FF7"/>
    <w:rsid w:val="004C75C2"/>
    <w:rsid w:val="004D78B7"/>
    <w:rsid w:val="004E4A1C"/>
    <w:rsid w:val="004E6AEE"/>
    <w:rsid w:val="004E73A7"/>
    <w:rsid w:val="004F0845"/>
    <w:rsid w:val="004F259B"/>
    <w:rsid w:val="004F4224"/>
    <w:rsid w:val="004F4F3B"/>
    <w:rsid w:val="004F6F73"/>
    <w:rsid w:val="00500C5D"/>
    <w:rsid w:val="0050218C"/>
    <w:rsid w:val="0051283C"/>
    <w:rsid w:val="00526307"/>
    <w:rsid w:val="005315B7"/>
    <w:rsid w:val="005361D6"/>
    <w:rsid w:val="00536FDC"/>
    <w:rsid w:val="00552729"/>
    <w:rsid w:val="00557FE4"/>
    <w:rsid w:val="005607AB"/>
    <w:rsid w:val="00570394"/>
    <w:rsid w:val="005718B1"/>
    <w:rsid w:val="005759C5"/>
    <w:rsid w:val="0058316B"/>
    <w:rsid w:val="00592FE9"/>
    <w:rsid w:val="00597A89"/>
    <w:rsid w:val="005A130D"/>
    <w:rsid w:val="005A2A90"/>
    <w:rsid w:val="005B422A"/>
    <w:rsid w:val="005C0A83"/>
    <w:rsid w:val="005C460F"/>
    <w:rsid w:val="005C4BEB"/>
    <w:rsid w:val="005F03C9"/>
    <w:rsid w:val="005F4437"/>
    <w:rsid w:val="006014E6"/>
    <w:rsid w:val="00603EC7"/>
    <w:rsid w:val="0060612E"/>
    <w:rsid w:val="0061022B"/>
    <w:rsid w:val="00611CBC"/>
    <w:rsid w:val="00621508"/>
    <w:rsid w:val="0062180D"/>
    <w:rsid w:val="00623E2D"/>
    <w:rsid w:val="00635E31"/>
    <w:rsid w:val="00640911"/>
    <w:rsid w:val="0064373E"/>
    <w:rsid w:val="0065440E"/>
    <w:rsid w:val="00655857"/>
    <w:rsid w:val="00664E0E"/>
    <w:rsid w:val="00666CE8"/>
    <w:rsid w:val="00672665"/>
    <w:rsid w:val="00675420"/>
    <w:rsid w:val="00675935"/>
    <w:rsid w:val="006818B2"/>
    <w:rsid w:val="006827AE"/>
    <w:rsid w:val="006829F9"/>
    <w:rsid w:val="00683052"/>
    <w:rsid w:val="00685D83"/>
    <w:rsid w:val="00690254"/>
    <w:rsid w:val="00694CD4"/>
    <w:rsid w:val="00695EBA"/>
    <w:rsid w:val="0069782B"/>
    <w:rsid w:val="006A1EE1"/>
    <w:rsid w:val="006A3221"/>
    <w:rsid w:val="006A5184"/>
    <w:rsid w:val="006A706B"/>
    <w:rsid w:val="006A7AA3"/>
    <w:rsid w:val="006B5D37"/>
    <w:rsid w:val="006B772E"/>
    <w:rsid w:val="006C00C5"/>
    <w:rsid w:val="006D1D6B"/>
    <w:rsid w:val="006D5E31"/>
    <w:rsid w:val="006E6E8C"/>
    <w:rsid w:val="006F455D"/>
    <w:rsid w:val="00707D0A"/>
    <w:rsid w:val="007112AA"/>
    <w:rsid w:val="00717CB3"/>
    <w:rsid w:val="007403D3"/>
    <w:rsid w:val="007409D1"/>
    <w:rsid w:val="00741626"/>
    <w:rsid w:val="0075293B"/>
    <w:rsid w:val="00757DBC"/>
    <w:rsid w:val="007645C3"/>
    <w:rsid w:val="00764A55"/>
    <w:rsid w:val="00767B56"/>
    <w:rsid w:val="007717D2"/>
    <w:rsid w:val="0078426B"/>
    <w:rsid w:val="00787437"/>
    <w:rsid w:val="007910F6"/>
    <w:rsid w:val="00794FDD"/>
    <w:rsid w:val="00796AD1"/>
    <w:rsid w:val="007A4190"/>
    <w:rsid w:val="007A75D6"/>
    <w:rsid w:val="007B4B03"/>
    <w:rsid w:val="007E3C0C"/>
    <w:rsid w:val="007F44B1"/>
    <w:rsid w:val="007F5885"/>
    <w:rsid w:val="0080071F"/>
    <w:rsid w:val="00802B3D"/>
    <w:rsid w:val="0080332F"/>
    <w:rsid w:val="00804E47"/>
    <w:rsid w:val="00806C3D"/>
    <w:rsid w:val="00811A63"/>
    <w:rsid w:val="008164BD"/>
    <w:rsid w:val="00817371"/>
    <w:rsid w:val="00823F59"/>
    <w:rsid w:val="00824B17"/>
    <w:rsid w:val="00826ED6"/>
    <w:rsid w:val="008407A0"/>
    <w:rsid w:val="00844132"/>
    <w:rsid w:val="00845EE6"/>
    <w:rsid w:val="00845F0F"/>
    <w:rsid w:val="0085637F"/>
    <w:rsid w:val="008667CC"/>
    <w:rsid w:val="00866A57"/>
    <w:rsid w:val="00867B0B"/>
    <w:rsid w:val="008711DD"/>
    <w:rsid w:val="00884B00"/>
    <w:rsid w:val="0088794A"/>
    <w:rsid w:val="00893F61"/>
    <w:rsid w:val="00894BF2"/>
    <w:rsid w:val="008A08DE"/>
    <w:rsid w:val="008C2ACA"/>
    <w:rsid w:val="008D200C"/>
    <w:rsid w:val="008D4AF1"/>
    <w:rsid w:val="008E0639"/>
    <w:rsid w:val="008E1F1E"/>
    <w:rsid w:val="00904F99"/>
    <w:rsid w:val="009106BD"/>
    <w:rsid w:val="00910C04"/>
    <w:rsid w:val="00920919"/>
    <w:rsid w:val="00921644"/>
    <w:rsid w:val="00927E0F"/>
    <w:rsid w:val="009449AF"/>
    <w:rsid w:val="00944C76"/>
    <w:rsid w:val="00947DCD"/>
    <w:rsid w:val="009546FC"/>
    <w:rsid w:val="00962783"/>
    <w:rsid w:val="0096564D"/>
    <w:rsid w:val="009709C9"/>
    <w:rsid w:val="009848CB"/>
    <w:rsid w:val="009A1AB3"/>
    <w:rsid w:val="009B2160"/>
    <w:rsid w:val="009C0487"/>
    <w:rsid w:val="009C1D3C"/>
    <w:rsid w:val="009E5048"/>
    <w:rsid w:val="00A00EE9"/>
    <w:rsid w:val="00A05578"/>
    <w:rsid w:val="00A164C7"/>
    <w:rsid w:val="00A22EC1"/>
    <w:rsid w:val="00A40A50"/>
    <w:rsid w:val="00A40F68"/>
    <w:rsid w:val="00A54DF6"/>
    <w:rsid w:val="00A62834"/>
    <w:rsid w:val="00A84BC0"/>
    <w:rsid w:val="00AA1AF6"/>
    <w:rsid w:val="00AA2A46"/>
    <w:rsid w:val="00AA4D61"/>
    <w:rsid w:val="00AD4DE0"/>
    <w:rsid w:val="00AE17F6"/>
    <w:rsid w:val="00AE6A36"/>
    <w:rsid w:val="00AF0BA6"/>
    <w:rsid w:val="00AF6710"/>
    <w:rsid w:val="00AF75D9"/>
    <w:rsid w:val="00B16FDB"/>
    <w:rsid w:val="00B26B2B"/>
    <w:rsid w:val="00B31187"/>
    <w:rsid w:val="00B31557"/>
    <w:rsid w:val="00B33B0F"/>
    <w:rsid w:val="00B4117C"/>
    <w:rsid w:val="00B43C19"/>
    <w:rsid w:val="00B4730F"/>
    <w:rsid w:val="00B53582"/>
    <w:rsid w:val="00B61F3E"/>
    <w:rsid w:val="00B64A67"/>
    <w:rsid w:val="00B719E8"/>
    <w:rsid w:val="00B75AD3"/>
    <w:rsid w:val="00B844CD"/>
    <w:rsid w:val="00B86B82"/>
    <w:rsid w:val="00BB28A2"/>
    <w:rsid w:val="00BB2917"/>
    <w:rsid w:val="00BC3A01"/>
    <w:rsid w:val="00BC4662"/>
    <w:rsid w:val="00BD0DF6"/>
    <w:rsid w:val="00BD2021"/>
    <w:rsid w:val="00BD2380"/>
    <w:rsid w:val="00BD24A6"/>
    <w:rsid w:val="00BD45A3"/>
    <w:rsid w:val="00BE146D"/>
    <w:rsid w:val="00BE6311"/>
    <w:rsid w:val="00BF43D4"/>
    <w:rsid w:val="00C00640"/>
    <w:rsid w:val="00C04D46"/>
    <w:rsid w:val="00C07B8D"/>
    <w:rsid w:val="00C11B56"/>
    <w:rsid w:val="00C15121"/>
    <w:rsid w:val="00C1597C"/>
    <w:rsid w:val="00C16944"/>
    <w:rsid w:val="00C2334B"/>
    <w:rsid w:val="00C2746C"/>
    <w:rsid w:val="00C326EC"/>
    <w:rsid w:val="00C36A52"/>
    <w:rsid w:val="00C43847"/>
    <w:rsid w:val="00C456EE"/>
    <w:rsid w:val="00C52589"/>
    <w:rsid w:val="00C54DD2"/>
    <w:rsid w:val="00C65B79"/>
    <w:rsid w:val="00C82B84"/>
    <w:rsid w:val="00C840C8"/>
    <w:rsid w:val="00C90336"/>
    <w:rsid w:val="00CB4A41"/>
    <w:rsid w:val="00CC1A1D"/>
    <w:rsid w:val="00CC4876"/>
    <w:rsid w:val="00CD6AE0"/>
    <w:rsid w:val="00CE3EDC"/>
    <w:rsid w:val="00CF2114"/>
    <w:rsid w:val="00D02754"/>
    <w:rsid w:val="00D04221"/>
    <w:rsid w:val="00D1083D"/>
    <w:rsid w:val="00D229DC"/>
    <w:rsid w:val="00D430DC"/>
    <w:rsid w:val="00D445DD"/>
    <w:rsid w:val="00D50C8B"/>
    <w:rsid w:val="00D51E46"/>
    <w:rsid w:val="00D52E3A"/>
    <w:rsid w:val="00D61B4F"/>
    <w:rsid w:val="00D64C65"/>
    <w:rsid w:val="00D67BD4"/>
    <w:rsid w:val="00D76BC0"/>
    <w:rsid w:val="00D810D3"/>
    <w:rsid w:val="00DA4540"/>
    <w:rsid w:val="00DB2CA3"/>
    <w:rsid w:val="00DB3D91"/>
    <w:rsid w:val="00DB653E"/>
    <w:rsid w:val="00DC03AC"/>
    <w:rsid w:val="00DC1624"/>
    <w:rsid w:val="00DC3B8D"/>
    <w:rsid w:val="00DD0BC0"/>
    <w:rsid w:val="00DF1342"/>
    <w:rsid w:val="00E03965"/>
    <w:rsid w:val="00E07FE7"/>
    <w:rsid w:val="00E17975"/>
    <w:rsid w:val="00E20773"/>
    <w:rsid w:val="00E3068C"/>
    <w:rsid w:val="00E32041"/>
    <w:rsid w:val="00E42233"/>
    <w:rsid w:val="00E42AE5"/>
    <w:rsid w:val="00E42EA6"/>
    <w:rsid w:val="00E43185"/>
    <w:rsid w:val="00E606D6"/>
    <w:rsid w:val="00E75BDD"/>
    <w:rsid w:val="00EA69E9"/>
    <w:rsid w:val="00ED45BB"/>
    <w:rsid w:val="00ED5C43"/>
    <w:rsid w:val="00ED7185"/>
    <w:rsid w:val="00EF0234"/>
    <w:rsid w:val="00EF1BFE"/>
    <w:rsid w:val="00EF2DD8"/>
    <w:rsid w:val="00EF7669"/>
    <w:rsid w:val="00F02335"/>
    <w:rsid w:val="00F02BDA"/>
    <w:rsid w:val="00F02F9F"/>
    <w:rsid w:val="00F066F9"/>
    <w:rsid w:val="00F141A9"/>
    <w:rsid w:val="00F22D3B"/>
    <w:rsid w:val="00F26E8A"/>
    <w:rsid w:val="00F3700C"/>
    <w:rsid w:val="00F404EC"/>
    <w:rsid w:val="00F415CF"/>
    <w:rsid w:val="00F41E95"/>
    <w:rsid w:val="00F472ED"/>
    <w:rsid w:val="00F5351A"/>
    <w:rsid w:val="00F5433E"/>
    <w:rsid w:val="00F54460"/>
    <w:rsid w:val="00F6010B"/>
    <w:rsid w:val="00F6148F"/>
    <w:rsid w:val="00F64545"/>
    <w:rsid w:val="00F737FF"/>
    <w:rsid w:val="00F74CED"/>
    <w:rsid w:val="00F877BB"/>
    <w:rsid w:val="00F919C9"/>
    <w:rsid w:val="00F94C51"/>
    <w:rsid w:val="00FA4E95"/>
    <w:rsid w:val="00FB0D51"/>
    <w:rsid w:val="00FC0982"/>
    <w:rsid w:val="00FD0D97"/>
    <w:rsid w:val="00FE00DB"/>
    <w:rsid w:val="00FE4261"/>
    <w:rsid w:val="00FF5D7A"/>
    <w:rsid w:val="00FF70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CE96B-6E0B-4A77-A260-B51EDAE3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772E"/>
    <w:pPr>
      <w:spacing w:after="0" w:line="240" w:lineRule="auto"/>
    </w:pPr>
    <w:rPr>
      <w:rFonts w:ascii="Times New Roman" w:eastAsia="Times New Roman" w:hAnsi="Times New Roman" w:cs="Times New Roman"/>
      <w:noProo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B772E"/>
    <w:pPr>
      <w:tabs>
        <w:tab w:val="center" w:pos="4819"/>
        <w:tab w:val="right" w:pos="9638"/>
      </w:tabs>
    </w:pPr>
  </w:style>
  <w:style w:type="character" w:customStyle="1" w:styleId="AntratsDiagrama">
    <w:name w:val="Antraštės Diagrama"/>
    <w:basedOn w:val="Numatytasispastraiposriftas"/>
    <w:link w:val="Antrats"/>
    <w:rsid w:val="006B772E"/>
    <w:rPr>
      <w:rFonts w:ascii="Times New Roman" w:eastAsia="Times New Roman" w:hAnsi="Times New Roman" w:cs="Times New Roman"/>
      <w:noProof/>
      <w:sz w:val="24"/>
      <w:szCs w:val="24"/>
    </w:rPr>
  </w:style>
  <w:style w:type="character" w:styleId="Puslapionumeris">
    <w:name w:val="page number"/>
    <w:basedOn w:val="Numatytasispastraiposriftas"/>
    <w:rsid w:val="006B772E"/>
  </w:style>
  <w:style w:type="paragraph" w:customStyle="1" w:styleId="tekstas">
    <w:name w:val="tekstas"/>
    <w:basedOn w:val="prastasis"/>
    <w:rsid w:val="006B772E"/>
    <w:pPr>
      <w:spacing w:before="100" w:beforeAutospacing="1" w:after="100" w:afterAutospacing="1"/>
    </w:pPr>
    <w:rPr>
      <w:noProof w:val="0"/>
    </w:rPr>
  </w:style>
  <w:style w:type="paragraph" w:customStyle="1" w:styleId="Pavadinimas1">
    <w:name w:val="Pavadinimas1"/>
    <w:basedOn w:val="prastasis"/>
    <w:rsid w:val="006B772E"/>
    <w:pPr>
      <w:spacing w:before="40" w:after="40"/>
      <w:ind w:right="1959"/>
    </w:pPr>
    <w:rPr>
      <w:rFonts w:eastAsia="Calibri"/>
      <w:caps/>
      <w:noProof w:val="0"/>
      <w:lang w:eastAsia="en-US"/>
    </w:rPr>
  </w:style>
  <w:style w:type="paragraph" w:styleId="Betarp">
    <w:name w:val="No Spacing"/>
    <w:qFormat/>
    <w:rsid w:val="006B772E"/>
    <w:pPr>
      <w:spacing w:after="0" w:line="240" w:lineRule="auto"/>
    </w:pPr>
    <w:rPr>
      <w:rFonts w:ascii="Calibri" w:eastAsia="Calibri" w:hAnsi="Calibri" w:cs="Times New Roman"/>
    </w:rPr>
  </w:style>
  <w:style w:type="paragraph" w:customStyle="1" w:styleId="Pa12">
    <w:name w:val="Pa12"/>
    <w:basedOn w:val="prastasis"/>
    <w:next w:val="prastasis"/>
    <w:rsid w:val="006B772E"/>
    <w:pPr>
      <w:autoSpaceDE w:val="0"/>
      <w:autoSpaceDN w:val="0"/>
      <w:adjustRightInd w:val="0"/>
      <w:spacing w:line="201" w:lineRule="atLeast"/>
    </w:pPr>
    <w:rPr>
      <w:noProof w:val="0"/>
    </w:rPr>
  </w:style>
  <w:style w:type="character" w:styleId="Emfaz">
    <w:name w:val="Emphasis"/>
    <w:qFormat/>
    <w:rsid w:val="006B772E"/>
    <w:rPr>
      <w:i/>
      <w:iCs/>
    </w:rPr>
  </w:style>
  <w:style w:type="paragraph" w:styleId="Sraopastraipa">
    <w:name w:val="List Paragraph"/>
    <w:basedOn w:val="prastasis"/>
    <w:uiPriority w:val="34"/>
    <w:qFormat/>
    <w:rsid w:val="00526307"/>
    <w:pPr>
      <w:ind w:left="720"/>
      <w:contextualSpacing/>
    </w:pPr>
  </w:style>
  <w:style w:type="character" w:styleId="Komentaronuoroda">
    <w:name w:val="annotation reference"/>
    <w:basedOn w:val="Numatytasispastraiposriftas"/>
    <w:uiPriority w:val="99"/>
    <w:semiHidden/>
    <w:unhideWhenUsed/>
    <w:rsid w:val="00F41E95"/>
    <w:rPr>
      <w:sz w:val="16"/>
      <w:szCs w:val="16"/>
    </w:rPr>
  </w:style>
  <w:style w:type="paragraph" w:styleId="Komentarotekstas">
    <w:name w:val="annotation text"/>
    <w:basedOn w:val="prastasis"/>
    <w:link w:val="KomentarotekstasDiagrama"/>
    <w:uiPriority w:val="99"/>
    <w:unhideWhenUsed/>
    <w:rsid w:val="00F41E95"/>
    <w:rPr>
      <w:sz w:val="20"/>
      <w:szCs w:val="20"/>
    </w:rPr>
  </w:style>
  <w:style w:type="character" w:customStyle="1" w:styleId="KomentarotekstasDiagrama">
    <w:name w:val="Komentaro tekstas Diagrama"/>
    <w:basedOn w:val="Numatytasispastraiposriftas"/>
    <w:link w:val="Komentarotekstas"/>
    <w:uiPriority w:val="99"/>
    <w:rsid w:val="00F41E95"/>
    <w:rPr>
      <w:rFonts w:ascii="Times New Roman" w:eastAsia="Times New Roman" w:hAnsi="Times New Roman" w:cs="Times New Roman"/>
      <w:noProof/>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1E95"/>
    <w:rPr>
      <w:b/>
      <w:bCs/>
    </w:rPr>
  </w:style>
  <w:style w:type="character" w:customStyle="1" w:styleId="KomentarotemaDiagrama">
    <w:name w:val="Komentaro tema Diagrama"/>
    <w:basedOn w:val="KomentarotekstasDiagrama"/>
    <w:link w:val="Komentarotema"/>
    <w:uiPriority w:val="99"/>
    <w:semiHidden/>
    <w:rsid w:val="00F41E95"/>
    <w:rPr>
      <w:rFonts w:ascii="Times New Roman" w:eastAsia="Times New Roman" w:hAnsi="Times New Roman" w:cs="Times New Roman"/>
      <w:b/>
      <w:bCs/>
      <w:noProof/>
      <w:sz w:val="20"/>
      <w:szCs w:val="20"/>
      <w:lang w:eastAsia="lt-LT"/>
    </w:rPr>
  </w:style>
  <w:style w:type="paragraph" w:styleId="Debesliotekstas">
    <w:name w:val="Balloon Text"/>
    <w:basedOn w:val="prastasis"/>
    <w:link w:val="DebesliotekstasDiagrama"/>
    <w:uiPriority w:val="99"/>
    <w:semiHidden/>
    <w:unhideWhenUsed/>
    <w:rsid w:val="00F41E9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1E95"/>
    <w:rPr>
      <w:rFonts w:ascii="Tahoma" w:eastAsia="Times New Roman" w:hAnsi="Tahoma" w:cs="Tahoma"/>
      <w:noProof/>
      <w:sz w:val="16"/>
      <w:szCs w:val="16"/>
      <w:lang w:eastAsia="lt-LT"/>
    </w:rPr>
  </w:style>
  <w:style w:type="character" w:styleId="Grietas">
    <w:name w:val="Strong"/>
    <w:basedOn w:val="Numatytasispastraiposriftas"/>
    <w:uiPriority w:val="22"/>
    <w:qFormat/>
    <w:rsid w:val="008C2ACA"/>
    <w:rPr>
      <w:b/>
      <w:bCs/>
      <w:color w:val="003F84"/>
    </w:rPr>
  </w:style>
  <w:style w:type="paragraph" w:customStyle="1" w:styleId="Preformatted">
    <w:name w:val="Preformatted"/>
    <w:basedOn w:val="prastasis"/>
    <w:rsid w:val="005C460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noProof w:val="0"/>
      <w:snapToGrid w:val="0"/>
      <w:sz w:val="20"/>
      <w:szCs w:val="20"/>
      <w:lang w:eastAsia="en-US"/>
    </w:rPr>
  </w:style>
  <w:style w:type="character" w:customStyle="1" w:styleId="normal-h">
    <w:name w:val="normal-h"/>
    <w:basedOn w:val="Numatytasispastraiposriftas"/>
    <w:rsid w:val="00597A89"/>
  </w:style>
  <w:style w:type="character" w:customStyle="1" w:styleId="Numatytasispastraiposriftas1">
    <w:name w:val="Numatytasis pastraipos šriftas1"/>
    <w:rsid w:val="00500C5D"/>
  </w:style>
  <w:style w:type="character" w:customStyle="1" w:styleId="clear">
    <w:name w:val="clear"/>
    <w:basedOn w:val="Numatytasispastraiposriftas"/>
    <w:rsid w:val="00C16944"/>
  </w:style>
  <w:style w:type="character" w:customStyle="1" w:styleId="bold1">
    <w:name w:val="bold1"/>
    <w:basedOn w:val="Numatytasispastraiposriftas"/>
    <w:rsid w:val="003D3CC9"/>
    <w:rPr>
      <w:b/>
      <w:bCs/>
    </w:rPr>
  </w:style>
  <w:style w:type="paragraph" w:customStyle="1" w:styleId="Adresas">
    <w:name w:val="Adresas"/>
    <w:basedOn w:val="prastasis"/>
    <w:rsid w:val="00C52589"/>
    <w:pPr>
      <w:ind w:right="318"/>
    </w:pPr>
    <w:rPr>
      <w:noProof w:val="0"/>
      <w:lang w:eastAsia="en-US"/>
    </w:rPr>
  </w:style>
  <w:style w:type="character" w:customStyle="1" w:styleId="tablecellcolumn">
    <w:name w:val="tablecellcolumn"/>
    <w:rsid w:val="00C52589"/>
  </w:style>
  <w:style w:type="character" w:styleId="Hipersaitas">
    <w:name w:val="Hyperlink"/>
    <w:basedOn w:val="Numatytasispastraiposriftas"/>
    <w:uiPriority w:val="99"/>
    <w:unhideWhenUsed/>
    <w:rsid w:val="00346583"/>
    <w:rPr>
      <w:color w:val="0000FF" w:themeColor="hyperlink"/>
      <w:u w:val="single"/>
    </w:rPr>
  </w:style>
  <w:style w:type="paragraph" w:styleId="prastasiniatinklio">
    <w:name w:val="Normal (Web)"/>
    <w:basedOn w:val="prastasis"/>
    <w:rsid w:val="000013B8"/>
    <w:pPr>
      <w:spacing w:before="100" w:beforeAutospacing="1" w:after="100" w:afterAutospacing="1"/>
    </w:pPr>
    <w:rPr>
      <w:noProof w:val="0"/>
    </w:rPr>
  </w:style>
  <w:style w:type="character" w:customStyle="1" w:styleId="sb8d990e2">
    <w:name w:val="sb8d990e2"/>
    <w:basedOn w:val="Numatytasispastraiposriftas"/>
    <w:rsid w:val="00844132"/>
  </w:style>
  <w:style w:type="character" w:customStyle="1" w:styleId="s6b621b36">
    <w:name w:val="s6b621b36"/>
    <w:basedOn w:val="Numatytasispastraiposriftas"/>
    <w:rsid w:val="00844132"/>
  </w:style>
  <w:style w:type="paragraph" w:styleId="HTMLiankstoformatuotas">
    <w:name w:val="HTML Preformatted"/>
    <w:basedOn w:val="prastasis"/>
    <w:link w:val="HTMLiankstoformatuotasDiagrama"/>
    <w:semiHidden/>
    <w:rsid w:val="00F91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HTMLiankstoformatuotasDiagrama">
    <w:name w:val="HTML iš anksto formatuotas Diagrama"/>
    <w:basedOn w:val="Numatytasispastraiposriftas"/>
    <w:link w:val="HTMLiankstoformatuotas"/>
    <w:semiHidden/>
    <w:rsid w:val="00F919C9"/>
    <w:rPr>
      <w:rFonts w:ascii="Courier New" w:eastAsia="Times New Roman" w:hAnsi="Courier New" w:cs="Courier New"/>
      <w:sz w:val="20"/>
      <w:szCs w:val="20"/>
      <w:lang w:eastAsia="lt-LT"/>
    </w:rPr>
  </w:style>
  <w:style w:type="character" w:customStyle="1" w:styleId="TekstasDiagrama">
    <w:name w:val="Tekstas Diagrama"/>
    <w:link w:val="Tekstas0"/>
    <w:locked/>
    <w:rsid w:val="002A1E55"/>
    <w:rPr>
      <w:rFonts w:ascii="Times New Roman" w:eastAsia="Times New Roman" w:hAnsi="Times New Roman" w:cs="Times New Roman"/>
      <w:sz w:val="24"/>
      <w:szCs w:val="24"/>
    </w:rPr>
  </w:style>
  <w:style w:type="paragraph" w:customStyle="1" w:styleId="Tekstas0">
    <w:name w:val="Tekstas"/>
    <w:basedOn w:val="prastasis"/>
    <w:link w:val="TekstasDiagrama"/>
    <w:rsid w:val="002A1E55"/>
    <w:pPr>
      <w:spacing w:before="40" w:after="40"/>
      <w:ind w:right="40" w:firstLine="1247"/>
      <w:jc w:val="both"/>
    </w:pPr>
    <w:rPr>
      <w:noProof w:val="0"/>
      <w:lang w:eastAsia="en-US"/>
    </w:rPr>
  </w:style>
  <w:style w:type="paragraph" w:customStyle="1" w:styleId="tajtip">
    <w:name w:val="tajtip"/>
    <w:basedOn w:val="prastasis"/>
    <w:rsid w:val="00044A37"/>
    <w:pPr>
      <w:spacing w:after="150"/>
    </w:pPr>
    <w:rPr>
      <w:noProof w:val="0"/>
    </w:rPr>
  </w:style>
  <w:style w:type="character" w:customStyle="1" w:styleId="clear1">
    <w:name w:val="clear1"/>
    <w:basedOn w:val="Numatytasispastraiposriftas"/>
    <w:rsid w:val="00D52E3A"/>
  </w:style>
  <w:style w:type="character" w:customStyle="1" w:styleId="bkg-highlight-red1">
    <w:name w:val="bkg-highlight-red1"/>
    <w:basedOn w:val="Numatytasispastraiposriftas"/>
    <w:rsid w:val="00B64A67"/>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5204">
      <w:bodyDiv w:val="1"/>
      <w:marLeft w:val="160"/>
      <w:marRight w:val="160"/>
      <w:marTop w:val="0"/>
      <w:marBottom w:val="0"/>
      <w:divBdr>
        <w:top w:val="none" w:sz="0" w:space="0" w:color="auto"/>
        <w:left w:val="none" w:sz="0" w:space="0" w:color="auto"/>
        <w:bottom w:val="none" w:sz="0" w:space="0" w:color="auto"/>
        <w:right w:val="none" w:sz="0" w:space="0" w:color="auto"/>
      </w:divBdr>
      <w:divsChild>
        <w:div w:id="333607994">
          <w:marLeft w:val="0"/>
          <w:marRight w:val="0"/>
          <w:marTop w:val="0"/>
          <w:marBottom w:val="0"/>
          <w:divBdr>
            <w:top w:val="none" w:sz="0" w:space="0" w:color="auto"/>
            <w:left w:val="none" w:sz="0" w:space="0" w:color="auto"/>
            <w:bottom w:val="none" w:sz="0" w:space="0" w:color="auto"/>
            <w:right w:val="none" w:sz="0" w:space="0" w:color="auto"/>
          </w:divBdr>
        </w:div>
      </w:divsChild>
    </w:div>
    <w:div w:id="448352484">
      <w:bodyDiv w:val="1"/>
      <w:marLeft w:val="0"/>
      <w:marRight w:val="0"/>
      <w:marTop w:val="0"/>
      <w:marBottom w:val="0"/>
      <w:divBdr>
        <w:top w:val="none" w:sz="0" w:space="0" w:color="auto"/>
        <w:left w:val="none" w:sz="0" w:space="0" w:color="auto"/>
        <w:bottom w:val="none" w:sz="0" w:space="0" w:color="auto"/>
        <w:right w:val="none" w:sz="0" w:space="0" w:color="auto"/>
      </w:divBdr>
      <w:divsChild>
        <w:div w:id="242568318">
          <w:marLeft w:val="0"/>
          <w:marRight w:val="0"/>
          <w:marTop w:val="0"/>
          <w:marBottom w:val="0"/>
          <w:divBdr>
            <w:top w:val="none" w:sz="0" w:space="0" w:color="auto"/>
            <w:left w:val="none" w:sz="0" w:space="0" w:color="auto"/>
            <w:bottom w:val="none" w:sz="0" w:space="0" w:color="auto"/>
            <w:right w:val="none" w:sz="0" w:space="0" w:color="auto"/>
          </w:divBdr>
          <w:divsChild>
            <w:div w:id="431164991">
              <w:marLeft w:val="0"/>
              <w:marRight w:val="0"/>
              <w:marTop w:val="0"/>
              <w:marBottom w:val="0"/>
              <w:divBdr>
                <w:top w:val="none" w:sz="0" w:space="0" w:color="auto"/>
                <w:left w:val="none" w:sz="0" w:space="0" w:color="auto"/>
                <w:bottom w:val="none" w:sz="0" w:space="0" w:color="auto"/>
                <w:right w:val="none" w:sz="0" w:space="0" w:color="auto"/>
              </w:divBdr>
              <w:divsChild>
                <w:div w:id="1961715930">
                  <w:marLeft w:val="0"/>
                  <w:marRight w:val="0"/>
                  <w:marTop w:val="0"/>
                  <w:marBottom w:val="0"/>
                  <w:divBdr>
                    <w:top w:val="none" w:sz="0" w:space="0" w:color="auto"/>
                    <w:left w:val="none" w:sz="0" w:space="0" w:color="auto"/>
                    <w:bottom w:val="none" w:sz="0" w:space="0" w:color="auto"/>
                    <w:right w:val="none" w:sz="0" w:space="0" w:color="auto"/>
                  </w:divBdr>
                  <w:divsChild>
                    <w:div w:id="1994290657">
                      <w:marLeft w:val="0"/>
                      <w:marRight w:val="0"/>
                      <w:marTop w:val="0"/>
                      <w:marBottom w:val="0"/>
                      <w:divBdr>
                        <w:top w:val="none" w:sz="0" w:space="0" w:color="auto"/>
                        <w:left w:val="none" w:sz="0" w:space="0" w:color="auto"/>
                        <w:bottom w:val="none" w:sz="0" w:space="0" w:color="auto"/>
                        <w:right w:val="none" w:sz="0" w:space="0" w:color="auto"/>
                      </w:divBdr>
                      <w:divsChild>
                        <w:div w:id="13184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93232">
      <w:bodyDiv w:val="1"/>
      <w:marLeft w:val="160"/>
      <w:marRight w:val="160"/>
      <w:marTop w:val="0"/>
      <w:marBottom w:val="0"/>
      <w:divBdr>
        <w:top w:val="none" w:sz="0" w:space="0" w:color="auto"/>
        <w:left w:val="none" w:sz="0" w:space="0" w:color="auto"/>
        <w:bottom w:val="none" w:sz="0" w:space="0" w:color="auto"/>
        <w:right w:val="none" w:sz="0" w:space="0" w:color="auto"/>
      </w:divBdr>
      <w:divsChild>
        <w:div w:id="1839540998">
          <w:marLeft w:val="0"/>
          <w:marRight w:val="0"/>
          <w:marTop w:val="0"/>
          <w:marBottom w:val="0"/>
          <w:divBdr>
            <w:top w:val="none" w:sz="0" w:space="0" w:color="auto"/>
            <w:left w:val="none" w:sz="0" w:space="0" w:color="auto"/>
            <w:bottom w:val="none" w:sz="0" w:space="0" w:color="auto"/>
            <w:right w:val="none" w:sz="0" w:space="0" w:color="auto"/>
          </w:divBdr>
        </w:div>
      </w:divsChild>
    </w:div>
    <w:div w:id="741291970">
      <w:bodyDiv w:val="1"/>
      <w:marLeft w:val="0"/>
      <w:marRight w:val="0"/>
      <w:marTop w:val="0"/>
      <w:marBottom w:val="0"/>
      <w:divBdr>
        <w:top w:val="none" w:sz="0" w:space="0" w:color="auto"/>
        <w:left w:val="none" w:sz="0" w:space="0" w:color="auto"/>
        <w:bottom w:val="none" w:sz="0" w:space="0" w:color="auto"/>
        <w:right w:val="none" w:sz="0" w:space="0" w:color="auto"/>
      </w:divBdr>
    </w:div>
    <w:div w:id="886144835">
      <w:bodyDiv w:val="1"/>
      <w:marLeft w:val="0"/>
      <w:marRight w:val="0"/>
      <w:marTop w:val="0"/>
      <w:marBottom w:val="0"/>
      <w:divBdr>
        <w:top w:val="none" w:sz="0" w:space="0" w:color="auto"/>
        <w:left w:val="none" w:sz="0" w:space="0" w:color="auto"/>
        <w:bottom w:val="none" w:sz="0" w:space="0" w:color="auto"/>
        <w:right w:val="none" w:sz="0" w:space="0" w:color="auto"/>
      </w:divBdr>
    </w:div>
    <w:div w:id="192722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F3C0E-D0F0-4E0E-B011-DC79DA84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12643</Words>
  <Characters>7208</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2019-06-14T05:13:00Z</dcterms:created>
  <dc:creator>V.Rudenaite</dc:creator>
  <cp:lastModifiedBy>Vaida Rudėnaitė</cp:lastModifiedBy>
  <cp:lastPrinted>2016-04-26T11:27:00Z</cp:lastPrinted>
  <dcterms:modified xsi:type="dcterms:W3CDTF">2019-06-14T05:13:00Z</dcterms:modified>
  <cp:revision>2</cp:revision>
</cp:coreProperties>
</file>