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B11566" w:rsidRDefault="006E224F" w:rsidP="006E224F">
      <w:pPr>
        <w:spacing w:after="0" w:line="240" w:lineRule="auto"/>
        <w:jc w:val="center"/>
        <w:rPr>
          <w:rFonts w:eastAsia="Calibri" w:cs="Times New Roman"/>
          <w:b/>
          <w:sz w:val="26"/>
          <w:szCs w:val="26"/>
        </w:rPr>
      </w:pPr>
      <w:r w:rsidRPr="00B11566">
        <w:rPr>
          <w:rFonts w:eastAsia="Calibri" w:cs="Times New Roman"/>
          <w:b/>
          <w:sz w:val="26"/>
          <w:szCs w:val="26"/>
        </w:rPr>
        <w:t>PAŽYMA</w:t>
      </w:r>
    </w:p>
    <w:p w:rsidR="006E224F" w:rsidRPr="00B11566" w:rsidRDefault="006E224F" w:rsidP="006E224F">
      <w:pPr>
        <w:spacing w:after="0" w:line="240" w:lineRule="auto"/>
        <w:jc w:val="center"/>
        <w:rPr>
          <w:rFonts w:eastAsia="Calibri" w:cs="Times New Roman"/>
          <w:b/>
          <w:sz w:val="26"/>
          <w:szCs w:val="26"/>
        </w:rPr>
      </w:pPr>
      <w:r w:rsidRPr="00B11566">
        <w:rPr>
          <w:rFonts w:eastAsia="Calibri" w:cs="Times New Roman"/>
          <w:b/>
          <w:sz w:val="26"/>
          <w:szCs w:val="26"/>
        </w:rPr>
        <w:t xml:space="preserve">Dėl š. m. </w:t>
      </w:r>
      <w:r w:rsidR="00AA132A" w:rsidRPr="00B11566">
        <w:rPr>
          <w:rFonts w:eastAsia="Calibri" w:cs="Times New Roman"/>
          <w:b/>
          <w:sz w:val="26"/>
          <w:szCs w:val="26"/>
        </w:rPr>
        <w:t>kovo</w:t>
      </w:r>
      <w:r w:rsidRPr="00B11566">
        <w:rPr>
          <w:rFonts w:eastAsia="Calibri" w:cs="Times New Roman"/>
          <w:b/>
          <w:sz w:val="26"/>
          <w:szCs w:val="26"/>
        </w:rPr>
        <w:t xml:space="preserve"> 1</w:t>
      </w:r>
      <w:r w:rsidR="00AA132A" w:rsidRPr="00B11566">
        <w:rPr>
          <w:rFonts w:eastAsia="Calibri" w:cs="Times New Roman"/>
          <w:b/>
          <w:sz w:val="26"/>
          <w:szCs w:val="26"/>
        </w:rPr>
        <w:t>7</w:t>
      </w:r>
      <w:r w:rsidRPr="00B11566">
        <w:rPr>
          <w:rFonts w:eastAsia="Calibri" w:cs="Times New Roman"/>
          <w:b/>
          <w:sz w:val="26"/>
          <w:szCs w:val="26"/>
        </w:rPr>
        <w:t xml:space="preserve"> d. Ekonomikos ir finansų reikalų (ECOFIN) taryboje svarstomų klausimų</w:t>
      </w:r>
    </w:p>
    <w:p w:rsidR="00AA132A" w:rsidRPr="00D4154B" w:rsidRDefault="00AA132A" w:rsidP="006E224F">
      <w:pPr>
        <w:spacing w:after="0" w:line="240" w:lineRule="auto"/>
        <w:jc w:val="center"/>
        <w:rPr>
          <w:rFonts w:eastAsia="Calibri" w:cs="Times New Roman"/>
          <w:sz w:val="28"/>
          <w:szCs w:val="28"/>
        </w:rPr>
      </w:pPr>
    </w:p>
    <w:p w:rsidR="00D4154B" w:rsidRPr="00D4154B" w:rsidRDefault="00D4154B" w:rsidP="006E224F">
      <w:pPr>
        <w:spacing w:after="0" w:line="240" w:lineRule="auto"/>
        <w:jc w:val="center"/>
        <w:rPr>
          <w:rFonts w:eastAsia="Calibri" w:cs="Times New Roman"/>
          <w:sz w:val="28"/>
          <w:szCs w:val="28"/>
        </w:rPr>
      </w:pPr>
    </w:p>
    <w:p w:rsidR="005A1557" w:rsidRPr="005A1557" w:rsidRDefault="005A1557" w:rsidP="005A155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5A1557">
        <w:rPr>
          <w:rFonts w:cs="Times New Roman"/>
          <w:b/>
          <w:szCs w:val="24"/>
        </w:rPr>
        <w:t>Kapitalų rinkų sąjunga – aukšto lygio darbo grupės ataskaita</w:t>
      </w:r>
    </w:p>
    <w:p w:rsidR="00AA132A" w:rsidRPr="005A1557" w:rsidRDefault="00AA132A" w:rsidP="005A1557">
      <w:pPr>
        <w:spacing w:after="0" w:line="240" w:lineRule="auto"/>
        <w:jc w:val="both"/>
        <w:rPr>
          <w:rFonts w:eastAsia="Calibri" w:cs="Times New Roman"/>
          <w:szCs w:val="24"/>
        </w:rPr>
      </w:pPr>
    </w:p>
    <w:p w:rsidR="005A1557" w:rsidRPr="005A1557" w:rsidRDefault="005A1557" w:rsidP="005A1557">
      <w:pPr>
        <w:spacing w:after="0" w:line="240" w:lineRule="auto"/>
        <w:jc w:val="both"/>
        <w:rPr>
          <w:rFonts w:eastAsia="Calibri" w:cs="Times New Roman"/>
          <w:szCs w:val="24"/>
        </w:rPr>
      </w:pPr>
      <w:r w:rsidRPr="005A1557">
        <w:rPr>
          <w:rFonts w:eastAsia="Calibri" w:cs="Times New Roman"/>
          <w:b/>
          <w:szCs w:val="24"/>
          <w:u w:val="single"/>
        </w:rPr>
        <w:t>Klausimo esmė.</w:t>
      </w:r>
      <w:r w:rsidRPr="005A1557">
        <w:rPr>
          <w:rFonts w:eastAsia="Calibri" w:cs="Times New Roman"/>
          <w:szCs w:val="24"/>
        </w:rPr>
        <w:t xml:space="preserve"> 2019 m. EK įsteigė </w:t>
      </w:r>
      <w:r w:rsidR="00F83D27">
        <w:rPr>
          <w:rFonts w:eastAsia="Calibri" w:cs="Times New Roman"/>
          <w:szCs w:val="24"/>
        </w:rPr>
        <w:t xml:space="preserve">Kapitalų rinkų sąjungos (CMU) </w:t>
      </w:r>
      <w:r w:rsidRPr="005A1557">
        <w:rPr>
          <w:rFonts w:eastAsia="Calibri" w:cs="Times New Roman"/>
          <w:szCs w:val="24"/>
        </w:rPr>
        <w:t>aukšto lygio forumą, kurio tikslas – CMU kūrimo procese atliktų darbų peržiūra ir pasiūlymų dėl naujų veiksmų toliau gilinant CMU pateikimas.</w:t>
      </w:r>
    </w:p>
    <w:p w:rsidR="005A1557" w:rsidRPr="005A1557" w:rsidRDefault="005A1557" w:rsidP="005A1557">
      <w:pPr>
        <w:spacing w:after="0" w:line="240" w:lineRule="auto"/>
        <w:jc w:val="both"/>
        <w:rPr>
          <w:rFonts w:eastAsia="Calibri" w:cs="Times New Roman"/>
          <w:szCs w:val="24"/>
        </w:rPr>
      </w:pPr>
      <w:r w:rsidRPr="005A1557">
        <w:rPr>
          <w:rFonts w:eastAsia="Calibri" w:cs="Times New Roman"/>
          <w:szCs w:val="24"/>
        </w:rPr>
        <w:t xml:space="preserve">Tarpinėje ataskaitoje pateikiama nauja CMU ateities vizija ir apibrėžiami tolesni </w:t>
      </w:r>
      <w:r w:rsidR="00F83D27">
        <w:rPr>
          <w:rFonts w:eastAsia="Calibri" w:cs="Times New Roman"/>
          <w:szCs w:val="24"/>
        </w:rPr>
        <w:t>aukšto lygio forumo</w:t>
      </w:r>
      <w:r w:rsidRPr="005A1557">
        <w:rPr>
          <w:rFonts w:eastAsia="Calibri" w:cs="Times New Roman"/>
          <w:szCs w:val="24"/>
        </w:rPr>
        <w:t xml:space="preserve"> darbai. </w:t>
      </w:r>
    </w:p>
    <w:p w:rsidR="005A1557" w:rsidRPr="005A1557" w:rsidRDefault="00F83D27" w:rsidP="005A1557">
      <w:pPr>
        <w:spacing w:after="0" w:line="240" w:lineRule="auto"/>
        <w:jc w:val="both"/>
        <w:rPr>
          <w:rFonts w:eastAsia="Calibri" w:cs="Times New Roman"/>
          <w:szCs w:val="24"/>
        </w:rPr>
      </w:pPr>
      <w:r>
        <w:rPr>
          <w:rFonts w:eastAsia="Calibri" w:cs="Times New Roman"/>
          <w:szCs w:val="24"/>
        </w:rPr>
        <w:t>Aukšto lygio forumo</w:t>
      </w:r>
      <w:r w:rsidR="005A1557" w:rsidRPr="005A1557">
        <w:rPr>
          <w:rFonts w:eastAsia="Calibri" w:cs="Times New Roman"/>
          <w:szCs w:val="24"/>
        </w:rPr>
        <w:t xml:space="preserve"> galutinėje ataskaitoje, kurią numatoma paskelbti 2020 m. gegužės mėn., bus pateiktos politikos rekomendacijos dėl konkrečių priemonių, kurios turės reikšmingą poveikį, reikalauja skubių veiksmų, gali būti pasiektos per nustatytą terminą ir kurių pažangą galima aiškiai stebėti.</w:t>
      </w:r>
    </w:p>
    <w:p w:rsidR="005A1557" w:rsidRPr="005A1557" w:rsidRDefault="005A1557" w:rsidP="005A1557">
      <w:pPr>
        <w:spacing w:after="0" w:line="240" w:lineRule="auto"/>
        <w:jc w:val="both"/>
        <w:rPr>
          <w:rFonts w:eastAsia="Calibri" w:cs="Times New Roman"/>
          <w:i/>
          <w:szCs w:val="24"/>
        </w:rPr>
      </w:pPr>
      <w:r w:rsidRPr="005A1557">
        <w:rPr>
          <w:rFonts w:eastAsia="Calibri" w:cs="Times New Roman"/>
          <w:i/>
          <w:szCs w:val="24"/>
        </w:rPr>
        <w:t>Kodėl Europai reikia CMU kuo skubiau:</w:t>
      </w:r>
    </w:p>
    <w:p w:rsidR="005A1557" w:rsidRPr="005A1557" w:rsidRDefault="00F83D27" w:rsidP="0094073A">
      <w:pPr>
        <w:spacing w:after="0" w:line="240" w:lineRule="auto"/>
        <w:contextualSpacing/>
        <w:jc w:val="both"/>
        <w:rPr>
          <w:rFonts w:eastAsia="Calibri" w:cs="Times New Roman"/>
          <w:szCs w:val="24"/>
        </w:rPr>
      </w:pPr>
      <w:r>
        <w:rPr>
          <w:rFonts w:eastAsia="Calibri" w:cs="Times New Roman"/>
          <w:szCs w:val="24"/>
        </w:rPr>
        <w:t>●</w:t>
      </w:r>
      <w:r w:rsidR="0094073A">
        <w:rPr>
          <w:rFonts w:eastAsia="Calibri" w:cs="Times New Roman"/>
          <w:szCs w:val="24"/>
        </w:rPr>
        <w:t xml:space="preserve"> </w:t>
      </w:r>
      <w:r w:rsidR="005A1557" w:rsidRPr="005A1557">
        <w:rPr>
          <w:rFonts w:eastAsia="Calibri" w:cs="Times New Roman"/>
          <w:szCs w:val="24"/>
        </w:rPr>
        <w:t>vis dar nerimą kelia finansinio stabilumo ir ekonominio atsparumo užtikrinimo klausimai;</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trūksta kapitalo, kuris finansuotų inovacijas ir ekonomikos augimą;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proofErr w:type="spellStart"/>
      <w:r w:rsidR="005A1557" w:rsidRPr="005A1557">
        <w:rPr>
          <w:rFonts w:eastAsia="Calibri" w:cs="Times New Roman"/>
          <w:i/>
          <w:szCs w:val="24"/>
        </w:rPr>
        <w:t>Brexit</w:t>
      </w:r>
      <w:proofErr w:type="spellEnd"/>
      <w:r w:rsidR="005A1557" w:rsidRPr="005A1557">
        <w:rPr>
          <w:rFonts w:eastAsia="Calibri" w:cs="Times New Roman"/>
          <w:szCs w:val="24"/>
        </w:rPr>
        <w:t xml:space="preserve"> kontekste būtina užtikrinti efektyvią ir intensyvią ES ir JK finansinę integraciją ir gerai veikiančią ES rinkos infrastruktūrą;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svarbu stiprinti ES priežiūros sistemą ir jos galimybes užtikrinti tinkamas vienodas konkurencijos sąlygas bendrojoje rinkoje;</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klimato kaitos iššūkiai reikalauja sutelkti trilijonus eurų investicijų į naujas technologijas ir infrastruktūrą;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didėjanti pajamų nelygybė – piliečiai mažai investuoja kapitalo rinkose, todėl didėja pensinių pajamų nepakankamumas;</w:t>
      </w:r>
    </w:p>
    <w:p w:rsidR="005A1557" w:rsidRPr="00F83D2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F83D27">
        <w:rPr>
          <w:rFonts w:eastAsia="Calibri" w:cs="Times New Roman"/>
          <w:szCs w:val="24"/>
        </w:rPr>
        <w:t>nesiimant veiksmų šiems iššūkiams, Europa neteks galimybės būti lydere tvaraus vystymosi ir klimato pokyčių srityje, tai mažins jos konkurencingumą pasaulyje.</w:t>
      </w:r>
    </w:p>
    <w:p w:rsidR="005A1557" w:rsidRPr="005A1557" w:rsidRDefault="005A1557" w:rsidP="005A1557">
      <w:pPr>
        <w:spacing w:after="0" w:line="240" w:lineRule="auto"/>
        <w:jc w:val="both"/>
        <w:rPr>
          <w:rFonts w:eastAsia="Calibri" w:cs="Times New Roman"/>
          <w:szCs w:val="24"/>
        </w:rPr>
      </w:pPr>
    </w:p>
    <w:p w:rsidR="005A1557" w:rsidRPr="005A1557" w:rsidRDefault="005A1557" w:rsidP="005A1557">
      <w:pPr>
        <w:spacing w:after="0" w:line="240" w:lineRule="auto"/>
        <w:jc w:val="both"/>
        <w:rPr>
          <w:rFonts w:eastAsia="Calibri" w:cs="Times New Roman"/>
          <w:szCs w:val="24"/>
          <w:u w:val="single"/>
        </w:rPr>
      </w:pPr>
      <w:r w:rsidRPr="005A1557">
        <w:rPr>
          <w:rFonts w:eastAsia="Calibri" w:cs="Times New Roman"/>
          <w:szCs w:val="24"/>
          <w:u w:val="single"/>
        </w:rPr>
        <w:t>Siekiant pasinaudoti naujomis galimybėmis sparčiai kintančiame pasaulyje būtina:</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didinti ES ekonomikos atsparumą kuriant aiškesnę finansinę struktūrą, skatinant rizikos dalijimąsi privačiai, integraciją ir finansinį stabilumą;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 xml:space="preserve">skatinti ekonominį konkurencingumą ir augimą įvairesnių finansavimo šaltinių inovacijoms pagalba; </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skatinti ekonomikos perėjimą prie tvaresnės ekonomikos, nukreipiant privačias investicijas į tvaresnius tikslus.</w:t>
      </w:r>
    </w:p>
    <w:p w:rsidR="005A1557" w:rsidRPr="005A1557" w:rsidRDefault="005A1557" w:rsidP="005A1557">
      <w:pPr>
        <w:spacing w:after="0" w:line="240" w:lineRule="auto"/>
        <w:jc w:val="both"/>
        <w:rPr>
          <w:rFonts w:eastAsia="Calibri" w:cs="Times New Roman"/>
          <w:szCs w:val="24"/>
        </w:rPr>
      </w:pPr>
    </w:p>
    <w:p w:rsidR="005A1557" w:rsidRPr="005A1557" w:rsidRDefault="005A1557" w:rsidP="005A1557">
      <w:pPr>
        <w:spacing w:after="0" w:line="240" w:lineRule="auto"/>
        <w:jc w:val="both"/>
        <w:rPr>
          <w:rFonts w:eastAsia="Calibri" w:cs="Times New Roman"/>
          <w:szCs w:val="24"/>
          <w:u w:val="single"/>
        </w:rPr>
      </w:pPr>
      <w:r w:rsidRPr="005A1557">
        <w:rPr>
          <w:rFonts w:eastAsia="Calibri" w:cs="Times New Roman"/>
          <w:szCs w:val="24"/>
          <w:u w:val="single"/>
        </w:rPr>
        <w:t>Siekiant CMU pagalba sukurti geresnę ir tvaresnę finansinę ateitį ES piliečiams ir verslui būtina:</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pasiūlyti jiems galimybes geriau patenkinti ilgalaikius finansinius poreikius (pvz., planuojant tinkamas pensines pajamas);</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suteikti jiems galimybę priimti labiau pagrįstus investicinius sprendimus (be kita ko, gerinant finansinį raštingumą);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 xml:space="preserve">sukurti ekosistemą, skatinančią </w:t>
      </w:r>
      <w:proofErr w:type="spellStart"/>
      <w:r w:rsidR="005A1557" w:rsidRPr="005A1557">
        <w:rPr>
          <w:rFonts w:eastAsia="Calibri" w:cs="Times New Roman"/>
          <w:szCs w:val="24"/>
        </w:rPr>
        <w:t>verslumą</w:t>
      </w:r>
      <w:proofErr w:type="spellEnd"/>
      <w:r w:rsidR="005A1557" w:rsidRPr="005A1557">
        <w:rPr>
          <w:rFonts w:eastAsia="Calibri" w:cs="Times New Roman"/>
          <w:szCs w:val="24"/>
        </w:rPr>
        <w:t>;</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siekti išlaikyti vartotojų pasitikėjimą ir rinkos vientisumą.</w:t>
      </w:r>
    </w:p>
    <w:p w:rsidR="005A1557" w:rsidRPr="005A1557" w:rsidRDefault="005A1557" w:rsidP="005A1557">
      <w:pPr>
        <w:spacing w:after="0" w:line="240" w:lineRule="auto"/>
        <w:contextualSpacing/>
        <w:jc w:val="both"/>
        <w:rPr>
          <w:rFonts w:eastAsia="Calibri" w:cs="Times New Roman"/>
          <w:szCs w:val="24"/>
        </w:rPr>
      </w:pPr>
    </w:p>
    <w:p w:rsidR="005A1557" w:rsidRPr="005A1557" w:rsidRDefault="005A1557" w:rsidP="005A1557">
      <w:pPr>
        <w:spacing w:after="0" w:line="240" w:lineRule="auto"/>
        <w:jc w:val="both"/>
        <w:rPr>
          <w:rFonts w:eastAsia="Calibri" w:cs="Times New Roman"/>
          <w:szCs w:val="24"/>
        </w:rPr>
      </w:pPr>
      <w:r w:rsidRPr="005A1557">
        <w:rPr>
          <w:rFonts w:eastAsia="Calibri" w:cs="Times New Roman"/>
          <w:szCs w:val="24"/>
          <w:u w:val="single"/>
        </w:rPr>
        <w:t>Ateities prioritetus reikia kurti atsižvelgiant į ES stipriąsias puses, pvz.:</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finansinių paslaugų ES pasas</w:t>
      </w:r>
      <w:r w:rsidR="005A1557" w:rsidRPr="005A1557">
        <w:rPr>
          <w:rFonts w:eastAsia="Calibri" w:cs="Times New Roman"/>
          <w:szCs w:val="24"/>
        </w:rPr>
        <w:t xml:space="preserve"> – tai užtikrino efektyvią konkurenciją, naujų produktų ar paslaugų kūrimą ir piliečių poreikius atitinkančių produktų konkurencingomis kainomis pasiūlą;</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Europos priežiūros institucijų sistema (</w:t>
      </w:r>
      <w:proofErr w:type="spellStart"/>
      <w:r w:rsidR="005A1557" w:rsidRPr="005A1557">
        <w:rPr>
          <w:rFonts w:eastAsia="Calibri" w:cs="Times New Roman"/>
          <w:i/>
          <w:szCs w:val="24"/>
        </w:rPr>
        <w:t>ESA‘s</w:t>
      </w:r>
      <w:proofErr w:type="spellEnd"/>
      <w:r w:rsidR="005A1557" w:rsidRPr="005A1557">
        <w:rPr>
          <w:rFonts w:eastAsia="Calibri" w:cs="Times New Roman"/>
          <w:i/>
          <w:szCs w:val="24"/>
        </w:rPr>
        <w:t>)</w:t>
      </w:r>
      <w:r w:rsidR="005A1557" w:rsidRPr="005A1557">
        <w:rPr>
          <w:rFonts w:eastAsia="Calibri" w:cs="Times New Roman"/>
          <w:szCs w:val="24"/>
        </w:rPr>
        <w:t xml:space="preserve"> – tai užtikrino pasitikėjimą ES kapitalo rinka, vienodas veiklos sąlygas finansinių paslaugų teikėjams ES;</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Kolektyvinio investavimo subjektų reguliavimo (UCITS) sėkmė</w:t>
      </w:r>
      <w:r w:rsidR="005A1557" w:rsidRPr="005A1557">
        <w:rPr>
          <w:rFonts w:eastAsia="Calibri" w:cs="Times New Roman"/>
          <w:szCs w:val="24"/>
        </w:rPr>
        <w:t xml:space="preserve"> – patikima UCITS reguliavimo teisinė sistema tapo populiariausiu visame pasaulyje parduodamu ES finansiniu produktu.</w:t>
      </w:r>
    </w:p>
    <w:p w:rsidR="005A1557" w:rsidRDefault="005A1557" w:rsidP="005A1557">
      <w:pPr>
        <w:spacing w:after="0" w:line="240" w:lineRule="auto"/>
        <w:contextualSpacing/>
        <w:jc w:val="both"/>
        <w:rPr>
          <w:rFonts w:eastAsia="Calibri" w:cs="Times New Roman"/>
          <w:szCs w:val="24"/>
        </w:rPr>
      </w:pPr>
    </w:p>
    <w:p w:rsidR="004030AB" w:rsidRDefault="004030AB" w:rsidP="005A1557">
      <w:pPr>
        <w:spacing w:after="0" w:line="240" w:lineRule="auto"/>
        <w:contextualSpacing/>
        <w:jc w:val="both"/>
        <w:rPr>
          <w:rFonts w:eastAsia="Calibri" w:cs="Times New Roman"/>
          <w:szCs w:val="24"/>
        </w:rPr>
      </w:pPr>
    </w:p>
    <w:p w:rsidR="004030AB" w:rsidRPr="005A1557" w:rsidRDefault="004030AB" w:rsidP="005A1557">
      <w:pPr>
        <w:spacing w:after="0" w:line="240" w:lineRule="auto"/>
        <w:contextualSpacing/>
        <w:jc w:val="both"/>
        <w:rPr>
          <w:rFonts w:eastAsia="Calibri" w:cs="Times New Roman"/>
          <w:szCs w:val="24"/>
        </w:rPr>
      </w:pPr>
    </w:p>
    <w:p w:rsidR="005A1557" w:rsidRPr="000F2114" w:rsidRDefault="005A1557" w:rsidP="005A1557">
      <w:pPr>
        <w:spacing w:after="0" w:line="240" w:lineRule="auto"/>
        <w:jc w:val="both"/>
        <w:rPr>
          <w:rFonts w:eastAsia="Calibri" w:cs="Times New Roman"/>
          <w:szCs w:val="24"/>
        </w:rPr>
      </w:pPr>
      <w:r w:rsidRPr="000F2114">
        <w:rPr>
          <w:rFonts w:eastAsia="Calibri" w:cs="Times New Roman"/>
          <w:szCs w:val="24"/>
          <w:u w:val="single"/>
        </w:rPr>
        <w:lastRenderedPageBreak/>
        <w:t>Pagrindinės aukšto lygio forumo diskusijų dėl siūlytinų priemonių kryptys:</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verslo finansavimas</w:t>
      </w:r>
      <w:r w:rsidR="005A1557" w:rsidRPr="005A1557">
        <w:rPr>
          <w:rFonts w:eastAsia="Calibri" w:cs="Times New Roman"/>
          <w:szCs w:val="24"/>
        </w:rPr>
        <w:t xml:space="preserve"> – </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duomenų apie įmones skaidrumas ir palyginamumas,</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ilgalaikių investicijų instrumentai,</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institucinių investuotojų pritraukimas,</w:t>
      </w:r>
    </w:p>
    <w:p w:rsidR="005A1557" w:rsidRPr="005A1557" w:rsidRDefault="00A051EB" w:rsidP="00A051EB">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 xml:space="preserve">finansiniams tarpininkams prieinamų instrumentų plėtra, įskaitant </w:t>
      </w:r>
      <w:proofErr w:type="spellStart"/>
      <w:r w:rsidR="005A1557" w:rsidRPr="005A1557">
        <w:rPr>
          <w:rFonts w:eastAsia="Calibri" w:cs="Times New Roman"/>
          <w:szCs w:val="24"/>
        </w:rPr>
        <w:t>sekiuritizaciją</w:t>
      </w:r>
      <w:proofErr w:type="spellEnd"/>
      <w:r w:rsidR="005A1557" w:rsidRPr="005A1557">
        <w:rPr>
          <w:rFonts w:eastAsia="Calibri" w:cs="Times New Roman"/>
          <w:szCs w:val="24"/>
        </w:rPr>
        <w:t>;</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rinkos infrastruktū</w:t>
      </w:r>
      <w:r w:rsidR="005A1557" w:rsidRPr="005A1557">
        <w:rPr>
          <w:rFonts w:eastAsia="Calibri" w:cs="Times New Roman"/>
          <w:szCs w:val="24"/>
        </w:rPr>
        <w:t>ra –</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 xml:space="preserve">priemonės, kuriomis siekiama geriau integruoti ir efektyvinti prekybos ir </w:t>
      </w:r>
      <w:proofErr w:type="spellStart"/>
      <w:r w:rsidR="005A1557" w:rsidRPr="005A1557">
        <w:rPr>
          <w:rFonts w:eastAsia="Calibri" w:cs="Times New Roman"/>
          <w:szCs w:val="24"/>
        </w:rPr>
        <w:t>poprekybos</w:t>
      </w:r>
      <w:proofErr w:type="spellEnd"/>
      <w:r w:rsidR="005A1557" w:rsidRPr="005A1557">
        <w:rPr>
          <w:rFonts w:eastAsia="Calibri" w:cs="Times New Roman"/>
          <w:szCs w:val="24"/>
        </w:rPr>
        <w:t xml:space="preserve"> paslaugų rinką,</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pagerinti antrinės rinkos likvidumą,</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 xml:space="preserve">mažmeniniai investuotojai </w:t>
      </w:r>
      <w:r w:rsidR="005A1557" w:rsidRPr="005A1557">
        <w:rPr>
          <w:rFonts w:eastAsia="Calibri" w:cs="Times New Roman"/>
          <w:szCs w:val="24"/>
        </w:rPr>
        <w:t>–</w:t>
      </w:r>
    </w:p>
    <w:p w:rsidR="005A1557" w:rsidRPr="00261FBA" w:rsidRDefault="00261FBA" w:rsidP="00261FBA">
      <w:pPr>
        <w:spacing w:after="0" w:line="240" w:lineRule="auto"/>
        <w:jc w:val="both"/>
        <w:rPr>
          <w:rFonts w:eastAsia="Calibri" w:cs="Times New Roman"/>
          <w:szCs w:val="24"/>
        </w:rPr>
      </w:pPr>
      <w:r w:rsidRPr="00261FBA">
        <w:rPr>
          <w:rFonts w:eastAsia="Calibri" w:cs="Times New Roman"/>
          <w:szCs w:val="24"/>
        </w:rPr>
        <w:t>-</w:t>
      </w:r>
      <w:r>
        <w:rPr>
          <w:rFonts w:eastAsia="Calibri" w:cs="Times New Roman"/>
          <w:szCs w:val="24"/>
        </w:rPr>
        <w:t xml:space="preserve"> </w:t>
      </w:r>
      <w:r w:rsidR="005A1557" w:rsidRPr="00261FBA">
        <w:rPr>
          <w:rFonts w:eastAsia="Calibri" w:cs="Times New Roman"/>
          <w:szCs w:val="24"/>
        </w:rPr>
        <w:t>mažmeninių investuotojų dalyvavimo kapitalo rinkose skatinimas naudojant tinkamus profesinių ir asmeninių pensijų produktus,</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 xml:space="preserve">jų finansinio raštingumo ir nuosavybės kultūros lygio didinimas bei </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galimybės gauti aukštos kokybės finansinį patarimą užtikrinimas;</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i/>
          <w:szCs w:val="24"/>
        </w:rPr>
        <w:t>kompleksiniai klausimai</w:t>
      </w:r>
      <w:r w:rsidR="005A1557" w:rsidRPr="005A1557">
        <w:rPr>
          <w:rFonts w:eastAsia="Calibri" w:cs="Times New Roman"/>
          <w:szCs w:val="24"/>
        </w:rPr>
        <w:t xml:space="preserve"> – </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mokestinės kliūtys ir teisinis tikrumas tarpvalstybinių investicijų atvejais,</w:t>
      </w:r>
    </w:p>
    <w:p w:rsidR="005A1557" w:rsidRPr="005A1557" w:rsidRDefault="00261FBA" w:rsidP="00261FBA">
      <w:pPr>
        <w:spacing w:after="0" w:line="240" w:lineRule="auto"/>
        <w:contextualSpacing/>
        <w:jc w:val="both"/>
        <w:rPr>
          <w:rFonts w:eastAsia="Calibri" w:cs="Times New Roman"/>
          <w:szCs w:val="24"/>
        </w:rPr>
      </w:pPr>
      <w:r>
        <w:rPr>
          <w:rFonts w:eastAsia="Calibri" w:cs="Times New Roman"/>
          <w:szCs w:val="24"/>
        </w:rPr>
        <w:t xml:space="preserve">- </w:t>
      </w:r>
      <w:r w:rsidR="005A1557" w:rsidRPr="005A1557">
        <w:rPr>
          <w:rFonts w:eastAsia="Calibri" w:cs="Times New Roman"/>
          <w:szCs w:val="24"/>
        </w:rPr>
        <w:t>vienodų veiklos sąlygų</w:t>
      </w:r>
      <w:r w:rsidR="005A1557" w:rsidRPr="005A1557">
        <w:rPr>
          <w:rFonts w:eastAsia="Calibri" w:cs="Times New Roman"/>
          <w:i/>
          <w:szCs w:val="24"/>
        </w:rPr>
        <w:t xml:space="preserve"> </w:t>
      </w:r>
      <w:r w:rsidR="005A1557" w:rsidRPr="005A1557">
        <w:rPr>
          <w:rFonts w:eastAsia="Calibri" w:cs="Times New Roman"/>
          <w:szCs w:val="24"/>
        </w:rPr>
        <w:t>užtikrinimas ir reguliacinio arbitražo pašalinimas.</w:t>
      </w:r>
    </w:p>
    <w:p w:rsidR="005A1557" w:rsidRPr="005A1557" w:rsidRDefault="005A1557" w:rsidP="005A1557">
      <w:pPr>
        <w:spacing w:after="0" w:line="240" w:lineRule="auto"/>
        <w:jc w:val="both"/>
        <w:rPr>
          <w:rFonts w:eastAsia="Calibri" w:cs="Times New Roman"/>
          <w:color w:val="000000"/>
          <w:szCs w:val="24"/>
        </w:rPr>
      </w:pPr>
      <w:r w:rsidRPr="005A1557">
        <w:rPr>
          <w:rFonts w:eastAsia="Calibri" w:cs="Times New Roman"/>
          <w:b/>
          <w:color w:val="000000"/>
          <w:szCs w:val="24"/>
          <w:u w:val="single"/>
        </w:rPr>
        <w:t>Lietuvos pozicija.</w:t>
      </w:r>
      <w:r w:rsidRPr="005A1557">
        <w:rPr>
          <w:rFonts w:eastAsia="Calibri" w:cs="Times New Roman"/>
          <w:b/>
          <w:color w:val="000000"/>
          <w:szCs w:val="24"/>
        </w:rPr>
        <w:t xml:space="preserve"> </w:t>
      </w:r>
      <w:r w:rsidRPr="005A1557">
        <w:rPr>
          <w:rFonts w:eastAsia="Calibri" w:cs="Times New Roman"/>
          <w:color w:val="000000"/>
          <w:szCs w:val="24"/>
        </w:rPr>
        <w:t>Pritariame aukšto lygio forumo veiklai, manome, kad pasirinktos tinkamos veiklos kryptys, ypač lauksime galutinių išsamių rekomendacijų dėl veiksmingų priemonių CMU gilinimui.</w:t>
      </w:r>
    </w:p>
    <w:p w:rsidR="005A1557" w:rsidRPr="005A1557" w:rsidRDefault="005A1557" w:rsidP="005A1557">
      <w:pPr>
        <w:spacing w:after="0" w:line="240" w:lineRule="auto"/>
        <w:jc w:val="both"/>
        <w:rPr>
          <w:rFonts w:eastAsia="Calibri" w:cs="Times New Roman"/>
          <w:color w:val="000000"/>
          <w:szCs w:val="24"/>
        </w:rPr>
      </w:pPr>
      <w:r w:rsidRPr="005A1557">
        <w:rPr>
          <w:rFonts w:eastAsia="Calibri" w:cs="Times New Roman"/>
          <w:color w:val="000000"/>
          <w:szCs w:val="24"/>
        </w:rPr>
        <w:t xml:space="preserve">Manome, kad tiek </w:t>
      </w:r>
      <w:proofErr w:type="spellStart"/>
      <w:r w:rsidRPr="005A1557">
        <w:rPr>
          <w:rFonts w:eastAsia="Calibri" w:cs="Times New Roman"/>
          <w:color w:val="000000"/>
          <w:szCs w:val="24"/>
        </w:rPr>
        <w:t>Brexit</w:t>
      </w:r>
      <w:proofErr w:type="spellEnd"/>
      <w:r w:rsidRPr="005A1557">
        <w:rPr>
          <w:rFonts w:eastAsia="Calibri" w:cs="Times New Roman"/>
          <w:color w:val="000000"/>
          <w:szCs w:val="24"/>
        </w:rPr>
        <w:t xml:space="preserve">, tiek klimato kaitos ir tvaraus vystymosi iššūkių kontekste svarbu didelį dėmesį skirti palankios aplinkos, kuri leistų vystytis inovacijoms, technologijoms ir </w:t>
      </w:r>
      <w:proofErr w:type="spellStart"/>
      <w:r w:rsidRPr="005A1557">
        <w:rPr>
          <w:rFonts w:eastAsia="Calibri" w:cs="Times New Roman"/>
          <w:color w:val="000000"/>
          <w:szCs w:val="24"/>
        </w:rPr>
        <w:t>skaitmeninimui</w:t>
      </w:r>
      <w:proofErr w:type="spellEnd"/>
      <w:r w:rsidRPr="005A1557">
        <w:rPr>
          <w:rFonts w:eastAsia="Calibri" w:cs="Times New Roman"/>
          <w:color w:val="000000"/>
          <w:szCs w:val="24"/>
        </w:rPr>
        <w:t xml:space="preserve"> finansų sektoriuje, užtikrinimui ir būtinybei sukurti technologiškai neutralią finansų rinkų reguliavimo sistemą. Taip pat labai svarbu ir toliau ieškoti būdų skatinti tvarų finansavimą, užtikrinti kuo didesnę SVV prieigą prie kapitalo rinkos bei didinti piliečių finansinį švietimą.</w:t>
      </w:r>
    </w:p>
    <w:p w:rsidR="005A1557" w:rsidRPr="005A1557" w:rsidRDefault="005A1557" w:rsidP="005A1557">
      <w:pPr>
        <w:spacing w:after="0" w:line="240" w:lineRule="auto"/>
        <w:jc w:val="both"/>
        <w:rPr>
          <w:rFonts w:eastAsia="Calibri" w:cs="Times New Roman"/>
          <w:color w:val="000000"/>
          <w:szCs w:val="24"/>
        </w:rPr>
      </w:pPr>
      <w:r w:rsidRPr="005A1557">
        <w:rPr>
          <w:rFonts w:eastAsia="Calibri" w:cs="Times New Roman"/>
          <w:color w:val="000000"/>
          <w:szCs w:val="24"/>
        </w:rPr>
        <w:t xml:space="preserve">Atsižvelgdami į tai, kad Europos priežiūros institucijų peržiūra ką tik įvyko, manytume, kad Europos priežiūros institucijų klausimas neturėtų būti atvertas. Europos priežiūros institucijos turi užtikrinti vienodas priežiūros praktikas valstybėse narėse. </w:t>
      </w:r>
    </w:p>
    <w:p w:rsidR="005A1557" w:rsidRDefault="005A1557" w:rsidP="005A1557">
      <w:pPr>
        <w:spacing w:after="0" w:line="240" w:lineRule="auto"/>
        <w:jc w:val="both"/>
        <w:rPr>
          <w:rFonts w:eastAsia="Calibri" w:cs="Times New Roman"/>
          <w:szCs w:val="24"/>
        </w:rPr>
      </w:pPr>
    </w:p>
    <w:p w:rsidR="00D4154B" w:rsidRDefault="00D4154B" w:rsidP="005A1557">
      <w:pPr>
        <w:spacing w:after="0" w:line="240" w:lineRule="auto"/>
        <w:jc w:val="both"/>
        <w:rPr>
          <w:rFonts w:eastAsia="Calibri" w:cs="Times New Roman"/>
          <w:szCs w:val="24"/>
        </w:rPr>
      </w:pPr>
    </w:p>
    <w:p w:rsidR="000F4400" w:rsidRPr="005A1557" w:rsidRDefault="000F4400" w:rsidP="000F440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rPr>
        <w:t xml:space="preserve">Mokumas II </w:t>
      </w:r>
      <w:r w:rsidR="000F589C">
        <w:rPr>
          <w:rFonts w:cs="Times New Roman"/>
          <w:b/>
          <w:szCs w:val="24"/>
        </w:rPr>
        <w:t>–</w:t>
      </w:r>
      <w:r>
        <w:rPr>
          <w:rFonts w:cs="Times New Roman"/>
          <w:b/>
          <w:szCs w:val="24"/>
        </w:rPr>
        <w:t xml:space="preserve"> </w:t>
      </w:r>
      <w:r w:rsidR="000F589C">
        <w:rPr>
          <w:rFonts w:cs="Times New Roman"/>
          <w:b/>
          <w:szCs w:val="24"/>
        </w:rPr>
        <w:t xml:space="preserve">direktyvos </w:t>
      </w:r>
      <w:r>
        <w:rPr>
          <w:rFonts w:cs="Times New Roman"/>
          <w:b/>
          <w:szCs w:val="24"/>
        </w:rPr>
        <w:t>apžvalga</w:t>
      </w:r>
    </w:p>
    <w:p w:rsidR="00EB0D85" w:rsidRDefault="00EB0D85" w:rsidP="007F75CB">
      <w:pPr>
        <w:spacing w:after="0" w:line="240" w:lineRule="auto"/>
        <w:jc w:val="both"/>
        <w:rPr>
          <w:b/>
          <w:szCs w:val="24"/>
          <w:u w:val="single"/>
        </w:rPr>
      </w:pPr>
    </w:p>
    <w:p w:rsidR="000F2114" w:rsidRDefault="007F75CB" w:rsidP="007F75CB">
      <w:pPr>
        <w:spacing w:after="0" w:line="240" w:lineRule="auto"/>
        <w:jc w:val="both"/>
        <w:rPr>
          <w:rFonts w:cs="Times New Roman"/>
          <w:color w:val="000000"/>
          <w:szCs w:val="24"/>
        </w:rPr>
      </w:pPr>
      <w:r w:rsidRPr="007F75CB">
        <w:rPr>
          <w:b/>
          <w:szCs w:val="24"/>
          <w:u w:val="single"/>
        </w:rPr>
        <w:t>Klausimo esmė.</w:t>
      </w:r>
      <w:r>
        <w:rPr>
          <w:szCs w:val="24"/>
        </w:rPr>
        <w:t xml:space="preserve"> </w:t>
      </w:r>
      <w:r w:rsidR="00EB0D85">
        <w:rPr>
          <w:rFonts w:cs="Times New Roman"/>
          <w:color w:val="000000"/>
          <w:szCs w:val="24"/>
        </w:rPr>
        <w:t>2009 m. lapkričio 25 d. Europos Parlamento ir Tarybos direktyva 2009/138/EB dėl draudimo ir perdraudimo veiklos pradėj</w:t>
      </w:r>
      <w:r w:rsidR="000F2114">
        <w:rPr>
          <w:rFonts w:cs="Times New Roman"/>
          <w:color w:val="000000"/>
          <w:szCs w:val="24"/>
        </w:rPr>
        <w:t>imo ir jos vykdymo (Mokumas II)</w:t>
      </w:r>
      <w:r w:rsidR="00EB0D85">
        <w:rPr>
          <w:rFonts w:cs="Times New Roman"/>
          <w:color w:val="000000"/>
          <w:szCs w:val="24"/>
        </w:rPr>
        <w:t xml:space="preserve"> </w:t>
      </w:r>
      <w:r w:rsidR="00EB0D85" w:rsidRPr="000F2114">
        <w:rPr>
          <w:rFonts w:cs="Times New Roman"/>
          <w:color w:val="000000"/>
          <w:szCs w:val="24"/>
        </w:rPr>
        <w:t>nustatyta nauja mokumo kapitalo</w:t>
      </w:r>
      <w:r w:rsidR="00EB0D85">
        <w:rPr>
          <w:rFonts w:cs="Times New Roman"/>
          <w:color w:val="000000"/>
          <w:szCs w:val="24"/>
        </w:rPr>
        <w:t xml:space="preserve"> (atsižvelgiama į visas kiekybines </w:t>
      </w:r>
      <w:proofErr w:type="spellStart"/>
      <w:r w:rsidR="00EB0D85">
        <w:rPr>
          <w:rFonts w:cs="Times New Roman"/>
          <w:color w:val="000000"/>
          <w:szCs w:val="24"/>
        </w:rPr>
        <w:t>rizikas</w:t>
      </w:r>
      <w:proofErr w:type="spellEnd"/>
      <w:r w:rsidR="00EB0D85">
        <w:rPr>
          <w:rFonts w:cs="Times New Roman"/>
          <w:color w:val="000000"/>
          <w:szCs w:val="24"/>
        </w:rPr>
        <w:t xml:space="preserve">, pasireiškiančias įmonės veikloje), </w:t>
      </w:r>
      <w:r w:rsidR="00EB0D85" w:rsidRPr="000F2114">
        <w:rPr>
          <w:rFonts w:cs="Times New Roman"/>
          <w:color w:val="000000"/>
          <w:szCs w:val="24"/>
        </w:rPr>
        <w:t xml:space="preserve">minimalaus kapitalo apskaičiavimo ir padengimo tinkamomis nuosavomis lėšomis </w:t>
      </w:r>
      <w:r w:rsidR="00EB0D85">
        <w:rPr>
          <w:rFonts w:cs="Times New Roman"/>
          <w:color w:val="000000"/>
          <w:szCs w:val="24"/>
        </w:rPr>
        <w:t xml:space="preserve">(kurios skirstomos į tris kokybinius lygius) </w:t>
      </w:r>
      <w:r w:rsidR="00EB0D85" w:rsidRPr="000F2114">
        <w:rPr>
          <w:rFonts w:cs="Times New Roman"/>
          <w:color w:val="000000"/>
          <w:szCs w:val="24"/>
        </w:rPr>
        <w:t xml:space="preserve">tvarka, taip pat nustatytas turto ir įsipareigojimų bei techninių </w:t>
      </w:r>
      <w:proofErr w:type="spellStart"/>
      <w:r w:rsidR="00EB0D85" w:rsidRPr="000F2114">
        <w:rPr>
          <w:rFonts w:cs="Times New Roman"/>
          <w:color w:val="000000"/>
          <w:szCs w:val="24"/>
        </w:rPr>
        <w:t>atidėjinių</w:t>
      </w:r>
      <w:proofErr w:type="spellEnd"/>
      <w:r w:rsidR="00EB0D85" w:rsidRPr="000F2114">
        <w:rPr>
          <w:rFonts w:cs="Times New Roman"/>
          <w:color w:val="000000"/>
          <w:szCs w:val="24"/>
        </w:rPr>
        <w:t xml:space="preserve"> vertinimas tikrąja verte, numatomi kokybiniai reikalavimai įmonės valdymo ir rizikos valdymo sistemoms, nustatoma nauja įmonių grupės mokumo priežiūros sistema, o įmonių priežiūra grindžiama į riziką orientuotu požiūriu</w:t>
      </w:r>
      <w:r w:rsidR="00EB0D85">
        <w:rPr>
          <w:rFonts w:cs="Times New Roman"/>
          <w:color w:val="000000"/>
          <w:szCs w:val="24"/>
        </w:rPr>
        <w:t xml:space="preserve">. </w:t>
      </w:r>
      <w:r w:rsidR="00EB0D85">
        <w:rPr>
          <w:rFonts w:cs="Times New Roman"/>
          <w:b/>
          <w:bCs/>
          <w:color w:val="000000"/>
          <w:szCs w:val="24"/>
        </w:rPr>
        <w:t xml:space="preserve">Direktyva įsigaliojo 2016 m. sausio 1 d. </w:t>
      </w:r>
      <w:r w:rsidR="00EB0D85">
        <w:rPr>
          <w:rFonts w:cs="Times New Roman"/>
          <w:color w:val="000000"/>
          <w:szCs w:val="24"/>
        </w:rPr>
        <w:t>(kartu su pakeitimais,</w:t>
      </w:r>
      <w:r w:rsidR="00EB0D85">
        <w:rPr>
          <w:rFonts w:cs="Times New Roman"/>
          <w:i/>
          <w:iCs/>
          <w:color w:val="000000"/>
          <w:szCs w:val="24"/>
        </w:rPr>
        <w:t xml:space="preserve"> numatančiais anticiklines priemones, skirtas sumažinti finansų rinkų svyravimų poveikiui draudiko finansinei būklei, siekiant užtikrinti, kad draudikai ir toliau būtų svarbūs ilgalaikiai investuotojai finansų rinkose ir ilgalaikių draudimo produktų teikėjai</w:t>
      </w:r>
      <w:r w:rsidR="00EB0D85">
        <w:rPr>
          <w:rFonts w:cs="Times New Roman"/>
          <w:color w:val="000000"/>
          <w:szCs w:val="24"/>
        </w:rPr>
        <w:t>, padarytais 2014/51/ES direktyva)</w:t>
      </w:r>
      <w:r w:rsidR="000F2114">
        <w:rPr>
          <w:rFonts w:cs="Times New Roman"/>
          <w:color w:val="000000"/>
          <w:szCs w:val="24"/>
        </w:rPr>
        <w:t>.</w:t>
      </w:r>
      <w:r w:rsidR="00EB0D85">
        <w:rPr>
          <w:rFonts w:cs="Times New Roman"/>
          <w:color w:val="000000"/>
          <w:szCs w:val="24"/>
        </w:rPr>
        <w:t xml:space="preserve"> </w:t>
      </w:r>
    </w:p>
    <w:p w:rsidR="007F75CB" w:rsidRPr="007F75CB" w:rsidRDefault="007F75CB" w:rsidP="007F75CB">
      <w:pPr>
        <w:spacing w:after="0" w:line="240" w:lineRule="auto"/>
        <w:jc w:val="both"/>
        <w:rPr>
          <w:szCs w:val="24"/>
        </w:rPr>
      </w:pPr>
      <w:r w:rsidRPr="007F75CB">
        <w:rPr>
          <w:szCs w:val="24"/>
        </w:rPr>
        <w:t xml:space="preserve">Šiuo metu vyksta Mokumas II direktyvos peržiūra, Europos draudimo ir profesinių pensijų institucija (EIOPA) iki š.m. sausio 15 d. vykdė konsultacijas, dabar rinks duomenis poveikio vertinimui ir š.m. birželio pabaigoje teiks patarimą Komisijai. Komisija taip pat I-II </w:t>
      </w:r>
      <w:proofErr w:type="spellStart"/>
      <w:r w:rsidRPr="007F75CB">
        <w:rPr>
          <w:szCs w:val="24"/>
        </w:rPr>
        <w:t>ketv</w:t>
      </w:r>
      <w:proofErr w:type="spellEnd"/>
      <w:r w:rsidRPr="007F75CB">
        <w:rPr>
          <w:szCs w:val="24"/>
        </w:rPr>
        <w:t>. ketina vykdyti konsultacijas; III-IV ketvirtį, remdamasi EIOPA patarimu, atlikti poveikio vertinimą ir 2021 m. pradžioje pateikti peržiūros ataskaitą ir teisinį pasiūlymą.</w:t>
      </w:r>
    </w:p>
    <w:p w:rsidR="007F75CB" w:rsidRPr="007F75CB" w:rsidRDefault="007F75CB" w:rsidP="007F75CB">
      <w:pPr>
        <w:spacing w:after="0" w:line="240" w:lineRule="auto"/>
        <w:jc w:val="both"/>
        <w:rPr>
          <w:szCs w:val="24"/>
        </w:rPr>
      </w:pPr>
      <w:r w:rsidRPr="007F75CB">
        <w:rPr>
          <w:szCs w:val="24"/>
        </w:rPr>
        <w:t>Komisija išskyrė šiuos pagrindinius peržiūros tikslus:</w:t>
      </w:r>
    </w:p>
    <w:p w:rsidR="007F75CB" w:rsidRPr="000F589C" w:rsidRDefault="000F589C" w:rsidP="000F589C">
      <w:pPr>
        <w:spacing w:after="0" w:line="240" w:lineRule="auto"/>
        <w:jc w:val="both"/>
        <w:rPr>
          <w:szCs w:val="24"/>
        </w:rPr>
      </w:pPr>
      <w:r w:rsidRPr="000F589C">
        <w:rPr>
          <w:szCs w:val="24"/>
        </w:rPr>
        <w:t>1.</w:t>
      </w:r>
      <w:r>
        <w:rPr>
          <w:szCs w:val="24"/>
        </w:rPr>
        <w:t xml:space="preserve"> </w:t>
      </w:r>
      <w:r w:rsidR="007F75CB" w:rsidRPr="000F589C">
        <w:rPr>
          <w:szCs w:val="24"/>
        </w:rPr>
        <w:t>Kiekybiniai reikalavimai: ilgalaikių garantijų priemonės (</w:t>
      </w:r>
      <w:proofErr w:type="spellStart"/>
      <w:r w:rsidR="007F75CB" w:rsidRPr="000F589C">
        <w:rPr>
          <w:szCs w:val="24"/>
        </w:rPr>
        <w:t>Long</w:t>
      </w:r>
      <w:proofErr w:type="spellEnd"/>
      <w:r w:rsidR="007F75CB" w:rsidRPr="000F589C">
        <w:rPr>
          <w:szCs w:val="24"/>
        </w:rPr>
        <w:t xml:space="preserve"> </w:t>
      </w:r>
      <w:proofErr w:type="spellStart"/>
      <w:r w:rsidR="007F75CB" w:rsidRPr="000F589C">
        <w:rPr>
          <w:szCs w:val="24"/>
        </w:rPr>
        <w:t>term</w:t>
      </w:r>
      <w:proofErr w:type="spellEnd"/>
      <w:r w:rsidR="007F75CB" w:rsidRPr="000F589C">
        <w:rPr>
          <w:szCs w:val="24"/>
        </w:rPr>
        <w:t xml:space="preserve"> </w:t>
      </w:r>
      <w:proofErr w:type="spellStart"/>
      <w:r w:rsidR="007F75CB" w:rsidRPr="000F589C">
        <w:rPr>
          <w:szCs w:val="24"/>
        </w:rPr>
        <w:t>guarantees-</w:t>
      </w:r>
      <w:proofErr w:type="spellEnd"/>
      <w:r w:rsidR="007F75CB" w:rsidRPr="000F589C">
        <w:rPr>
          <w:szCs w:val="24"/>
        </w:rPr>
        <w:t xml:space="preserve"> LTG), rizikos parametrų kalibravimas, rizikos marža, galimybės prisidėti prie kapitalo rinkų sąjungos stiprinimo;</w:t>
      </w:r>
    </w:p>
    <w:p w:rsidR="007F75CB" w:rsidRPr="000F589C" w:rsidRDefault="000F589C" w:rsidP="000F589C">
      <w:pPr>
        <w:spacing w:after="0" w:line="240" w:lineRule="auto"/>
        <w:jc w:val="both"/>
        <w:rPr>
          <w:szCs w:val="24"/>
        </w:rPr>
      </w:pPr>
      <w:r>
        <w:rPr>
          <w:szCs w:val="24"/>
        </w:rPr>
        <w:t xml:space="preserve">2. </w:t>
      </w:r>
      <w:r w:rsidR="007F75CB" w:rsidRPr="000F589C">
        <w:rPr>
          <w:szCs w:val="24"/>
        </w:rPr>
        <w:t>Proporcingumas: naštos mažinimas mažesniems draudikams;</w:t>
      </w:r>
    </w:p>
    <w:p w:rsidR="007F75CB" w:rsidRPr="000F589C" w:rsidRDefault="000F589C" w:rsidP="000F589C">
      <w:pPr>
        <w:spacing w:after="0" w:line="240" w:lineRule="auto"/>
        <w:jc w:val="both"/>
        <w:rPr>
          <w:szCs w:val="24"/>
        </w:rPr>
      </w:pPr>
      <w:r>
        <w:rPr>
          <w:szCs w:val="24"/>
        </w:rPr>
        <w:lastRenderedPageBreak/>
        <w:t xml:space="preserve">3. </w:t>
      </w:r>
      <w:r w:rsidR="007F75CB" w:rsidRPr="000F589C">
        <w:rPr>
          <w:szCs w:val="24"/>
        </w:rPr>
        <w:t xml:space="preserve">Draudimo įmonių priežiūra ir nacionalinių priežiūros institucijų bendradarbiavimas </w:t>
      </w:r>
      <w:proofErr w:type="spellStart"/>
      <w:r w:rsidR="007F75CB" w:rsidRPr="000F589C">
        <w:rPr>
          <w:szCs w:val="24"/>
        </w:rPr>
        <w:t>cross-border</w:t>
      </w:r>
      <w:proofErr w:type="spellEnd"/>
      <w:r w:rsidR="007F75CB" w:rsidRPr="000F589C">
        <w:rPr>
          <w:szCs w:val="24"/>
        </w:rPr>
        <w:t xml:space="preserve"> atveju, draudimo įmonių gaivinimo ir pertvarkymo (IRR) režimo nustatymas, draudimo garantinių sistemų/schemų (IGS) harmonizavimas; </w:t>
      </w:r>
    </w:p>
    <w:p w:rsidR="007F75CB" w:rsidRPr="000F589C" w:rsidRDefault="000F589C" w:rsidP="000F589C">
      <w:pPr>
        <w:spacing w:after="0" w:line="240" w:lineRule="auto"/>
        <w:jc w:val="both"/>
        <w:rPr>
          <w:szCs w:val="24"/>
        </w:rPr>
      </w:pPr>
      <w:r>
        <w:rPr>
          <w:szCs w:val="24"/>
        </w:rPr>
        <w:t xml:space="preserve">4. </w:t>
      </w:r>
      <w:r w:rsidR="007F75CB" w:rsidRPr="000F589C">
        <w:rPr>
          <w:szCs w:val="24"/>
        </w:rPr>
        <w:t xml:space="preserve">Sisteminės rizikos prevencija ir finansinio stabilumo užtikrinimas: </w:t>
      </w:r>
      <w:proofErr w:type="spellStart"/>
      <w:r w:rsidR="007F75CB" w:rsidRPr="000F589C">
        <w:rPr>
          <w:szCs w:val="24"/>
        </w:rPr>
        <w:t>makroprudencinių</w:t>
      </w:r>
      <w:proofErr w:type="spellEnd"/>
      <w:r w:rsidR="007F75CB" w:rsidRPr="000F589C">
        <w:rPr>
          <w:szCs w:val="24"/>
        </w:rPr>
        <w:t xml:space="preserve"> priemonių išplėtimas;</w:t>
      </w:r>
    </w:p>
    <w:p w:rsidR="007F75CB" w:rsidRPr="000F589C" w:rsidRDefault="000F589C" w:rsidP="000F589C">
      <w:pPr>
        <w:spacing w:after="0" w:line="240" w:lineRule="auto"/>
        <w:jc w:val="both"/>
        <w:rPr>
          <w:szCs w:val="24"/>
        </w:rPr>
      </w:pPr>
      <w:r>
        <w:rPr>
          <w:szCs w:val="24"/>
        </w:rPr>
        <w:t xml:space="preserve">5. </w:t>
      </w:r>
      <w:r w:rsidR="007F75CB" w:rsidRPr="000F589C">
        <w:rPr>
          <w:szCs w:val="24"/>
        </w:rPr>
        <w:t xml:space="preserve">Tinkamas dėmesys klimato ir aplinkos </w:t>
      </w:r>
      <w:proofErr w:type="spellStart"/>
      <w:r w:rsidR="007F75CB" w:rsidRPr="000F589C">
        <w:rPr>
          <w:szCs w:val="24"/>
        </w:rPr>
        <w:t>rizikoms</w:t>
      </w:r>
      <w:proofErr w:type="spellEnd"/>
      <w:r w:rsidR="007F75CB" w:rsidRPr="000F589C">
        <w:rPr>
          <w:szCs w:val="24"/>
        </w:rPr>
        <w:t xml:space="preserve"> </w:t>
      </w:r>
      <w:proofErr w:type="spellStart"/>
      <w:r w:rsidR="007F75CB" w:rsidRPr="000F589C">
        <w:rPr>
          <w:i/>
          <w:szCs w:val="24"/>
        </w:rPr>
        <w:t>European</w:t>
      </w:r>
      <w:proofErr w:type="spellEnd"/>
      <w:r w:rsidR="007F75CB" w:rsidRPr="000F589C">
        <w:rPr>
          <w:i/>
          <w:szCs w:val="24"/>
        </w:rPr>
        <w:t xml:space="preserve"> </w:t>
      </w:r>
      <w:proofErr w:type="spellStart"/>
      <w:r w:rsidR="007F75CB" w:rsidRPr="000F589C">
        <w:rPr>
          <w:i/>
          <w:szCs w:val="24"/>
        </w:rPr>
        <w:t>Green</w:t>
      </w:r>
      <w:proofErr w:type="spellEnd"/>
      <w:r w:rsidR="007F75CB" w:rsidRPr="000F589C">
        <w:rPr>
          <w:i/>
          <w:szCs w:val="24"/>
        </w:rPr>
        <w:t xml:space="preserve"> </w:t>
      </w:r>
      <w:proofErr w:type="spellStart"/>
      <w:r w:rsidR="007F75CB" w:rsidRPr="000F589C">
        <w:rPr>
          <w:i/>
          <w:szCs w:val="24"/>
        </w:rPr>
        <w:t>Deal</w:t>
      </w:r>
      <w:proofErr w:type="spellEnd"/>
      <w:r w:rsidR="007F75CB" w:rsidRPr="000F589C">
        <w:rPr>
          <w:szCs w:val="24"/>
        </w:rPr>
        <w:t xml:space="preserve"> kontekste. </w:t>
      </w:r>
    </w:p>
    <w:p w:rsidR="007F75CB" w:rsidRPr="007F75CB" w:rsidRDefault="007F75CB" w:rsidP="007F75CB">
      <w:pPr>
        <w:spacing w:after="0" w:line="240" w:lineRule="auto"/>
        <w:jc w:val="both"/>
        <w:rPr>
          <w:i/>
          <w:szCs w:val="24"/>
        </w:rPr>
      </w:pPr>
      <w:r w:rsidRPr="007F75CB">
        <w:rPr>
          <w:rFonts w:eastAsia="Calibri" w:cs="Times New Roman"/>
          <w:b/>
          <w:szCs w:val="24"/>
          <w:u w:val="single"/>
        </w:rPr>
        <w:t>Lietuvos pozicija</w:t>
      </w:r>
      <w:r w:rsidRPr="007F75CB">
        <w:rPr>
          <w:rFonts w:eastAsia="Calibri" w:cs="Times New Roman"/>
          <w:szCs w:val="24"/>
        </w:rPr>
        <w:t xml:space="preserve">. </w:t>
      </w:r>
      <w:r w:rsidRPr="007F75CB">
        <w:rPr>
          <w:i/>
          <w:szCs w:val="24"/>
        </w:rPr>
        <w:t>Pirmiausia atkreiptinas dėmesys, kad išsamus poveikio vertinimas dar nėra atliktas, todėl ši diskusija turėtų būti tik orientacinė ir konkretūs sprendimai dėl konkrečių priemonių neturėtų būti priimti nežinant, kokį realų poveikį jos darys draudimo rinkai ir vartotojams.</w:t>
      </w:r>
    </w:p>
    <w:p w:rsidR="007F75CB" w:rsidRPr="007F75CB" w:rsidRDefault="007F75CB" w:rsidP="007F75CB">
      <w:pPr>
        <w:spacing w:after="0" w:line="240" w:lineRule="auto"/>
        <w:jc w:val="both"/>
        <w:rPr>
          <w:szCs w:val="24"/>
        </w:rPr>
      </w:pPr>
      <w:r w:rsidRPr="007F75CB">
        <w:rPr>
          <w:szCs w:val="24"/>
        </w:rPr>
        <w:t>Dėl kiekybinių reikalavimų ir priemonių skatinančių draudikus kaip institucinius investuotojus prisidėti prie kapitalo rinkų sąjungos stiprinimo – pritariame ir tuo pačiu manome, kad turėtų būti rasti subalansuoti sprendimai: investicijos turėtų nešti grąžą, taip pat investicijos turėtų būti pakankamai saugios, kadangi investuojami draudėjų pinigai, kuriuos draudikai turės laikotarpio gale jiems grąžinti; taip pat neskatintų kurtis „burbulų“ (pvz. dėl investicijų į nekilnojamąjį turtą skatinimo).</w:t>
      </w:r>
    </w:p>
    <w:p w:rsidR="007F75CB" w:rsidRPr="007F75CB" w:rsidRDefault="007F75CB" w:rsidP="007F75CB">
      <w:pPr>
        <w:spacing w:after="0" w:line="240" w:lineRule="auto"/>
        <w:jc w:val="both"/>
        <w:rPr>
          <w:szCs w:val="24"/>
        </w:rPr>
      </w:pPr>
      <w:r w:rsidRPr="007F75CB">
        <w:rPr>
          <w:szCs w:val="24"/>
        </w:rPr>
        <w:t xml:space="preserve">Dėl investicijų į žaliuosius/tvariuosius finansinius produktus, svarbu, kad draudimo rinka galėtų prisidėti prie klimato kaitos </w:t>
      </w:r>
      <w:proofErr w:type="spellStart"/>
      <w:r w:rsidRPr="007F75CB">
        <w:rPr>
          <w:szCs w:val="24"/>
        </w:rPr>
        <w:t>rizikų</w:t>
      </w:r>
      <w:proofErr w:type="spellEnd"/>
      <w:r w:rsidRPr="007F75CB">
        <w:rPr>
          <w:szCs w:val="24"/>
        </w:rPr>
        <w:t xml:space="preserve"> mažinimo, taip pat svarbu, kad tokios investicijos atitiktų tam tikrus „patikimumo“ reikalavimus (bei duotų grąžą). </w:t>
      </w:r>
    </w:p>
    <w:p w:rsidR="007F75CB" w:rsidRPr="007F75CB" w:rsidRDefault="007F75CB" w:rsidP="007F75CB">
      <w:pPr>
        <w:spacing w:after="0" w:line="240" w:lineRule="auto"/>
        <w:jc w:val="both"/>
        <w:rPr>
          <w:szCs w:val="24"/>
        </w:rPr>
      </w:pPr>
      <w:r w:rsidRPr="007F75CB">
        <w:rPr>
          <w:szCs w:val="24"/>
        </w:rPr>
        <w:t>Dėl proporcingumo geresnio pritaikymo: palaikome principą, kad turi būti proporcingai atsižvelgta į įmonių rizikos profilį, tačiau kartu pastebime, kad turėtų būti užtikrinama lygiavertė draudėjų apsauga.</w:t>
      </w:r>
    </w:p>
    <w:p w:rsidR="007F75CB" w:rsidRPr="007F75CB" w:rsidRDefault="007F75CB" w:rsidP="007F75CB">
      <w:pPr>
        <w:spacing w:after="0" w:line="240" w:lineRule="auto"/>
        <w:jc w:val="both"/>
        <w:rPr>
          <w:szCs w:val="24"/>
        </w:rPr>
      </w:pPr>
      <w:r w:rsidRPr="007F75CB">
        <w:rPr>
          <w:szCs w:val="24"/>
        </w:rPr>
        <w:t xml:space="preserve">Dėl </w:t>
      </w:r>
      <w:proofErr w:type="spellStart"/>
      <w:r w:rsidRPr="007F75CB">
        <w:rPr>
          <w:szCs w:val="24"/>
        </w:rPr>
        <w:t>makroprudencinės</w:t>
      </w:r>
      <w:proofErr w:type="spellEnd"/>
      <w:r w:rsidRPr="007F75CB">
        <w:rPr>
          <w:szCs w:val="24"/>
        </w:rPr>
        <w:t xml:space="preserve"> politikos ir priežiūros (</w:t>
      </w:r>
      <w:r w:rsidRPr="007F75CB">
        <w:rPr>
          <w:i/>
          <w:szCs w:val="24"/>
        </w:rPr>
        <w:t>kaip pastaruoju metu pradėta teigti draudimo rinka taip pat gali susidurti su sistemine rizika</w:t>
      </w:r>
      <w:r w:rsidRPr="007F75CB">
        <w:rPr>
          <w:szCs w:val="24"/>
        </w:rPr>
        <w:t>), manome, kad priemonių įvedimo poreikis turi būti pagrįstas įrodymais ir dėl to dar reikia diskusijų.</w:t>
      </w:r>
    </w:p>
    <w:p w:rsidR="007F75CB" w:rsidRPr="007F75CB" w:rsidRDefault="007F75CB" w:rsidP="007F75CB">
      <w:pPr>
        <w:spacing w:after="0" w:line="240" w:lineRule="auto"/>
        <w:jc w:val="both"/>
        <w:rPr>
          <w:szCs w:val="24"/>
        </w:rPr>
      </w:pPr>
      <w:r w:rsidRPr="007F75CB">
        <w:rPr>
          <w:szCs w:val="24"/>
        </w:rPr>
        <w:t xml:space="preserve">Dėl tarpvalstybinės veiklos priežiūros – palaikome bendradarbiavimo ir apsikeitimo informacija gerinimą. </w:t>
      </w:r>
    </w:p>
    <w:p w:rsidR="007F75CB" w:rsidRPr="007F75CB" w:rsidRDefault="007F75CB" w:rsidP="007F75CB">
      <w:pPr>
        <w:spacing w:after="0" w:line="240" w:lineRule="auto"/>
        <w:jc w:val="both"/>
        <w:rPr>
          <w:szCs w:val="24"/>
        </w:rPr>
      </w:pPr>
      <w:r w:rsidRPr="007F75CB">
        <w:rPr>
          <w:szCs w:val="24"/>
        </w:rPr>
        <w:t xml:space="preserve">Dėl draudimo įmonių gaivinimo ir pertvarkymo (IRR) režimo – svarbus klausimas, kurį taip pat reikia detaliai išanalizuoti įvertinant jau turimą patirtį, tačiau pritaikant prie draudimo rinkos specifikos. </w:t>
      </w:r>
    </w:p>
    <w:p w:rsidR="007F75CB" w:rsidRPr="007F75CB" w:rsidRDefault="007F75CB" w:rsidP="007F75CB">
      <w:pPr>
        <w:spacing w:after="0" w:line="240" w:lineRule="auto"/>
        <w:jc w:val="both"/>
        <w:rPr>
          <w:szCs w:val="24"/>
        </w:rPr>
      </w:pPr>
      <w:r w:rsidRPr="007F75CB">
        <w:rPr>
          <w:szCs w:val="24"/>
        </w:rPr>
        <w:t>Dėl draudimo garantinių schemų (IGS) harmonizavimo laikomės pozicijos, kad jeigu įvertinus poveikį būtų priimtas sprendimas siūlyti harmonizuoti IGS, turėtų būti pasiūlytos priemonės, kurios taip pat tiktų mažoms bei koncentruotoms rinkoms, ir rinkoms kuriose didelę rinkos dalį sudaro paslaugų teikimas per sieną, ir kuriomis būtų užtikrinama, kad nauda atsvertų naštą/kaštus, taip pat direktyvoje turėtų būti numatyti finansavimo mechanizmai.</w:t>
      </w:r>
    </w:p>
    <w:p w:rsidR="007F75CB" w:rsidRPr="007F75CB" w:rsidRDefault="007F75CB" w:rsidP="007F75CB">
      <w:pPr>
        <w:spacing w:after="0" w:line="240" w:lineRule="auto"/>
        <w:jc w:val="both"/>
        <w:rPr>
          <w:szCs w:val="24"/>
        </w:rPr>
      </w:pPr>
      <w:r w:rsidRPr="007F75CB">
        <w:rPr>
          <w:szCs w:val="24"/>
        </w:rPr>
        <w:t xml:space="preserve">Apskritai, </w:t>
      </w:r>
      <w:r w:rsidRPr="007F75CB">
        <w:rPr>
          <w:b/>
          <w:szCs w:val="24"/>
        </w:rPr>
        <w:t>svarstytinas IRR ir IGS klausimų atskyrimas nuo Mokumas II direktyvos peržiūros</w:t>
      </w:r>
      <w:r w:rsidRPr="007F75CB">
        <w:rPr>
          <w:szCs w:val="24"/>
        </w:rPr>
        <w:t>, nes tikėtina, šioms diskusijoms prireiks daug daugiau laiko negu kad gali pareikalauti dabartinio „Mokumas II“ režimo patobulinimas.</w:t>
      </w:r>
    </w:p>
    <w:p w:rsidR="000F4400" w:rsidRDefault="000F4400" w:rsidP="005A1557">
      <w:pPr>
        <w:spacing w:after="0" w:line="240" w:lineRule="auto"/>
        <w:jc w:val="both"/>
        <w:rPr>
          <w:rFonts w:eastAsia="Calibri" w:cs="Times New Roman"/>
          <w:szCs w:val="24"/>
        </w:rPr>
      </w:pPr>
    </w:p>
    <w:p w:rsidR="000F4400" w:rsidRDefault="000F4400" w:rsidP="005A1557">
      <w:pPr>
        <w:spacing w:after="0" w:line="240" w:lineRule="auto"/>
        <w:jc w:val="both"/>
        <w:rPr>
          <w:rFonts w:eastAsia="Calibri" w:cs="Times New Roman"/>
          <w:szCs w:val="24"/>
        </w:rPr>
      </w:pPr>
    </w:p>
    <w:p w:rsidR="000F4400" w:rsidRPr="005A1557" w:rsidRDefault="000F4400" w:rsidP="000F440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rPr>
        <w:t>Europos semestras</w:t>
      </w:r>
    </w:p>
    <w:p w:rsidR="000F4400" w:rsidRDefault="000F4400" w:rsidP="005A1557">
      <w:pPr>
        <w:spacing w:after="0" w:line="240" w:lineRule="auto"/>
        <w:jc w:val="both"/>
        <w:rPr>
          <w:rFonts w:eastAsia="Calibri" w:cs="Times New Roman"/>
          <w:szCs w:val="24"/>
        </w:rPr>
      </w:pPr>
    </w:p>
    <w:p w:rsidR="00CB3447" w:rsidRDefault="00CB3447" w:rsidP="00CB3447">
      <w:pPr>
        <w:spacing w:after="0" w:line="240" w:lineRule="auto"/>
        <w:jc w:val="both"/>
        <w:rPr>
          <w:rFonts w:eastAsia="Times New Roman" w:cs="Times New Roman"/>
          <w:szCs w:val="24"/>
          <w:lang w:eastAsia="fr-BE"/>
        </w:rPr>
      </w:pPr>
      <w:r w:rsidRPr="00CB3447">
        <w:rPr>
          <w:rFonts w:eastAsia="Times New Roman" w:cs="Times New Roman"/>
          <w:b/>
          <w:szCs w:val="24"/>
          <w:u w:val="single"/>
          <w:lang w:eastAsia="fr-BE"/>
        </w:rPr>
        <w:t>Klausimo esmė.</w:t>
      </w:r>
      <w:r>
        <w:rPr>
          <w:rFonts w:eastAsia="Times New Roman" w:cs="Times New Roman"/>
          <w:szCs w:val="24"/>
          <w:lang w:eastAsia="fr-BE"/>
        </w:rPr>
        <w:t xml:space="preserve"> EK pateiktoje šalies ataskaitoje pažymėta, kad Lietuva, įgyvendindama 2019 m. skirtas Tarybos rekomendacijas padarė </w:t>
      </w:r>
      <w:r>
        <w:rPr>
          <w:rFonts w:eastAsia="Times New Roman" w:cs="Times New Roman"/>
          <w:i/>
          <w:szCs w:val="24"/>
          <w:u w:val="single"/>
          <w:lang w:eastAsia="fr-BE"/>
        </w:rPr>
        <w:t>nedidelę pažangą</w:t>
      </w:r>
      <w:r>
        <w:rPr>
          <w:rFonts w:eastAsia="Times New Roman" w:cs="Times New Roman"/>
          <w:szCs w:val="24"/>
          <w:lang w:eastAsia="fr-BE"/>
        </w:rPr>
        <w:t xml:space="preserve"> (angl. </w:t>
      </w:r>
      <w:proofErr w:type="gramStart"/>
      <w:r>
        <w:rPr>
          <w:rFonts w:eastAsia="Times New Roman" w:cs="Times New Roman"/>
          <w:i/>
          <w:szCs w:val="24"/>
          <w:lang w:val="en-US" w:eastAsia="fr-BE"/>
        </w:rPr>
        <w:t>limited</w:t>
      </w:r>
      <w:proofErr w:type="gramEnd"/>
      <w:r>
        <w:rPr>
          <w:rFonts w:eastAsia="Times New Roman" w:cs="Times New Roman"/>
          <w:i/>
          <w:szCs w:val="24"/>
          <w:lang w:val="en-US" w:eastAsia="fr-BE"/>
        </w:rPr>
        <w:t xml:space="preserve"> progress</w:t>
      </w:r>
      <w:r>
        <w:rPr>
          <w:rFonts w:eastAsia="Times New Roman" w:cs="Times New Roman"/>
          <w:szCs w:val="24"/>
          <w:lang w:eastAsia="fr-BE"/>
        </w:rPr>
        <w:t>). Tarp pagrindinių išvadų pažymima, kad Lietuva turi vieną žemiausių mokesčių ir BVP santykių ES. 2018 m. surinktų mokesčių santykis sudarė 30,2</w:t>
      </w:r>
      <w:r>
        <w:rPr>
          <w:rFonts w:eastAsia="Times New Roman" w:cs="Times New Roman"/>
          <w:szCs w:val="24"/>
          <w:lang w:val="en-US" w:eastAsia="fr-BE"/>
        </w:rPr>
        <w:t xml:space="preserve">% BVP, ES </w:t>
      </w:r>
      <w:r>
        <w:rPr>
          <w:rFonts w:eastAsia="Times New Roman" w:cs="Times New Roman"/>
          <w:szCs w:val="24"/>
          <w:lang w:eastAsia="fr-BE"/>
        </w:rPr>
        <w:t>vidurkis sudarė- 39,2</w:t>
      </w:r>
      <w:r>
        <w:rPr>
          <w:rFonts w:eastAsia="Times New Roman" w:cs="Times New Roman"/>
          <w:szCs w:val="24"/>
          <w:lang w:val="en-US" w:eastAsia="fr-BE"/>
        </w:rPr>
        <w:t xml:space="preserve">%. Be to, </w:t>
      </w:r>
      <w:r>
        <w:rPr>
          <w:rFonts w:eastAsia="Times New Roman" w:cs="Times New Roman"/>
          <w:szCs w:val="24"/>
          <w:lang w:eastAsia="fr-BE"/>
        </w:rPr>
        <w:t xml:space="preserve">pažymima, kad Lietuvos mokesčių ir išmokų sistema turi vieną menkiausių poveikių pajamų nelygybės mažinimui visoje ES, o mažas mokesčių ir BVP santykis riboja galimybes </w:t>
      </w:r>
      <w:proofErr w:type="gramStart"/>
      <w:r>
        <w:rPr>
          <w:rFonts w:eastAsia="Times New Roman" w:cs="Times New Roman"/>
          <w:szCs w:val="24"/>
          <w:lang w:eastAsia="fr-BE"/>
        </w:rPr>
        <w:t>tai</w:t>
      </w:r>
      <w:proofErr w:type="gramEnd"/>
      <w:r>
        <w:rPr>
          <w:rFonts w:eastAsia="Times New Roman" w:cs="Times New Roman"/>
          <w:szCs w:val="24"/>
          <w:lang w:eastAsia="fr-BE"/>
        </w:rPr>
        <w:t xml:space="preserve"> pakeisti.</w:t>
      </w:r>
      <w:r>
        <w:rPr>
          <w:rFonts w:eastAsia="Times New Roman" w:cs="Times New Roman"/>
          <w:color w:val="FF0000"/>
          <w:szCs w:val="24"/>
          <w:lang w:eastAsia="fr-BE"/>
        </w:rPr>
        <w:t xml:space="preserve"> </w:t>
      </w:r>
      <w:r>
        <w:rPr>
          <w:rFonts w:eastAsia="Times New Roman" w:cs="Times New Roman"/>
          <w:szCs w:val="24"/>
          <w:lang w:eastAsia="fr-BE"/>
        </w:rPr>
        <w:t xml:space="preserve">Tuo tarpu Lietuvos Socialinėje švieslentėje yra nurodoma, kad </w:t>
      </w:r>
      <w:r>
        <w:rPr>
          <w:rFonts w:eastAsia="Times New Roman" w:cs="Times New Roman"/>
          <w:b/>
          <w:szCs w:val="24"/>
          <w:lang w:eastAsia="fr-BE"/>
        </w:rPr>
        <w:t xml:space="preserve">situacija su pajamų nelygybe, skurdu, socialine atskirtimi ir socialiniais pervedimais yra kritinė. </w:t>
      </w:r>
      <w:r>
        <w:rPr>
          <w:rFonts w:eastAsia="Times New Roman" w:cs="Times New Roman"/>
          <w:szCs w:val="24"/>
          <w:lang w:eastAsia="fr-BE"/>
        </w:rPr>
        <w:t>Nepaisant to, Komisija pažymėjo, kad pasiekta tam tikra pažanga mokesčių administravimo srityje, mokesčių bazės plėtime į mažiau ekonomikos augimą stabdančius mokesčius ir skurdo bei socialinės atskirties mažinime. Pažymėta, kad vaiko pinigų ir pensijų padidinimas yra žingsnis teisinga linkme.</w:t>
      </w:r>
    </w:p>
    <w:p w:rsidR="00CB3447" w:rsidRDefault="00CB3447" w:rsidP="00CB3447">
      <w:pPr>
        <w:spacing w:after="0" w:line="240" w:lineRule="auto"/>
        <w:jc w:val="both"/>
        <w:rPr>
          <w:rFonts w:eastAsia="Times New Roman" w:cs="Times New Roman"/>
          <w:szCs w:val="24"/>
          <w:lang w:eastAsia="fr-BE"/>
        </w:rPr>
      </w:pPr>
      <w:r w:rsidRPr="004B7764">
        <w:rPr>
          <w:rFonts w:eastAsia="Times New Roman" w:cs="Times New Roman"/>
          <w:szCs w:val="24"/>
          <w:lang w:eastAsia="fr-BE"/>
        </w:rPr>
        <w:t xml:space="preserve">Tarp pagrindinių išvadų taip pat buvo pažymėta, kad Lietuvos fiskalinio tvarumo rizika maža, o mokestinės paskatos bei mokestinių prievolių vykdymo supaprastinimas teigiamai atsiliepia šalies verslo aplinkai. Kalbant apie finansinį sektorių pažymėta, kad Lietuvos bankų sistema stabili ir gerai kapitalizuota. Tačiau,  MVĮ ir </w:t>
      </w:r>
      <w:proofErr w:type="spellStart"/>
      <w:r w:rsidRPr="004B7764">
        <w:rPr>
          <w:rFonts w:eastAsia="Times New Roman" w:cs="Times New Roman"/>
          <w:szCs w:val="24"/>
          <w:lang w:eastAsia="fr-BE"/>
        </w:rPr>
        <w:t>startuoliai</w:t>
      </w:r>
      <w:proofErr w:type="spellEnd"/>
      <w:r w:rsidRPr="004B7764">
        <w:rPr>
          <w:rFonts w:eastAsia="Times New Roman" w:cs="Times New Roman"/>
          <w:szCs w:val="24"/>
          <w:lang w:eastAsia="fr-BE"/>
        </w:rPr>
        <w:t xml:space="preserve"> dažnai susiduria su sunkumais siekiant gauti finansavimą, o bankų sektoriaus koncentracija dar labiau padidėjo. Nepaisant to, pažymėta, kad siekiant pakelti </w:t>
      </w:r>
      <w:r w:rsidRPr="004B7764">
        <w:rPr>
          <w:rFonts w:eastAsia="Times New Roman" w:cs="Times New Roman"/>
          <w:szCs w:val="24"/>
          <w:lang w:eastAsia="fr-BE"/>
        </w:rPr>
        <w:lastRenderedPageBreak/>
        <w:t xml:space="preserve">konkurenciją šiame sektoriuje pritraukinėjamos </w:t>
      </w:r>
      <w:proofErr w:type="spellStart"/>
      <w:r w:rsidRPr="004B7764">
        <w:rPr>
          <w:rFonts w:eastAsia="Times New Roman" w:cs="Times New Roman"/>
          <w:szCs w:val="24"/>
          <w:lang w:eastAsia="fr-BE"/>
        </w:rPr>
        <w:t>Fintech</w:t>
      </w:r>
      <w:proofErr w:type="spellEnd"/>
      <w:r w:rsidRPr="004B7764">
        <w:rPr>
          <w:rFonts w:eastAsia="Times New Roman" w:cs="Times New Roman"/>
          <w:szCs w:val="24"/>
          <w:lang w:eastAsia="fr-BE"/>
        </w:rPr>
        <w:t xml:space="preserve"> kompanijos, o vyriausybė vis daugiau fokusuojasi į alternatyvių MVĮ finansavimo šaltinių plėtrą. Be to, Komisija pasidžiaugė, kad Lietuvos biudžeto formavimo sistema ir viešieji finansai atsižvelgia į aplinkos ir klimato iššūkius. Kaip teigiamas pavyzdys pažymėta žaliųjų obligacijų emisija siekiant pritraukti finansavimą daugiabučių renovacijai.</w:t>
      </w:r>
    </w:p>
    <w:p w:rsidR="00CB3447" w:rsidRDefault="00CB3447" w:rsidP="00CB3447">
      <w:pPr>
        <w:spacing w:after="0" w:line="240" w:lineRule="auto"/>
        <w:jc w:val="both"/>
        <w:rPr>
          <w:rFonts w:eastAsia="Times New Roman" w:cs="Times New Roman"/>
          <w:szCs w:val="24"/>
          <w:lang w:eastAsia="fr-BE"/>
        </w:rPr>
      </w:pPr>
      <w:r>
        <w:rPr>
          <w:rFonts w:eastAsia="Times New Roman" w:cs="Times New Roman"/>
          <w:szCs w:val="24"/>
          <w:lang w:eastAsia="fr-BE"/>
        </w:rPr>
        <w:t>Išlieka ypač aktualu efektyviai spręsti Lietuvos augimo potencialą ribojančius iššūkius, susijusius su sparčiai mažėjančiu darbingo amžiaus žmonių skaičiumi, produktyvumo augimo stiprinimu, kompetencijų trūkumais. Pažymima, kad Lietuvos švietimo sistemos rezultatai yra prasti ir ši sistema neefektyvi, o reformavimas vyksta lėtai. Sveikatos apsaugos finansavimas žemas, o piliečių mirštamumas, kurio galima buvo išvengti, vienas didžiausių visoje ES. Nepaisant to, kad pensijų sistemos tvarumas pagerėjo ir nuo 2018 m. jos automatiškai indeksuojamos, išlieka pensijų adekvatumo klausimas, pensijų sistema nesugeba apsaugoti žmonių nuo skurdo senatvėje.</w:t>
      </w:r>
    </w:p>
    <w:p w:rsidR="00CB3447" w:rsidRDefault="00CB3447" w:rsidP="00CB3447">
      <w:pPr>
        <w:spacing w:after="0" w:line="240" w:lineRule="auto"/>
        <w:jc w:val="both"/>
        <w:rPr>
          <w:rFonts w:eastAsia="Times New Roman" w:cs="Times New Roman"/>
          <w:szCs w:val="24"/>
          <w:lang w:eastAsia="fr-BE"/>
        </w:rPr>
      </w:pPr>
      <w:r>
        <w:rPr>
          <w:rFonts w:cs="Times New Roman"/>
          <w:b/>
          <w:szCs w:val="24"/>
        </w:rPr>
        <w:t>Taip pat šiais metais Komisija skyrė didesnį dėmesį vidutinių pajamų spąstų problemai, kurioje Lietuva rizikuoja užstrigti.</w:t>
      </w:r>
      <w:r>
        <w:rPr>
          <w:rFonts w:cs="Times New Roman"/>
          <w:szCs w:val="24"/>
        </w:rPr>
        <w:t xml:space="preserve"> Šiame kontekste pažymėtos šios problemos: fragmentuota inovacijų ekosistema, kuri per daug remiasi ES fondais; bankų sektoriaus koncentracija dėl kurio vietinėms įmonėms suku gauti finansavimą, aukštojo mokslo sistemos problemos, protų nutekėjimas, prasta socialinė apsauga, daug išimčių ir lengvatų turinti mokesčių sistema skatinanti šešėlinę ekonomiką.</w:t>
      </w:r>
    </w:p>
    <w:p w:rsidR="00CB3447" w:rsidRDefault="00CB3447" w:rsidP="00CB3447">
      <w:pPr>
        <w:spacing w:after="0" w:line="240" w:lineRule="auto"/>
        <w:rPr>
          <w:rFonts w:cs="Times New Roman"/>
          <w:szCs w:val="24"/>
        </w:rPr>
      </w:pPr>
      <w:r>
        <w:rPr>
          <w:rFonts w:cs="Times New Roman"/>
          <w:b/>
          <w:szCs w:val="24"/>
        </w:rPr>
        <w:t xml:space="preserve">Pirmą kartą į šalies ataskaitas buvo įtraukti Jungtinių tautų darnaus vystymosi tikslai. </w:t>
      </w:r>
      <w:r>
        <w:rPr>
          <w:rFonts w:cs="Times New Roman"/>
          <w:szCs w:val="24"/>
        </w:rPr>
        <w:t>Bendrai paėmus Lietuva rodo gerus rezultatus lyčių lygybės srityje, bet prastus skurdo, nelygybės ir sveikatos srityje.</w:t>
      </w:r>
    </w:p>
    <w:p w:rsidR="00CB3447" w:rsidRPr="00B11566" w:rsidRDefault="00CB3447" w:rsidP="00DE5FBF">
      <w:pPr>
        <w:spacing w:after="0" w:line="240" w:lineRule="auto"/>
        <w:jc w:val="both"/>
        <w:rPr>
          <w:rFonts w:cs="Times New Roman"/>
          <w:szCs w:val="24"/>
        </w:rPr>
      </w:pPr>
      <w:r w:rsidRPr="00B11566">
        <w:rPr>
          <w:rFonts w:cs="Times New Roman"/>
          <w:b/>
          <w:szCs w:val="24"/>
          <w:u w:val="single"/>
        </w:rPr>
        <w:t>Lietuvos pozicija.</w:t>
      </w:r>
      <w:r w:rsidRPr="00B11566">
        <w:rPr>
          <w:rFonts w:cs="Times New Roman"/>
          <w:szCs w:val="24"/>
        </w:rPr>
        <w:t xml:space="preserve"> EK identifikuoti pagrindiniai iššūkiai bus įvertinti rengiant 2020 m. Nacionalinę reformų darbotvarkę bei 2020 m. Stabilumo programą.</w:t>
      </w:r>
    </w:p>
    <w:p w:rsidR="000F4400" w:rsidRDefault="000F4400" w:rsidP="00CB3447">
      <w:pPr>
        <w:spacing w:after="0" w:line="240" w:lineRule="auto"/>
        <w:jc w:val="both"/>
        <w:rPr>
          <w:rFonts w:eastAsia="Calibri" w:cs="Times New Roman"/>
          <w:szCs w:val="24"/>
        </w:rPr>
      </w:pPr>
    </w:p>
    <w:p w:rsidR="000F4400" w:rsidRDefault="000F4400" w:rsidP="00CB3447">
      <w:pPr>
        <w:spacing w:after="0" w:line="240" w:lineRule="auto"/>
        <w:jc w:val="both"/>
        <w:rPr>
          <w:rFonts w:eastAsia="Calibri" w:cs="Times New Roman"/>
          <w:szCs w:val="24"/>
        </w:rPr>
      </w:pPr>
    </w:p>
    <w:p w:rsidR="000F4400" w:rsidRPr="005A1557" w:rsidRDefault="000F4400" w:rsidP="000F440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rPr>
        <w:t>Tarptautiniai susitikimai</w:t>
      </w:r>
    </w:p>
    <w:p w:rsidR="000F4400" w:rsidRDefault="000F4400" w:rsidP="000F4400">
      <w:pPr>
        <w:autoSpaceDE w:val="0"/>
        <w:autoSpaceDN w:val="0"/>
        <w:adjustRightInd w:val="0"/>
        <w:spacing w:after="0" w:line="240" w:lineRule="auto"/>
        <w:rPr>
          <w:rFonts w:ascii="Tms Rmn" w:hAnsi="Tms Rmn"/>
          <w:szCs w:val="24"/>
        </w:rPr>
      </w:pPr>
    </w:p>
    <w:p w:rsidR="000F4400" w:rsidRPr="009E0F69" w:rsidRDefault="009E0F69" w:rsidP="004030AB">
      <w:pPr>
        <w:autoSpaceDE w:val="0"/>
        <w:autoSpaceDN w:val="0"/>
        <w:adjustRightInd w:val="0"/>
        <w:spacing w:after="0" w:line="240" w:lineRule="auto"/>
        <w:jc w:val="both"/>
        <w:rPr>
          <w:rFonts w:cs="Times New Roman"/>
          <w:bCs/>
          <w:i/>
          <w:color w:val="000000"/>
          <w:szCs w:val="24"/>
        </w:rPr>
      </w:pPr>
      <w:r w:rsidRPr="009E0F69">
        <w:rPr>
          <w:rFonts w:cs="Times New Roman"/>
          <w:b/>
          <w:bCs/>
          <w:color w:val="000000"/>
          <w:szCs w:val="24"/>
        </w:rPr>
        <w:t>a)</w:t>
      </w:r>
      <w:r>
        <w:rPr>
          <w:rFonts w:cs="Times New Roman"/>
          <w:b/>
          <w:bCs/>
          <w:color w:val="000000"/>
          <w:szCs w:val="24"/>
        </w:rPr>
        <w:t xml:space="preserve"> </w:t>
      </w:r>
      <w:r w:rsidRPr="009E0F69">
        <w:rPr>
          <w:rFonts w:cs="Times New Roman"/>
          <w:b/>
          <w:bCs/>
          <w:color w:val="000000"/>
          <w:szCs w:val="24"/>
        </w:rPr>
        <w:t xml:space="preserve">Informacija po G20 susitikimo vykusio vasario 20-23 d. </w:t>
      </w:r>
      <w:r w:rsidR="000F4400" w:rsidRPr="009E0F69">
        <w:rPr>
          <w:rFonts w:cs="Times New Roman"/>
          <w:b/>
          <w:bCs/>
          <w:color w:val="000000"/>
          <w:szCs w:val="24"/>
        </w:rPr>
        <w:t xml:space="preserve"> </w:t>
      </w:r>
      <w:proofErr w:type="spellStart"/>
      <w:r w:rsidR="000F4400" w:rsidRPr="009E0F69">
        <w:rPr>
          <w:rFonts w:cs="Times New Roman"/>
          <w:b/>
          <w:bCs/>
          <w:color w:val="000000"/>
          <w:szCs w:val="24"/>
        </w:rPr>
        <w:t>Follow-up</w:t>
      </w:r>
      <w:proofErr w:type="spellEnd"/>
      <w:r w:rsidR="000F4400" w:rsidRPr="009E0F69">
        <w:rPr>
          <w:rFonts w:cs="Times New Roman"/>
          <w:b/>
          <w:bCs/>
          <w:color w:val="000000"/>
          <w:szCs w:val="24"/>
        </w:rPr>
        <w:t xml:space="preserve"> </w:t>
      </w:r>
      <w:proofErr w:type="spellStart"/>
      <w:r w:rsidR="000F4400" w:rsidRPr="009E0F69">
        <w:rPr>
          <w:rFonts w:cs="Times New Roman"/>
          <w:b/>
          <w:bCs/>
          <w:color w:val="000000"/>
          <w:szCs w:val="24"/>
        </w:rPr>
        <w:t>of</w:t>
      </w:r>
      <w:proofErr w:type="spellEnd"/>
      <w:r w:rsidR="000F4400" w:rsidRPr="009E0F69">
        <w:rPr>
          <w:rFonts w:cs="Times New Roman"/>
          <w:b/>
          <w:bCs/>
          <w:color w:val="000000"/>
          <w:szCs w:val="24"/>
        </w:rPr>
        <w:t xml:space="preserve"> G20 </w:t>
      </w:r>
      <w:proofErr w:type="spellStart"/>
      <w:r w:rsidR="000F4400" w:rsidRPr="009E0F69">
        <w:rPr>
          <w:rFonts w:cs="Times New Roman"/>
          <w:b/>
          <w:bCs/>
          <w:color w:val="000000"/>
          <w:szCs w:val="24"/>
        </w:rPr>
        <w:t>meeting</w:t>
      </w:r>
      <w:proofErr w:type="spellEnd"/>
      <w:r w:rsidR="000F4400" w:rsidRPr="009E0F69">
        <w:rPr>
          <w:rFonts w:cs="Times New Roman"/>
          <w:b/>
          <w:bCs/>
          <w:color w:val="000000"/>
          <w:szCs w:val="24"/>
        </w:rPr>
        <w:t xml:space="preserve"> </w:t>
      </w:r>
      <w:proofErr w:type="spellStart"/>
      <w:r w:rsidR="000F4400" w:rsidRPr="009E0F69">
        <w:rPr>
          <w:rFonts w:cs="Times New Roman"/>
          <w:b/>
          <w:bCs/>
          <w:color w:val="000000"/>
          <w:szCs w:val="24"/>
        </w:rPr>
        <w:t>on</w:t>
      </w:r>
      <w:proofErr w:type="spellEnd"/>
      <w:r w:rsidR="000F4400" w:rsidRPr="009E0F69">
        <w:rPr>
          <w:rFonts w:cs="Times New Roman"/>
          <w:b/>
          <w:bCs/>
          <w:color w:val="000000"/>
          <w:szCs w:val="24"/>
        </w:rPr>
        <w:t xml:space="preserve"> 20-23 </w:t>
      </w:r>
      <w:r w:rsidRPr="009E0F69">
        <w:rPr>
          <w:rFonts w:cs="Times New Roman"/>
          <w:bCs/>
          <w:i/>
          <w:color w:val="000000"/>
          <w:szCs w:val="24"/>
        </w:rPr>
        <w:t>(Pirmininkaujančios šalies ir Komisijos informacija)</w:t>
      </w:r>
    </w:p>
    <w:p w:rsidR="000F4400" w:rsidRDefault="000F4400" w:rsidP="004030AB">
      <w:pPr>
        <w:autoSpaceDE w:val="0"/>
        <w:autoSpaceDN w:val="0"/>
        <w:adjustRightInd w:val="0"/>
        <w:spacing w:after="240" w:line="240" w:lineRule="auto"/>
        <w:jc w:val="both"/>
        <w:rPr>
          <w:rFonts w:cs="Times New Roman"/>
          <w:color w:val="000000"/>
          <w:szCs w:val="24"/>
        </w:rPr>
      </w:pPr>
      <w:r>
        <w:rPr>
          <w:rFonts w:cs="Times New Roman"/>
          <w:color w:val="000000"/>
          <w:szCs w:val="24"/>
        </w:rPr>
        <w:t xml:space="preserve">Pirmininkaujanti šalis ir Komisija pristatys informaciją apie G20 finansų ministrų ir centrinių bankų valdytojų susitikimą, vykusį 2020 m. vasario 20-23 d. </w:t>
      </w:r>
      <w:proofErr w:type="spellStart"/>
      <w:r>
        <w:rPr>
          <w:rFonts w:cs="Times New Roman"/>
          <w:color w:val="000000"/>
          <w:szCs w:val="24"/>
        </w:rPr>
        <w:t>Rijade</w:t>
      </w:r>
      <w:proofErr w:type="spellEnd"/>
      <w:r>
        <w:rPr>
          <w:rFonts w:cs="Times New Roman"/>
          <w:color w:val="000000"/>
          <w:szCs w:val="24"/>
        </w:rPr>
        <w:t>, Saudo Arabijoje.</w:t>
      </w:r>
    </w:p>
    <w:p w:rsidR="000F4400" w:rsidRDefault="000F4400" w:rsidP="004030AB">
      <w:pPr>
        <w:autoSpaceDE w:val="0"/>
        <w:autoSpaceDN w:val="0"/>
        <w:adjustRightInd w:val="0"/>
        <w:spacing w:after="0" w:line="240" w:lineRule="auto"/>
        <w:jc w:val="both"/>
        <w:rPr>
          <w:rFonts w:cs="Times New Roman"/>
          <w:b/>
          <w:bCs/>
          <w:color w:val="000000"/>
          <w:szCs w:val="24"/>
        </w:rPr>
      </w:pPr>
      <w:r>
        <w:rPr>
          <w:rFonts w:cs="Times New Roman"/>
          <w:b/>
          <w:bCs/>
          <w:color w:val="000000"/>
          <w:szCs w:val="24"/>
        </w:rPr>
        <w:t xml:space="preserve">b) </w:t>
      </w:r>
      <w:r w:rsidR="00CB3447">
        <w:rPr>
          <w:rFonts w:cs="Times New Roman"/>
          <w:b/>
          <w:bCs/>
          <w:color w:val="000000"/>
          <w:szCs w:val="24"/>
        </w:rPr>
        <w:t>Pasiruošimas G20 finansų ministrų ir centrinių bankų valdytojų susitikimui</w:t>
      </w:r>
      <w:r w:rsidR="00144F3B">
        <w:rPr>
          <w:rFonts w:cs="Times New Roman"/>
          <w:b/>
          <w:bCs/>
          <w:color w:val="000000"/>
          <w:szCs w:val="24"/>
        </w:rPr>
        <w:t xml:space="preserve"> Vašingtone š.m. balandžio 17-19 d. </w:t>
      </w:r>
      <w:r w:rsidR="00144F3B" w:rsidRPr="00144F3B">
        <w:rPr>
          <w:rFonts w:cs="Times New Roman"/>
          <w:bCs/>
          <w:i/>
          <w:color w:val="000000"/>
          <w:szCs w:val="24"/>
        </w:rPr>
        <w:t>(</w:t>
      </w:r>
      <w:r w:rsidR="00144F3B">
        <w:rPr>
          <w:rFonts w:cs="Times New Roman"/>
          <w:bCs/>
          <w:i/>
          <w:color w:val="000000"/>
          <w:szCs w:val="24"/>
        </w:rPr>
        <w:t>t</w:t>
      </w:r>
      <w:r w:rsidR="00144F3B" w:rsidRPr="00144F3B">
        <w:rPr>
          <w:rFonts w:cs="Times New Roman"/>
          <w:bCs/>
          <w:i/>
          <w:color w:val="000000"/>
          <w:szCs w:val="24"/>
        </w:rPr>
        <w:t>virtinimas)</w:t>
      </w:r>
    </w:p>
    <w:p w:rsidR="000F4400" w:rsidRPr="005A1557" w:rsidRDefault="000F4400" w:rsidP="004030AB">
      <w:pPr>
        <w:spacing w:after="0" w:line="240" w:lineRule="auto"/>
        <w:jc w:val="both"/>
        <w:rPr>
          <w:rFonts w:eastAsia="Calibri" w:cs="Times New Roman"/>
          <w:b/>
          <w:sz w:val="28"/>
          <w:szCs w:val="28"/>
          <w:u w:val="single"/>
        </w:rPr>
      </w:pPr>
      <w:r>
        <w:rPr>
          <w:rFonts w:cs="Times New Roman"/>
          <w:color w:val="000000"/>
          <w:szCs w:val="24"/>
        </w:rPr>
        <w:t xml:space="preserve">ECOFIN nariai bus kviečiami pritarti Kroatijos atstovo pranešimo projektui Tarptautiniame pinigų ir finansų komitete (angl. </w:t>
      </w:r>
      <w:proofErr w:type="spellStart"/>
      <w:r>
        <w:rPr>
          <w:rFonts w:cs="Times New Roman"/>
          <w:i/>
          <w:iCs/>
          <w:color w:val="000000"/>
          <w:szCs w:val="24"/>
        </w:rPr>
        <w:t>International</w:t>
      </w:r>
      <w:proofErr w:type="spellEnd"/>
      <w:r>
        <w:rPr>
          <w:rFonts w:cs="Times New Roman"/>
          <w:i/>
          <w:iCs/>
          <w:color w:val="000000"/>
          <w:szCs w:val="24"/>
        </w:rPr>
        <w:t xml:space="preserve"> </w:t>
      </w:r>
      <w:proofErr w:type="spellStart"/>
      <w:r>
        <w:rPr>
          <w:rFonts w:cs="Times New Roman"/>
          <w:i/>
          <w:iCs/>
          <w:color w:val="000000"/>
          <w:szCs w:val="24"/>
        </w:rPr>
        <w:t>Monetary</w:t>
      </w:r>
      <w:proofErr w:type="spellEnd"/>
      <w:r>
        <w:rPr>
          <w:rFonts w:cs="Times New Roman"/>
          <w:i/>
          <w:iCs/>
          <w:color w:val="000000"/>
          <w:szCs w:val="24"/>
        </w:rPr>
        <w:t xml:space="preserve"> </w:t>
      </w:r>
      <w:proofErr w:type="spellStart"/>
      <w:r>
        <w:rPr>
          <w:rFonts w:cs="Times New Roman"/>
          <w:i/>
          <w:iCs/>
          <w:color w:val="000000"/>
          <w:szCs w:val="24"/>
        </w:rPr>
        <w:t>and</w:t>
      </w:r>
      <w:proofErr w:type="spellEnd"/>
      <w:r>
        <w:rPr>
          <w:rFonts w:cs="Times New Roman"/>
          <w:i/>
          <w:iCs/>
          <w:color w:val="000000"/>
          <w:szCs w:val="24"/>
        </w:rPr>
        <w:t xml:space="preserve"> </w:t>
      </w:r>
      <w:proofErr w:type="spellStart"/>
      <w:r>
        <w:rPr>
          <w:rFonts w:cs="Times New Roman"/>
          <w:i/>
          <w:iCs/>
          <w:color w:val="000000"/>
          <w:szCs w:val="24"/>
        </w:rPr>
        <w:t>Finance</w:t>
      </w:r>
      <w:proofErr w:type="spellEnd"/>
      <w:r>
        <w:rPr>
          <w:rFonts w:cs="Times New Roman"/>
          <w:i/>
          <w:iCs/>
          <w:color w:val="000000"/>
          <w:szCs w:val="24"/>
        </w:rPr>
        <w:t xml:space="preserve"> </w:t>
      </w:r>
      <w:proofErr w:type="spellStart"/>
      <w:r>
        <w:rPr>
          <w:rFonts w:cs="Times New Roman"/>
          <w:i/>
          <w:iCs/>
          <w:color w:val="000000"/>
          <w:szCs w:val="24"/>
        </w:rPr>
        <w:t>Committee</w:t>
      </w:r>
      <w:proofErr w:type="spellEnd"/>
      <w:r>
        <w:rPr>
          <w:rFonts w:cs="Times New Roman"/>
          <w:color w:val="000000"/>
          <w:szCs w:val="24"/>
        </w:rPr>
        <w:t>, IMFC) ir pozicijų gairėms, skirtoms G20 finansų ministrų ir centrinių bankų valdytojų susitikimui. Šie dokumentai yra rengiami ECOFIN tarybos paruošiamuosiuose komitetuose ir darbo grupėse, todėl bus pateikti vėliau. Minėti tarptautiniai renginiai vyks š. m. balandžio 17-19 d. Vašingtone, JAV.</w:t>
      </w:r>
    </w:p>
    <w:p w:rsidR="005A1557" w:rsidRDefault="005A1557" w:rsidP="004030AB">
      <w:pPr>
        <w:spacing w:after="0" w:line="240" w:lineRule="auto"/>
        <w:jc w:val="both"/>
        <w:rPr>
          <w:rFonts w:eastAsia="Calibri" w:cs="Times New Roman"/>
          <w:sz w:val="28"/>
          <w:szCs w:val="28"/>
        </w:rPr>
      </w:pPr>
    </w:p>
    <w:p w:rsidR="000F2114" w:rsidRPr="005A1557" w:rsidRDefault="000F2114" w:rsidP="004030AB">
      <w:pPr>
        <w:spacing w:after="0" w:line="240" w:lineRule="auto"/>
        <w:jc w:val="both"/>
        <w:rPr>
          <w:rFonts w:eastAsia="Calibri" w:cs="Times New Roman"/>
          <w:sz w:val="28"/>
          <w:szCs w:val="28"/>
        </w:rPr>
      </w:pPr>
    </w:p>
    <w:p w:rsidR="005059EB" w:rsidRPr="00B11566" w:rsidRDefault="006E224F" w:rsidP="004F5635">
      <w:pPr>
        <w:spacing w:after="0" w:line="240" w:lineRule="auto"/>
        <w:jc w:val="center"/>
        <w:rPr>
          <w:rFonts w:eastAsia="Calibri" w:cs="Times New Roman"/>
          <w:b/>
          <w:sz w:val="26"/>
          <w:szCs w:val="26"/>
        </w:rPr>
      </w:pPr>
      <w:r w:rsidRPr="00B11566">
        <w:rPr>
          <w:rFonts w:eastAsia="Calibri" w:cs="Times New Roman"/>
          <w:b/>
          <w:sz w:val="26"/>
          <w:szCs w:val="26"/>
        </w:rPr>
        <w:t xml:space="preserve">PAŽYMA </w:t>
      </w:r>
    </w:p>
    <w:p w:rsidR="006E224F" w:rsidRPr="00B11566" w:rsidRDefault="00E551ED" w:rsidP="004F5635">
      <w:pPr>
        <w:spacing w:after="0" w:line="240" w:lineRule="auto"/>
        <w:jc w:val="center"/>
        <w:rPr>
          <w:rFonts w:eastAsia="Calibri" w:cs="Times New Roman"/>
          <w:b/>
          <w:sz w:val="26"/>
          <w:szCs w:val="26"/>
        </w:rPr>
      </w:pPr>
      <w:r w:rsidRPr="00B11566">
        <w:rPr>
          <w:rFonts w:eastAsia="Calibri" w:cs="Times New Roman"/>
          <w:b/>
          <w:sz w:val="26"/>
          <w:szCs w:val="26"/>
        </w:rPr>
        <w:t>D</w:t>
      </w:r>
      <w:r w:rsidR="006E224F" w:rsidRPr="00B11566">
        <w:rPr>
          <w:rFonts w:eastAsia="Calibri" w:cs="Times New Roman"/>
          <w:b/>
          <w:sz w:val="26"/>
          <w:szCs w:val="26"/>
        </w:rPr>
        <w:t xml:space="preserve">ėl š. m. </w:t>
      </w:r>
      <w:r w:rsidR="00492AE1" w:rsidRPr="00B11566">
        <w:rPr>
          <w:rFonts w:eastAsia="Calibri" w:cs="Times New Roman"/>
          <w:b/>
          <w:sz w:val="26"/>
          <w:szCs w:val="26"/>
        </w:rPr>
        <w:t>kovo</w:t>
      </w:r>
      <w:r w:rsidR="006E224F" w:rsidRPr="00B11566">
        <w:rPr>
          <w:rFonts w:eastAsia="Calibri" w:cs="Times New Roman"/>
          <w:b/>
          <w:sz w:val="26"/>
          <w:szCs w:val="26"/>
        </w:rPr>
        <w:t xml:space="preserve"> 1</w:t>
      </w:r>
      <w:r w:rsidR="00492AE1" w:rsidRPr="00B11566">
        <w:rPr>
          <w:rFonts w:eastAsia="Calibri" w:cs="Times New Roman"/>
          <w:b/>
          <w:sz w:val="26"/>
          <w:szCs w:val="26"/>
        </w:rPr>
        <w:t>6</w:t>
      </w:r>
      <w:r w:rsidR="006E224F" w:rsidRPr="00B11566">
        <w:rPr>
          <w:rFonts w:eastAsia="Calibri" w:cs="Times New Roman"/>
          <w:b/>
          <w:sz w:val="26"/>
          <w:szCs w:val="26"/>
        </w:rPr>
        <w:t xml:space="preserve"> d. EURO </w:t>
      </w:r>
      <w:r w:rsidR="005059EB" w:rsidRPr="00B11566">
        <w:rPr>
          <w:rFonts w:eastAsia="Calibri" w:cs="Times New Roman"/>
          <w:b/>
          <w:sz w:val="26"/>
          <w:szCs w:val="26"/>
        </w:rPr>
        <w:t>grupėje svarstomų</w:t>
      </w:r>
      <w:r w:rsidR="006E224F" w:rsidRPr="00B11566">
        <w:rPr>
          <w:rFonts w:eastAsia="Calibri" w:cs="Times New Roman"/>
          <w:b/>
          <w:sz w:val="26"/>
          <w:szCs w:val="26"/>
        </w:rPr>
        <w:t xml:space="preserve"> klausimų</w:t>
      </w:r>
    </w:p>
    <w:p w:rsidR="006E224F" w:rsidRPr="00720C6E" w:rsidRDefault="006E224F" w:rsidP="004F5635">
      <w:pPr>
        <w:spacing w:after="0" w:line="240" w:lineRule="auto"/>
        <w:rPr>
          <w:rFonts w:eastAsia="Calibri" w:cs="Times New Roman"/>
          <w:szCs w:val="24"/>
        </w:rPr>
      </w:pPr>
    </w:p>
    <w:p w:rsidR="006E224F" w:rsidRPr="00720C6E" w:rsidRDefault="006E224F" w:rsidP="004F5635">
      <w:pPr>
        <w:spacing w:after="0" w:line="240" w:lineRule="auto"/>
        <w:jc w:val="center"/>
        <w:rPr>
          <w:rFonts w:eastAsia="Calibri" w:cs="Times New Roman"/>
          <w:szCs w:val="24"/>
        </w:rPr>
      </w:pPr>
    </w:p>
    <w:p w:rsidR="009178E9" w:rsidRPr="003C47D0" w:rsidRDefault="009178E9" w:rsidP="009178E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 xml:space="preserve">Graikija –sustiprintos </w:t>
      </w:r>
      <w:r w:rsidR="00DE5FBF">
        <w:rPr>
          <w:rFonts w:cs="Times New Roman"/>
          <w:b/>
          <w:szCs w:val="24"/>
        </w:rPr>
        <w:t xml:space="preserve">po-programinės </w:t>
      </w:r>
      <w:r w:rsidRPr="003C47D0">
        <w:rPr>
          <w:rFonts w:cs="Times New Roman"/>
          <w:b/>
          <w:szCs w:val="24"/>
        </w:rPr>
        <w:t xml:space="preserve">priežiūros </w:t>
      </w:r>
      <w:r>
        <w:rPr>
          <w:rFonts w:cs="Times New Roman"/>
          <w:b/>
          <w:szCs w:val="24"/>
        </w:rPr>
        <w:t>5</w:t>
      </w:r>
      <w:r w:rsidRPr="003C47D0">
        <w:rPr>
          <w:rFonts w:cs="Times New Roman"/>
          <w:b/>
          <w:szCs w:val="24"/>
        </w:rPr>
        <w:t>-sios vertinimo misijos rezultatai</w:t>
      </w:r>
    </w:p>
    <w:p w:rsidR="009178E9" w:rsidRPr="003C47D0" w:rsidRDefault="009178E9" w:rsidP="009178E9">
      <w:pPr>
        <w:spacing w:after="0" w:line="240" w:lineRule="auto"/>
        <w:jc w:val="both"/>
        <w:rPr>
          <w:rFonts w:eastAsia="Calibri" w:cs="Times New Roman"/>
          <w:b/>
          <w:szCs w:val="24"/>
        </w:rPr>
      </w:pPr>
    </w:p>
    <w:p w:rsidR="000E1051" w:rsidRDefault="009178E9" w:rsidP="009178E9">
      <w:pPr>
        <w:spacing w:after="0" w:line="240" w:lineRule="auto"/>
        <w:jc w:val="both"/>
        <w:rPr>
          <w:rFonts w:eastAsia="Calibri" w:cs="Times New Roman"/>
          <w:szCs w:val="24"/>
        </w:rPr>
      </w:pPr>
      <w:r w:rsidRPr="00B64BD5">
        <w:rPr>
          <w:rFonts w:eastAsia="Calibri" w:cs="Times New Roman"/>
          <w:b/>
          <w:szCs w:val="24"/>
          <w:u w:val="single"/>
        </w:rPr>
        <w:t>Klausimo esmė.</w:t>
      </w:r>
      <w:r>
        <w:rPr>
          <w:rFonts w:eastAsia="Calibri" w:cs="Times New Roman"/>
          <w:b/>
          <w:szCs w:val="24"/>
        </w:rPr>
        <w:t xml:space="preserve"> </w:t>
      </w:r>
      <w:r w:rsidRPr="003C47D0">
        <w:rPr>
          <w:rFonts w:eastAsia="Calibri" w:cs="Times New Roman"/>
          <w:b/>
          <w:szCs w:val="24"/>
        </w:rPr>
        <w:t>Graikijoje</w:t>
      </w:r>
      <w:r w:rsidRPr="003C47D0">
        <w:rPr>
          <w:rFonts w:eastAsia="Calibri" w:cs="Times New Roman"/>
          <w:szCs w:val="24"/>
        </w:rPr>
        <w:t xml:space="preserve"> </w:t>
      </w:r>
      <w:r>
        <w:rPr>
          <w:rFonts w:eastAsia="Calibri" w:cs="Times New Roman"/>
          <w:szCs w:val="24"/>
        </w:rPr>
        <w:t xml:space="preserve">2020 m. sausio 22-24 d. </w:t>
      </w:r>
      <w:r w:rsidRPr="003C47D0">
        <w:rPr>
          <w:rFonts w:eastAsia="Calibri" w:cs="Times New Roman"/>
          <w:szCs w:val="24"/>
        </w:rPr>
        <w:t xml:space="preserve">vyko </w:t>
      </w:r>
      <w:r>
        <w:rPr>
          <w:rFonts w:eastAsia="Calibri" w:cs="Times New Roman"/>
          <w:szCs w:val="24"/>
        </w:rPr>
        <w:t xml:space="preserve">5-oji sustiprintos </w:t>
      </w:r>
      <w:r w:rsidR="00DE5FBF">
        <w:rPr>
          <w:rFonts w:eastAsia="Calibri" w:cs="Times New Roman"/>
          <w:szCs w:val="24"/>
        </w:rPr>
        <w:t xml:space="preserve">po-programinės </w:t>
      </w:r>
      <w:r>
        <w:rPr>
          <w:rFonts w:eastAsia="Calibri" w:cs="Times New Roman"/>
          <w:szCs w:val="24"/>
        </w:rPr>
        <w:t xml:space="preserve">priežiūros vertinimo misija. </w:t>
      </w:r>
      <w:r w:rsidR="000678AA">
        <w:rPr>
          <w:rFonts w:eastAsia="Calibri" w:cs="Times New Roman"/>
          <w:szCs w:val="24"/>
        </w:rPr>
        <w:t xml:space="preserve">Šioje ataskaitoje pažymima, kad Graikija padarė didelę pažangą įgyvendindama įsipareigojimus, susijusius su reformų įgyvendinimu. </w:t>
      </w:r>
      <w:r w:rsidRPr="003C47D0">
        <w:rPr>
          <w:rFonts w:eastAsia="Calibri" w:cs="Times New Roman"/>
          <w:szCs w:val="24"/>
        </w:rPr>
        <w:t>Graikij</w:t>
      </w:r>
      <w:r w:rsidR="000E1051">
        <w:rPr>
          <w:rFonts w:eastAsia="Calibri" w:cs="Times New Roman"/>
          <w:szCs w:val="24"/>
        </w:rPr>
        <w:t xml:space="preserve">os ekonomikos atsigavimas tęsėsi ir 2019 m. Tam įtakos turėjo </w:t>
      </w:r>
      <w:r w:rsidR="00DE5FBF">
        <w:rPr>
          <w:rFonts w:eastAsia="Calibri" w:cs="Times New Roman"/>
          <w:szCs w:val="24"/>
        </w:rPr>
        <w:t>geri</w:t>
      </w:r>
      <w:r w:rsidR="000E1051">
        <w:rPr>
          <w:rFonts w:eastAsia="Calibri" w:cs="Times New Roman"/>
          <w:szCs w:val="24"/>
        </w:rPr>
        <w:t xml:space="preserve"> eksporto rezultatai, </w:t>
      </w:r>
      <w:r w:rsidR="00DE5FBF">
        <w:rPr>
          <w:rFonts w:eastAsia="Calibri" w:cs="Times New Roman"/>
          <w:szCs w:val="24"/>
        </w:rPr>
        <w:t xml:space="preserve">sėkmingas </w:t>
      </w:r>
      <w:r w:rsidR="000E1051">
        <w:rPr>
          <w:rFonts w:eastAsia="Calibri" w:cs="Times New Roman"/>
          <w:szCs w:val="24"/>
        </w:rPr>
        <w:t>turizmo sezonas padidino paslaugų eksportą. Tikimasi, kad darbo rinka ir toliau augs, o nedarbas mažės.</w:t>
      </w:r>
      <w:r w:rsidR="000E1051" w:rsidRPr="000E1051">
        <w:rPr>
          <w:rFonts w:eastAsia="Calibri" w:cs="Times New Roman"/>
          <w:szCs w:val="24"/>
        </w:rPr>
        <w:t xml:space="preserve"> </w:t>
      </w:r>
      <w:r w:rsidR="000E1051">
        <w:rPr>
          <w:rFonts w:eastAsia="Calibri" w:cs="Times New Roman"/>
          <w:szCs w:val="24"/>
        </w:rPr>
        <w:t>Vyriausybės numatytos papildomos priemonės, leidžia manyti, kad laiku bus parengta ir pabaigta šeštoji sustiprintos priežiūros ataskaita (t.y. iki 2020 m. gegužės mėn.).</w:t>
      </w:r>
    </w:p>
    <w:p w:rsidR="009178E9" w:rsidRPr="003C47D0" w:rsidRDefault="009178E9" w:rsidP="009178E9">
      <w:pPr>
        <w:spacing w:after="0" w:line="240" w:lineRule="auto"/>
        <w:jc w:val="both"/>
        <w:rPr>
          <w:rFonts w:cs="Times New Roman"/>
          <w:b/>
          <w:szCs w:val="24"/>
          <w:u w:val="single"/>
          <w:lang w:eastAsia="lt-LT"/>
        </w:rPr>
      </w:pPr>
      <w:r w:rsidRPr="003C47D0">
        <w:rPr>
          <w:rFonts w:cs="Times New Roman"/>
          <w:b/>
          <w:szCs w:val="24"/>
          <w:u w:val="single"/>
          <w:lang w:eastAsia="lt-LT"/>
        </w:rPr>
        <w:t>Lietuvos pozicija.</w:t>
      </w:r>
      <w:r w:rsidRPr="000F2114">
        <w:rPr>
          <w:rFonts w:cs="Times New Roman"/>
          <w:b/>
          <w:szCs w:val="24"/>
          <w:lang w:eastAsia="lt-LT"/>
        </w:rPr>
        <w:t xml:space="preserve"> </w:t>
      </w:r>
      <w:r w:rsidRPr="003C47D0">
        <w:rPr>
          <w:rFonts w:cs="Times New Roman"/>
          <w:szCs w:val="24"/>
          <w:lang w:eastAsia="lt-LT" w:bidi="lt-LT"/>
        </w:rPr>
        <w:t>Pritariame vertinimų rezultatams.</w:t>
      </w:r>
    </w:p>
    <w:p w:rsidR="009E0F69" w:rsidRPr="003C47D0" w:rsidRDefault="009E0F69" w:rsidP="009E0F6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bookmarkStart w:id="0" w:name="_GoBack"/>
      <w:bookmarkEnd w:id="0"/>
      <w:r>
        <w:rPr>
          <w:rFonts w:cs="Times New Roman"/>
          <w:b/>
          <w:szCs w:val="24"/>
        </w:rPr>
        <w:lastRenderedPageBreak/>
        <w:t>Tematinės diskusijos – infliacija ir valiutos kurso tendencijos</w:t>
      </w:r>
    </w:p>
    <w:p w:rsidR="009E0F69" w:rsidRDefault="009E0F69" w:rsidP="004F5635">
      <w:pPr>
        <w:spacing w:after="0" w:line="240" w:lineRule="auto"/>
        <w:jc w:val="both"/>
        <w:rPr>
          <w:rFonts w:cs="Times New Roman"/>
          <w:b/>
          <w:szCs w:val="24"/>
          <w:u w:val="single"/>
          <w:lang w:eastAsia="lt-LT" w:bidi="lt-LT"/>
        </w:rPr>
      </w:pPr>
    </w:p>
    <w:p w:rsidR="009E0F69" w:rsidRDefault="009E0F69" w:rsidP="00CB3447">
      <w:pPr>
        <w:spacing w:after="0" w:line="240" w:lineRule="auto"/>
        <w:jc w:val="both"/>
        <w:rPr>
          <w:rFonts w:cs="Times New Roman"/>
          <w:szCs w:val="24"/>
        </w:rPr>
      </w:pPr>
      <w:r w:rsidRPr="009E0F69">
        <w:rPr>
          <w:rFonts w:cs="Times New Roman"/>
          <w:b/>
          <w:szCs w:val="24"/>
          <w:u w:val="single"/>
        </w:rPr>
        <w:t>Klausimo esmė.</w:t>
      </w:r>
      <w:r>
        <w:rPr>
          <w:rFonts w:cs="Times New Roman"/>
          <w:b/>
          <w:szCs w:val="24"/>
        </w:rPr>
        <w:t xml:space="preserve"> </w:t>
      </w:r>
      <w:r w:rsidRPr="007F5062">
        <w:rPr>
          <w:rFonts w:cs="Times New Roman"/>
          <w:b/>
          <w:szCs w:val="24"/>
        </w:rPr>
        <w:t>Infliacijos tendencijos.</w:t>
      </w:r>
      <w:r>
        <w:rPr>
          <w:rFonts w:cs="Times New Roman"/>
          <w:szCs w:val="24"/>
        </w:rPr>
        <w:t xml:space="preserve"> </w:t>
      </w:r>
      <w:r w:rsidRPr="007F5062">
        <w:rPr>
          <w:rFonts w:cs="Times New Roman"/>
          <w:szCs w:val="24"/>
        </w:rPr>
        <w:t>Eurostato duomenimis gruodžio mėn. infliacija euro zonoje siekė 1,3 proc., o ES – 1,6 proc. (lapkričio  mėn. euro zonoje buvo 1,0 proc. o ES – 1,3 proc.). Didžiausią įtaką infliacijai turėjo kainų augimas paslaugoms, maistui, alkoholiui ir tabakui ir ne energetinėms industrinėms prekėms ir energijai.</w:t>
      </w:r>
      <w:r>
        <w:rPr>
          <w:rFonts w:cs="Times New Roman"/>
          <w:szCs w:val="24"/>
        </w:rPr>
        <w:t xml:space="preserve"> </w:t>
      </w:r>
      <w:r w:rsidRPr="007F5062">
        <w:rPr>
          <w:rFonts w:cs="Times New Roman"/>
          <w:b/>
          <w:szCs w:val="24"/>
        </w:rPr>
        <w:t>Tuo tarpu 2020 m.</w:t>
      </w:r>
      <w:r>
        <w:rPr>
          <w:rFonts w:cs="Times New Roman"/>
          <w:szCs w:val="24"/>
        </w:rPr>
        <w:t xml:space="preserve"> sausio mėn. infliacija euro zonoje jau siekė 1,4 proc., kai dar 2019 m. rugsėjo mėnesį ji sudarė 0,8 proc. </w:t>
      </w:r>
      <w:r w:rsidRPr="007F5062">
        <w:rPr>
          <w:rFonts w:cs="Times New Roman"/>
          <w:szCs w:val="24"/>
        </w:rPr>
        <w:t xml:space="preserve">Didžiausią įtaką </w:t>
      </w:r>
      <w:r>
        <w:rPr>
          <w:rFonts w:cs="Times New Roman"/>
          <w:szCs w:val="24"/>
        </w:rPr>
        <w:t>kainų augimui turėjo paslaugos ir ne energetinės industrinės prekės. Kasmetinės vieneto darbo sąnaudos ir toliau auga tvirtai dėl stabilaus atlyginimų augimo, padidėjusio produktyvumo ir lėčiau augančių socialinio draudimo įmokų. Didesnis augimas fiksuojamas periferijoje. Nepaisant to, augimo tempas lėtėja, o bazinė infliacija</w:t>
      </w:r>
      <w:r w:rsidR="00CB3447">
        <w:rPr>
          <w:rFonts w:cs="Times New Roman"/>
          <w:szCs w:val="24"/>
        </w:rPr>
        <w:t xml:space="preserve"> (n</w:t>
      </w:r>
      <w:r w:rsidR="00CB3447">
        <w:t>eapima maisto ir energijos)</w:t>
      </w:r>
      <w:r>
        <w:rPr>
          <w:rFonts w:cs="Times New Roman"/>
          <w:szCs w:val="24"/>
        </w:rPr>
        <w:t xml:space="preserve"> išlieka žema, tačiau tikimasi, kad ji išliks stabili. Pap</w:t>
      </w:r>
      <w:r w:rsidR="00CB3447">
        <w:rPr>
          <w:rFonts w:cs="Times New Roman"/>
          <w:szCs w:val="24"/>
        </w:rPr>
        <w:t xml:space="preserve">ildomo neapibrėžtumo sukuria </w:t>
      </w:r>
      <w:proofErr w:type="spellStart"/>
      <w:r w:rsidR="00CB3447">
        <w:rPr>
          <w:rFonts w:cs="Times New Roman"/>
          <w:i/>
          <w:szCs w:val="24"/>
        </w:rPr>
        <w:t>Corona</w:t>
      </w:r>
      <w:proofErr w:type="spellEnd"/>
      <w:r w:rsidRPr="00CB3447">
        <w:rPr>
          <w:rFonts w:cs="Times New Roman"/>
          <w:i/>
          <w:szCs w:val="24"/>
        </w:rPr>
        <w:t xml:space="preserve"> </w:t>
      </w:r>
      <w:r>
        <w:rPr>
          <w:rFonts w:cs="Times New Roman"/>
          <w:szCs w:val="24"/>
        </w:rPr>
        <w:t>viruso epidemija, kuri trumpuoju laikotarpiu gali pakelti infliaciją, o ilguoju ją sumažinti.</w:t>
      </w:r>
    </w:p>
    <w:p w:rsidR="009E0F69" w:rsidRDefault="009E0F69" w:rsidP="00CB3447">
      <w:pPr>
        <w:spacing w:after="0" w:line="240" w:lineRule="auto"/>
        <w:jc w:val="both"/>
        <w:rPr>
          <w:rFonts w:cs="Times New Roman"/>
          <w:szCs w:val="24"/>
        </w:rPr>
      </w:pPr>
      <w:r w:rsidRPr="006F1143">
        <w:rPr>
          <w:rFonts w:cs="Times New Roman"/>
          <w:b/>
          <w:szCs w:val="24"/>
        </w:rPr>
        <w:t>Valiutos kurso tendencijos.</w:t>
      </w:r>
      <w:r>
        <w:rPr>
          <w:rFonts w:cs="Times New Roman"/>
          <w:szCs w:val="24"/>
        </w:rPr>
        <w:t xml:space="preserve"> Euras vidutiniškai nuvertėjo žiūrint į nomina</w:t>
      </w:r>
      <w:r w:rsidR="00CB3447">
        <w:rPr>
          <w:rFonts w:cs="Times New Roman"/>
          <w:szCs w:val="24"/>
        </w:rPr>
        <w:t>lų efektyvų valiutos kursą tarp</w:t>
      </w:r>
      <w:r>
        <w:rPr>
          <w:rFonts w:cs="Times New Roman"/>
          <w:szCs w:val="24"/>
        </w:rPr>
        <w:t xml:space="preserve"> 2019 m. rugpjūčio ir 2020 m. sausio mėnesių. Nuvertėjimas daugiausiai susijęs su buvusia </w:t>
      </w:r>
      <w:proofErr w:type="spellStart"/>
      <w:r w:rsidRPr="00CB3447">
        <w:rPr>
          <w:rFonts w:cs="Times New Roman"/>
          <w:i/>
          <w:szCs w:val="24"/>
        </w:rPr>
        <w:t>Brexit</w:t>
      </w:r>
      <w:proofErr w:type="spellEnd"/>
      <w:r>
        <w:rPr>
          <w:rFonts w:cs="Times New Roman"/>
          <w:szCs w:val="24"/>
        </w:rPr>
        <w:t xml:space="preserve"> be sutarties rizika. Euro nuvertėjimas palyginus su aukšto pajamingumo valiutomis buvo paskatintas pasaulinio augimo stabilizacijos ir sumažėjusių pasaulio prekybos įtampų. Nepaisant to, kad euras nuvertėjo</w:t>
      </w:r>
      <w:r w:rsidRPr="00BD2532">
        <w:rPr>
          <w:rFonts w:cs="Times New Roman"/>
          <w:szCs w:val="24"/>
        </w:rPr>
        <w:t xml:space="preserve"> </w:t>
      </w:r>
      <w:r>
        <w:rPr>
          <w:rFonts w:cs="Times New Roman"/>
          <w:szCs w:val="24"/>
        </w:rPr>
        <w:t>žiūrint į nominalų efektyvų valiutos kursą, jo kursas išliko stabilus JAV dolerio atžvilgiu. Vasario mėnesį euro nuvertėjimas t</w:t>
      </w:r>
      <w:r w:rsidR="00CB3447">
        <w:rPr>
          <w:rFonts w:cs="Times New Roman"/>
          <w:szCs w:val="24"/>
        </w:rPr>
        <w:t xml:space="preserve">ęsėsi tikėtina dėl nerimo, kad </w:t>
      </w:r>
      <w:proofErr w:type="spellStart"/>
      <w:r w:rsidR="00CB3447" w:rsidRPr="00CB3447">
        <w:rPr>
          <w:rFonts w:cs="Times New Roman"/>
          <w:i/>
          <w:szCs w:val="24"/>
        </w:rPr>
        <w:t>C</w:t>
      </w:r>
      <w:r w:rsidRPr="00CB3447">
        <w:rPr>
          <w:rFonts w:cs="Times New Roman"/>
          <w:i/>
          <w:szCs w:val="24"/>
        </w:rPr>
        <w:t>orona</w:t>
      </w:r>
      <w:proofErr w:type="spellEnd"/>
      <w:r>
        <w:rPr>
          <w:rFonts w:cs="Times New Roman"/>
          <w:szCs w:val="24"/>
        </w:rPr>
        <w:t xml:space="preserve"> viruso epidemija padarys reikšmingą žalą pasaulinei ekonomikai.</w:t>
      </w:r>
    </w:p>
    <w:p w:rsidR="009E0F69" w:rsidRPr="006F1143" w:rsidRDefault="009E0F69" w:rsidP="00CB3447">
      <w:pPr>
        <w:spacing w:after="0" w:line="240" w:lineRule="auto"/>
        <w:jc w:val="both"/>
        <w:rPr>
          <w:rFonts w:cs="Times New Roman"/>
          <w:szCs w:val="24"/>
        </w:rPr>
      </w:pPr>
      <w:r w:rsidRPr="009E0F69">
        <w:rPr>
          <w:rFonts w:cs="Times New Roman"/>
          <w:b/>
          <w:szCs w:val="24"/>
          <w:u w:val="single"/>
        </w:rPr>
        <w:t>Lietuvos pozicija.</w:t>
      </w:r>
      <w:r>
        <w:rPr>
          <w:rFonts w:cs="Times New Roman"/>
          <w:szCs w:val="24"/>
        </w:rPr>
        <w:t xml:space="preserve"> Pritariame Europos komisijos analizei.</w:t>
      </w:r>
    </w:p>
    <w:p w:rsidR="009E0F69" w:rsidRPr="00720C6E" w:rsidRDefault="009E0F69" w:rsidP="004F5635">
      <w:pPr>
        <w:spacing w:after="0" w:line="240" w:lineRule="auto"/>
        <w:jc w:val="both"/>
        <w:rPr>
          <w:rFonts w:cs="Times New Roman"/>
          <w:b/>
          <w:szCs w:val="24"/>
          <w:u w:val="single"/>
          <w:lang w:eastAsia="lt-LT" w:bidi="lt-LT"/>
        </w:rPr>
      </w:pPr>
    </w:p>
    <w:sectPr w:rsidR="009E0F69" w:rsidRPr="00720C6E"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CF" w:rsidRDefault="007569CF" w:rsidP="005059EB">
      <w:pPr>
        <w:spacing w:after="0" w:line="240" w:lineRule="auto"/>
      </w:pPr>
      <w:r>
        <w:separator/>
      </w:r>
    </w:p>
  </w:endnote>
  <w:endnote w:type="continuationSeparator" w:id="0">
    <w:p w:rsidR="007569CF" w:rsidRDefault="007569CF"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0F2114">
          <w:rPr>
            <w:noProof/>
          </w:rPr>
          <w:t>2</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CF" w:rsidRDefault="007569CF" w:rsidP="005059EB">
      <w:pPr>
        <w:spacing w:after="0" w:line="240" w:lineRule="auto"/>
      </w:pPr>
      <w:r>
        <w:separator/>
      </w:r>
    </w:p>
  </w:footnote>
  <w:footnote w:type="continuationSeparator" w:id="0">
    <w:p w:rsidR="007569CF" w:rsidRDefault="007569CF"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1">
    <w:nsid w:val="07BE4261"/>
    <w:multiLevelType w:val="hybridMultilevel"/>
    <w:tmpl w:val="AC420682"/>
    <w:lvl w:ilvl="0" w:tplc="FA788C5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2136AF"/>
    <w:multiLevelType w:val="hybridMultilevel"/>
    <w:tmpl w:val="F2BA493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1E5BF0"/>
    <w:multiLevelType w:val="hybridMultilevel"/>
    <w:tmpl w:val="25465962"/>
    <w:lvl w:ilvl="0" w:tplc="BD76F8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863213"/>
    <w:multiLevelType w:val="hybridMultilevel"/>
    <w:tmpl w:val="C3F2D4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D47BA3"/>
    <w:multiLevelType w:val="hybridMultilevel"/>
    <w:tmpl w:val="3DF420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E62BD"/>
    <w:multiLevelType w:val="hybridMultilevel"/>
    <w:tmpl w:val="4BC41A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1F499822"/>
    <w:multiLevelType w:val="hybridMultilevel"/>
    <w:tmpl w:val="F49ED158"/>
    <w:lvl w:ilvl="0" w:tplc="BB10ED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A8145C4"/>
    <w:multiLevelType w:val="hybridMultilevel"/>
    <w:tmpl w:val="48D0C9FE"/>
    <w:lvl w:ilvl="0" w:tplc="FECA3C00">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DAB3284"/>
    <w:multiLevelType w:val="hybridMultilevel"/>
    <w:tmpl w:val="916674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F44098B"/>
    <w:multiLevelType w:val="hybridMultilevel"/>
    <w:tmpl w:val="870E9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FF91C04"/>
    <w:multiLevelType w:val="hybridMultilevel"/>
    <w:tmpl w:val="A56CA3DC"/>
    <w:lvl w:ilvl="0" w:tplc="B18481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3308644A"/>
    <w:multiLevelType w:val="hybridMultilevel"/>
    <w:tmpl w:val="7DF2440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34D514B1"/>
    <w:multiLevelType w:val="hybridMultilevel"/>
    <w:tmpl w:val="45F2CF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733647"/>
    <w:multiLevelType w:val="hybridMultilevel"/>
    <w:tmpl w:val="CFD84F18"/>
    <w:lvl w:ilvl="0" w:tplc="DA1E6FFE">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6">
    <w:nsid w:val="388D3953"/>
    <w:multiLevelType w:val="hybridMultilevel"/>
    <w:tmpl w:val="099E550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A5471F4"/>
    <w:multiLevelType w:val="hybridMultilevel"/>
    <w:tmpl w:val="0E0C574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CAE28BE"/>
    <w:multiLevelType w:val="hybridMultilevel"/>
    <w:tmpl w:val="51E4F896"/>
    <w:lvl w:ilvl="0" w:tplc="50BEDB2C">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3CEA3074"/>
    <w:multiLevelType w:val="hybridMultilevel"/>
    <w:tmpl w:val="4E2698BE"/>
    <w:lvl w:ilvl="0" w:tplc="1574751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74600CE"/>
    <w:multiLevelType w:val="hybridMultilevel"/>
    <w:tmpl w:val="1E529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8425F45"/>
    <w:multiLevelType w:val="hybridMultilevel"/>
    <w:tmpl w:val="EEAA7810"/>
    <w:lvl w:ilvl="0" w:tplc="8738EA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4F9962D8"/>
    <w:multiLevelType w:val="hybridMultilevel"/>
    <w:tmpl w:val="1DE41C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14B60A3"/>
    <w:multiLevelType w:val="hybridMultilevel"/>
    <w:tmpl w:val="118444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51AE34EA"/>
    <w:multiLevelType w:val="hybridMultilevel"/>
    <w:tmpl w:val="2042E2E8"/>
    <w:lvl w:ilvl="0" w:tplc="8D72D7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26">
    <w:nsid w:val="55225063"/>
    <w:multiLevelType w:val="hybridMultilevel"/>
    <w:tmpl w:val="8F449C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52A74C7"/>
    <w:multiLevelType w:val="hybridMultilevel"/>
    <w:tmpl w:val="1EBC91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9CA6777"/>
    <w:multiLevelType w:val="hybridMultilevel"/>
    <w:tmpl w:val="CABAD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ADC62E8"/>
    <w:multiLevelType w:val="hybridMultilevel"/>
    <w:tmpl w:val="4EB62B3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nsid w:val="5E2E5BDC"/>
    <w:multiLevelType w:val="hybridMultilevel"/>
    <w:tmpl w:val="9B88267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nsid w:val="71854BCA"/>
    <w:multiLevelType w:val="hybridMultilevel"/>
    <w:tmpl w:val="7AE04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4246296"/>
    <w:multiLevelType w:val="hybridMultilevel"/>
    <w:tmpl w:val="7482FB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B3F7B7A"/>
    <w:multiLevelType w:val="hybridMultilevel"/>
    <w:tmpl w:val="9138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20"/>
  </w:num>
  <w:num w:numId="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5"/>
  </w:num>
  <w:num w:numId="8">
    <w:abstractNumId w:val="1"/>
  </w:num>
  <w:num w:numId="9">
    <w:abstractNumId w:val="16"/>
  </w:num>
  <w:num w:numId="10">
    <w:abstractNumId w:val="14"/>
  </w:num>
  <w:num w:numId="11">
    <w:abstractNumId w:val="5"/>
  </w:num>
  <w:num w:numId="12">
    <w:abstractNumId w:val="19"/>
  </w:num>
  <w:num w:numId="13">
    <w:abstractNumId w:val="9"/>
  </w:num>
  <w:num w:numId="14">
    <w:abstractNumId w:val="24"/>
  </w:num>
  <w:num w:numId="15">
    <w:abstractNumId w:val="31"/>
  </w:num>
  <w:num w:numId="16">
    <w:abstractNumId w:val="11"/>
  </w:num>
  <w:num w:numId="17">
    <w:abstractNumId w:val="21"/>
  </w:num>
  <w:num w:numId="18">
    <w:abstractNumId w:val="28"/>
  </w:num>
  <w:num w:numId="19">
    <w:abstractNumId w:val="30"/>
  </w:num>
  <w:num w:numId="20">
    <w:abstractNumId w:val="29"/>
  </w:num>
  <w:num w:numId="21">
    <w:abstractNumId w:val="13"/>
  </w:num>
  <w:num w:numId="22">
    <w:abstractNumId w:val="7"/>
  </w:num>
  <w:num w:numId="23">
    <w:abstractNumId w:val="22"/>
  </w:num>
  <w:num w:numId="24">
    <w:abstractNumId w:val="12"/>
  </w:num>
  <w:num w:numId="25">
    <w:abstractNumId w:val="3"/>
  </w:num>
  <w:num w:numId="26">
    <w:abstractNumId w:val="18"/>
  </w:num>
  <w:num w:numId="27">
    <w:abstractNumId w:val="2"/>
  </w:num>
  <w:num w:numId="28">
    <w:abstractNumId w:val="17"/>
  </w:num>
  <w:num w:numId="29">
    <w:abstractNumId w:val="23"/>
  </w:num>
  <w:num w:numId="30">
    <w:abstractNumId w:val="4"/>
  </w:num>
  <w:num w:numId="31">
    <w:abstractNumId w:val="32"/>
  </w:num>
  <w:num w:numId="32">
    <w:abstractNumId w:val="27"/>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678AA"/>
    <w:rsid w:val="000769A5"/>
    <w:rsid w:val="000E1051"/>
    <w:rsid w:val="000F2114"/>
    <w:rsid w:val="000F4400"/>
    <w:rsid w:val="000F589C"/>
    <w:rsid w:val="0011678C"/>
    <w:rsid w:val="00144F3B"/>
    <w:rsid w:val="001815A1"/>
    <w:rsid w:val="0018263F"/>
    <w:rsid w:val="00187F2F"/>
    <w:rsid w:val="001E0AC8"/>
    <w:rsid w:val="00201304"/>
    <w:rsid w:val="00244C46"/>
    <w:rsid w:val="00261FBA"/>
    <w:rsid w:val="002914B1"/>
    <w:rsid w:val="002E7316"/>
    <w:rsid w:val="0039677B"/>
    <w:rsid w:val="003E5320"/>
    <w:rsid w:val="004030AB"/>
    <w:rsid w:val="00405345"/>
    <w:rsid w:val="0040729F"/>
    <w:rsid w:val="00421F1D"/>
    <w:rsid w:val="00455FB7"/>
    <w:rsid w:val="00492AE1"/>
    <w:rsid w:val="004F5635"/>
    <w:rsid w:val="005059EB"/>
    <w:rsid w:val="00511707"/>
    <w:rsid w:val="00547D85"/>
    <w:rsid w:val="005706F9"/>
    <w:rsid w:val="005A1557"/>
    <w:rsid w:val="006E224F"/>
    <w:rsid w:val="00720C6E"/>
    <w:rsid w:val="00745E44"/>
    <w:rsid w:val="007569CF"/>
    <w:rsid w:val="007731A8"/>
    <w:rsid w:val="00793E3C"/>
    <w:rsid w:val="0079438B"/>
    <w:rsid w:val="007B02BB"/>
    <w:rsid w:val="007F75CB"/>
    <w:rsid w:val="008E7545"/>
    <w:rsid w:val="009178E9"/>
    <w:rsid w:val="009202C6"/>
    <w:rsid w:val="0094073A"/>
    <w:rsid w:val="009633E2"/>
    <w:rsid w:val="009B3952"/>
    <w:rsid w:val="009C336F"/>
    <w:rsid w:val="009D4D70"/>
    <w:rsid w:val="009E0F69"/>
    <w:rsid w:val="00A00AAA"/>
    <w:rsid w:val="00A0435E"/>
    <w:rsid w:val="00A051EB"/>
    <w:rsid w:val="00A369D4"/>
    <w:rsid w:val="00A67809"/>
    <w:rsid w:val="00AA132A"/>
    <w:rsid w:val="00AC6837"/>
    <w:rsid w:val="00B11566"/>
    <w:rsid w:val="00B9638E"/>
    <w:rsid w:val="00B97A6B"/>
    <w:rsid w:val="00BB78AE"/>
    <w:rsid w:val="00BD577A"/>
    <w:rsid w:val="00BE1479"/>
    <w:rsid w:val="00C55FA8"/>
    <w:rsid w:val="00C7657E"/>
    <w:rsid w:val="00C83F3B"/>
    <w:rsid w:val="00CB3447"/>
    <w:rsid w:val="00D252B6"/>
    <w:rsid w:val="00D33DBA"/>
    <w:rsid w:val="00D4154B"/>
    <w:rsid w:val="00DE5FBF"/>
    <w:rsid w:val="00E551ED"/>
    <w:rsid w:val="00E6493F"/>
    <w:rsid w:val="00EB0D85"/>
    <w:rsid w:val="00EB1704"/>
    <w:rsid w:val="00F502DC"/>
    <w:rsid w:val="00F83D27"/>
    <w:rsid w:val="00FB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7EDE-FE0C-4C08-9AC5-0ACD8F4F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10677</Words>
  <Characters>6087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Markevičius</dc:creator>
  <cp:keywords/>
  <dc:description/>
  <cp:lastModifiedBy>Audronė Pavlovičienė</cp:lastModifiedBy>
  <cp:revision>41</cp:revision>
  <dcterms:created xsi:type="dcterms:W3CDTF">2020-02-07T08:41:00Z</dcterms:created>
  <dcterms:modified xsi:type="dcterms:W3CDTF">2020-02-27T12:30:00Z</dcterms:modified>
</cp:coreProperties>
</file>