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E9CC8" w14:textId="612226EE" w:rsidR="00363F19" w:rsidRPr="00E921FC" w:rsidRDefault="009C302C" w:rsidP="25E4A8BE">
      <w:pPr>
        <w:spacing w:after="240"/>
        <w:jc w:val="center"/>
        <w:rPr>
          <w:b/>
          <w:bCs/>
        </w:rPr>
      </w:pPr>
      <w:bookmarkStart w:id="0" w:name="_GoBack"/>
      <w:r w:rsidRPr="25E4A8BE">
        <w:rPr>
          <w:b/>
          <w:bCs/>
        </w:rPr>
        <w:t xml:space="preserve">DIREKTYVOS </w:t>
      </w:r>
      <w:r w:rsidR="006649D0" w:rsidRPr="25E4A8BE">
        <w:rPr>
          <w:b/>
          <w:bCs/>
        </w:rPr>
        <w:t>2019/692</w:t>
      </w:r>
      <w:r w:rsidR="6BEF06BB" w:rsidRPr="25E4A8BE">
        <w:rPr>
          <w:b/>
          <w:bCs/>
        </w:rPr>
        <w:t xml:space="preserve">, </w:t>
      </w:r>
      <w:r w:rsidR="00211289" w:rsidRPr="00211289">
        <w:rPr>
          <w:b/>
          <w:bCs/>
        </w:rPr>
        <w:t>REGLAMENT</w:t>
      </w:r>
      <w:r w:rsidR="00211289">
        <w:rPr>
          <w:b/>
          <w:bCs/>
        </w:rPr>
        <w:t>O</w:t>
      </w:r>
      <w:r w:rsidR="00211289" w:rsidRPr="00211289">
        <w:rPr>
          <w:b/>
          <w:bCs/>
        </w:rPr>
        <w:t xml:space="preserve"> </w:t>
      </w:r>
      <w:r w:rsidR="00211289" w:rsidRPr="00211289">
        <w:rPr>
          <w:b/>
          <w:bCs/>
        </w:rPr>
        <w:t>2017/1938</w:t>
      </w:r>
      <w:r w:rsidRPr="25E4A8BE">
        <w:rPr>
          <w:b/>
          <w:bCs/>
        </w:rPr>
        <w:t xml:space="preserve"> IR </w:t>
      </w:r>
      <w:r w:rsidR="006649D0" w:rsidRPr="25E4A8BE">
        <w:rPr>
          <w:b/>
          <w:bCs/>
        </w:rPr>
        <w:t xml:space="preserve">LIETUVOS RESPUBLIKOS GAMTINIŲ DUJŲ ĮSTATYMO NR. VIII-1973 </w:t>
      </w:r>
      <w:r w:rsidR="00654124" w:rsidRPr="25E4A8BE">
        <w:rPr>
          <w:b/>
          <w:bCs/>
        </w:rPr>
        <w:t xml:space="preserve">2, </w:t>
      </w:r>
      <w:r w:rsidR="00B64E72" w:rsidRPr="25E4A8BE">
        <w:rPr>
          <w:b/>
          <w:bCs/>
          <w:lang w:val="en-US"/>
        </w:rPr>
        <w:t xml:space="preserve">7, </w:t>
      </w:r>
      <w:r w:rsidR="000D414F" w:rsidRPr="25E4A8BE">
        <w:rPr>
          <w:b/>
          <w:bCs/>
          <w:lang w:val="en-US"/>
        </w:rPr>
        <w:t xml:space="preserve">9, </w:t>
      </w:r>
      <w:r w:rsidR="00654124" w:rsidRPr="25E4A8BE">
        <w:rPr>
          <w:b/>
          <w:bCs/>
        </w:rPr>
        <w:t xml:space="preserve">45, 46, 51, 53 STRAIPSNIŲ IR PRIEDO </w:t>
      </w:r>
      <w:r w:rsidR="006649D0" w:rsidRPr="25E4A8BE">
        <w:rPr>
          <w:b/>
          <w:bCs/>
        </w:rPr>
        <w:t xml:space="preserve">PAKEITIMO </w:t>
      </w:r>
      <w:r w:rsidR="00654124" w:rsidRPr="25E4A8BE">
        <w:rPr>
          <w:b/>
          <w:bCs/>
        </w:rPr>
        <w:t xml:space="preserve">ĮSTATYMO </w:t>
      </w:r>
      <w:r w:rsidR="002F29BB" w:rsidRPr="25E4A8BE">
        <w:rPr>
          <w:b/>
          <w:bCs/>
        </w:rPr>
        <w:t xml:space="preserve">PROJEKTO </w:t>
      </w:r>
      <w:r w:rsidR="00B540ED" w:rsidRPr="25E4A8BE">
        <w:rPr>
          <w:b/>
          <w:bCs/>
        </w:rPr>
        <w:t>ATITIKTIES LENTELĖ</w:t>
      </w:r>
    </w:p>
    <w:tbl>
      <w:tblPr>
        <w:tblW w:w="14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6811"/>
        <w:gridCol w:w="1800"/>
      </w:tblGrid>
      <w:tr w:rsidR="00585C9A" w:rsidRPr="00E921FC" w14:paraId="09BD380D" w14:textId="77777777" w:rsidTr="00960674">
        <w:trPr>
          <w:trHeight w:val="529"/>
        </w:trPr>
        <w:tc>
          <w:tcPr>
            <w:tcW w:w="6237" w:type="dxa"/>
            <w:tcBorders>
              <w:bottom w:val="single" w:sz="4" w:space="0" w:color="auto"/>
            </w:tcBorders>
          </w:tcPr>
          <w:bookmarkEnd w:id="0"/>
          <w:p w14:paraId="1511B388" w14:textId="5F8D0E58" w:rsidR="006649D0" w:rsidRPr="00E921FC" w:rsidRDefault="006649D0" w:rsidP="006649D0">
            <w:pPr>
              <w:pStyle w:val="HTMLPreformatted"/>
              <w:jc w:val="both"/>
              <w:rPr>
                <w:rFonts w:ascii="Times New Roman" w:hAnsi="Times New Roman" w:cs="Times New Roman"/>
                <w:b/>
                <w:sz w:val="24"/>
                <w:szCs w:val="24"/>
              </w:rPr>
            </w:pPr>
            <w:r w:rsidRPr="00E921FC">
              <w:rPr>
                <w:rFonts w:ascii="Times New Roman" w:hAnsi="Times New Roman" w:cs="Times New Roman"/>
                <w:b/>
                <w:sz w:val="24"/>
                <w:szCs w:val="24"/>
              </w:rPr>
              <w:t>2019 m. balandžio 17 d. Europos Parlamento ir Tarybos direktyva (ES) 2019/692, kuria iš dalies keičiama Direktyva 2009/73/EB dėl gamtinių dujų vidaus rinkos bendrųjų taisyklių</w:t>
            </w:r>
          </w:p>
          <w:p w14:paraId="40D16EB0" w14:textId="6442ACC8" w:rsidR="00585C9A" w:rsidRPr="00E921FC" w:rsidRDefault="00585C9A" w:rsidP="00C24C94">
            <w:pPr>
              <w:pStyle w:val="HTMLPreformatted"/>
              <w:jc w:val="both"/>
              <w:rPr>
                <w:rFonts w:ascii="Times New Roman" w:hAnsi="Times New Roman" w:cs="Times New Roman"/>
                <w:b/>
                <w:sz w:val="24"/>
                <w:szCs w:val="24"/>
              </w:rPr>
            </w:pPr>
          </w:p>
        </w:tc>
        <w:tc>
          <w:tcPr>
            <w:tcW w:w="6811" w:type="dxa"/>
          </w:tcPr>
          <w:p w14:paraId="453C2F52" w14:textId="339D61AD" w:rsidR="00363BCF" w:rsidRPr="00E921FC" w:rsidRDefault="00991731" w:rsidP="00DA7034">
            <w:r w:rsidRPr="00E921FC">
              <w:t xml:space="preserve">1. </w:t>
            </w:r>
            <w:r w:rsidR="006649D0" w:rsidRPr="00E921FC">
              <w:t>Lietuvos Respublikos gamtinių dujų įstatymo N</w:t>
            </w:r>
            <w:r w:rsidR="00AA2A8E">
              <w:t>r</w:t>
            </w:r>
            <w:r w:rsidR="006649D0" w:rsidRPr="00E921FC">
              <w:t>. VIII-1973 2,</w:t>
            </w:r>
            <w:r w:rsidR="008D0847">
              <w:t xml:space="preserve"> </w:t>
            </w:r>
            <w:r w:rsidR="006649D0" w:rsidRPr="00E921FC">
              <w:t>45, 46, 49, 51, 53</w:t>
            </w:r>
            <w:r w:rsidR="008D0847">
              <w:t xml:space="preserve"> </w:t>
            </w:r>
            <w:r w:rsidR="006649D0" w:rsidRPr="00E921FC">
              <w:t>straipsnių pakeitimo projektas</w:t>
            </w:r>
            <w:r w:rsidR="009C302C" w:rsidRPr="00E921FC">
              <w:rPr>
                <w:b/>
              </w:rPr>
              <w:t xml:space="preserve"> </w:t>
            </w:r>
            <w:r w:rsidR="00205734" w:rsidRPr="00E921FC">
              <w:rPr>
                <w:b/>
              </w:rPr>
              <w:t>(toliau</w:t>
            </w:r>
            <w:r w:rsidR="00BF32FA" w:rsidRPr="00E921FC">
              <w:rPr>
                <w:b/>
              </w:rPr>
              <w:t> </w:t>
            </w:r>
            <w:r w:rsidR="00205734" w:rsidRPr="00E921FC">
              <w:rPr>
                <w:b/>
              </w:rPr>
              <w:t xml:space="preserve">– </w:t>
            </w:r>
            <w:r w:rsidR="006649D0" w:rsidRPr="00E921FC">
              <w:rPr>
                <w:b/>
              </w:rPr>
              <w:t>GDĮ projektas</w:t>
            </w:r>
            <w:r w:rsidR="009C302C" w:rsidRPr="00E921FC">
              <w:rPr>
                <w:b/>
              </w:rPr>
              <w:t>)</w:t>
            </w:r>
            <w:r w:rsidRPr="00E921FC">
              <w:t>;</w:t>
            </w:r>
            <w:r w:rsidR="006649D0" w:rsidRPr="00E921FC">
              <w:t xml:space="preserve"> </w:t>
            </w:r>
            <w:r w:rsidR="00DA7034" w:rsidRPr="00E921FC">
              <w:t>(s</w:t>
            </w:r>
            <w:r w:rsidR="006649D0" w:rsidRPr="00E921FC">
              <w:t>uvestinė redakcija nuo 2020-01-01</w:t>
            </w:r>
            <w:r w:rsidR="00DA7034" w:rsidRPr="00E921FC">
              <w:t>).</w:t>
            </w:r>
          </w:p>
        </w:tc>
        <w:tc>
          <w:tcPr>
            <w:tcW w:w="1800" w:type="dxa"/>
          </w:tcPr>
          <w:p w14:paraId="30F0320F" w14:textId="77777777" w:rsidR="00585C9A" w:rsidRPr="00E921FC" w:rsidRDefault="00585C9A" w:rsidP="002E15B0">
            <w:pPr>
              <w:pStyle w:val="HTMLPreformatted"/>
              <w:rPr>
                <w:rFonts w:ascii="Times New Roman" w:hAnsi="Times New Roman" w:cs="Times New Roman"/>
                <w:b/>
                <w:sz w:val="24"/>
                <w:szCs w:val="24"/>
              </w:rPr>
            </w:pPr>
            <w:r w:rsidRPr="00E921FC">
              <w:rPr>
                <w:rFonts w:ascii="Times New Roman" w:hAnsi="Times New Roman" w:cs="Times New Roman"/>
                <w:b/>
                <w:sz w:val="24"/>
                <w:szCs w:val="24"/>
              </w:rPr>
              <w:t>Direktyvos perkėlimo (įgyvendinimo) lygis (visiškas, dalinis)</w:t>
            </w:r>
          </w:p>
        </w:tc>
      </w:tr>
      <w:tr w:rsidR="00585C9A" w:rsidRPr="00E921FC" w14:paraId="56343EB5" w14:textId="77777777" w:rsidTr="00960674">
        <w:trPr>
          <w:trHeight w:val="70"/>
        </w:trPr>
        <w:tc>
          <w:tcPr>
            <w:tcW w:w="6237" w:type="dxa"/>
          </w:tcPr>
          <w:p w14:paraId="3B1C12F4" w14:textId="28A41AC5" w:rsidR="009F133B" w:rsidRPr="00E921FC" w:rsidRDefault="0050531E" w:rsidP="0050531E">
            <w:pPr>
              <w:pStyle w:val="prastasistinklapis8"/>
              <w:tabs>
                <w:tab w:val="left" w:pos="5724"/>
              </w:tabs>
              <w:ind w:left="0"/>
              <w:jc w:val="both"/>
              <w:rPr>
                <w:b/>
                <w:sz w:val="24"/>
                <w:szCs w:val="24"/>
              </w:rPr>
            </w:pPr>
            <w:r w:rsidRPr="00E921FC">
              <w:rPr>
                <w:b/>
                <w:sz w:val="24"/>
                <w:szCs w:val="24"/>
              </w:rPr>
              <w:t xml:space="preserve">1 straipsnis. Direktyvos 2009/73/EB daliniai pakeitimai </w:t>
            </w:r>
          </w:p>
          <w:p w14:paraId="74D7E257" w14:textId="77777777" w:rsidR="0050531E" w:rsidRPr="00E921FC" w:rsidRDefault="0050531E" w:rsidP="0050531E">
            <w:r w:rsidRPr="00E921FC">
              <w:t>2 straipsnio 17 punktas pakeičiamas taip:</w:t>
            </w:r>
          </w:p>
          <w:p w14:paraId="01E11CD4" w14:textId="3AA3C365" w:rsidR="00585C9A" w:rsidRPr="00E921FC" w:rsidRDefault="00DA7034" w:rsidP="00DA7034">
            <w:pPr>
              <w:jc w:val="both"/>
            </w:pPr>
            <w:r w:rsidRPr="00E921FC">
              <w:t xml:space="preserve">„17.   </w:t>
            </w:r>
            <w:r w:rsidRPr="00E921FC">
              <w:rPr>
                <w:b/>
                <w:bCs/>
              </w:rPr>
              <w:t xml:space="preserve">jungiamasis vamzdynas </w:t>
            </w:r>
            <w:r w:rsidRPr="00E921FC">
              <w:t>– valstybių narių sieną kertanti arba per ją nutiesta perdavimo linija, kurios paskirtis – sujungti tų valstybių narių nacionalines perdavimo sistemas, arba perdavimo linija tarp valstybės narės ir trečiosios šalies iki valstybių narių teritorijos arba tos valstybės narės teritorinės jūros;“;</w:t>
            </w:r>
          </w:p>
        </w:tc>
        <w:tc>
          <w:tcPr>
            <w:tcW w:w="6811" w:type="dxa"/>
          </w:tcPr>
          <w:p w14:paraId="20A1D3A8" w14:textId="1F5A5F91" w:rsidR="00324A08" w:rsidRPr="00E921FC" w:rsidRDefault="00324A08" w:rsidP="0050531E">
            <w:pPr>
              <w:suppressAutoHyphens/>
              <w:autoSpaceDE w:val="0"/>
              <w:autoSpaceDN w:val="0"/>
              <w:adjustRightInd w:val="0"/>
              <w:jc w:val="both"/>
              <w:textAlignment w:val="center"/>
              <w:rPr>
                <w:b/>
                <w:color w:val="000000"/>
              </w:rPr>
            </w:pPr>
            <w:r w:rsidRPr="00E921FC">
              <w:rPr>
                <w:b/>
                <w:color w:val="000000"/>
              </w:rPr>
              <w:t>1 straipsnis. 2 straipsnio pakeitimas</w:t>
            </w:r>
          </w:p>
          <w:p w14:paraId="5F102833" w14:textId="6D2057C3" w:rsidR="00324A08" w:rsidRPr="00E921FC" w:rsidRDefault="00400833" w:rsidP="00735105">
            <w:pPr>
              <w:suppressAutoHyphens/>
              <w:autoSpaceDE w:val="0"/>
              <w:autoSpaceDN w:val="0"/>
              <w:adjustRightInd w:val="0"/>
              <w:jc w:val="both"/>
              <w:textAlignment w:val="center"/>
              <w:rPr>
                <w:bCs/>
                <w:color w:val="000000"/>
              </w:rPr>
            </w:pPr>
            <w:r w:rsidRPr="00E921FC">
              <w:rPr>
                <w:bCs/>
                <w:color w:val="000000"/>
              </w:rPr>
              <w:t xml:space="preserve">8. </w:t>
            </w:r>
            <w:r w:rsidR="00324A08" w:rsidRPr="00E921FC">
              <w:rPr>
                <w:bCs/>
                <w:color w:val="000000"/>
              </w:rPr>
              <w:t>Pakeisti 2 straipsnio 44 dalį ir ją išdėstyti taip:</w:t>
            </w:r>
          </w:p>
          <w:p w14:paraId="343052E6" w14:textId="6D57DEED" w:rsidR="009C302C" w:rsidRPr="00E921FC" w:rsidRDefault="00DA7034" w:rsidP="00735105">
            <w:pPr>
              <w:suppressAutoHyphens/>
              <w:autoSpaceDE w:val="0"/>
              <w:autoSpaceDN w:val="0"/>
              <w:adjustRightInd w:val="0"/>
              <w:jc w:val="both"/>
              <w:textAlignment w:val="center"/>
              <w:rPr>
                <w:bCs/>
                <w:color w:val="000000"/>
              </w:rPr>
            </w:pPr>
            <w:r w:rsidRPr="00DA7034">
              <w:rPr>
                <w:bCs/>
                <w:color w:val="000000"/>
              </w:rPr>
              <w:t xml:space="preserve">„44. </w:t>
            </w:r>
            <w:r w:rsidRPr="00F970D0">
              <w:rPr>
                <w:bCs/>
                <w:color w:val="000000"/>
              </w:rPr>
              <w:t>Jungiamasis gamtinių dujų vamzdynas</w:t>
            </w:r>
            <w:r w:rsidRPr="00DA7034">
              <w:rPr>
                <w:bCs/>
                <w:color w:val="000000"/>
              </w:rPr>
              <w:t xml:space="preserve"> (toliau – jungiamasis vamzdynas) – valstybių narių sienas kertantis ar tarp valstybių narių nutiestas gamtinių dujų perdavimo vamzdynas, kurio paskirtis – sujungti tų valstybių narių nacionalines gamtinių dujų perdavimo sistemas</w:t>
            </w:r>
            <w:r w:rsidRPr="00DA7034">
              <w:rPr>
                <w:b/>
                <w:color w:val="000000"/>
              </w:rPr>
              <w:t>, arba gamtinių dujų perdavimo vamzdynas tarp valstybės narės ir trečiosios šalies iki tų valstybių narių teritorijos arba tos valstybės narės teritorinės jūros</w:t>
            </w:r>
            <w:r w:rsidRPr="00DA7034">
              <w:rPr>
                <w:bCs/>
                <w:color w:val="000000"/>
              </w:rPr>
              <w:t xml:space="preserve">.“ </w:t>
            </w:r>
          </w:p>
        </w:tc>
        <w:tc>
          <w:tcPr>
            <w:tcW w:w="1800" w:type="dxa"/>
          </w:tcPr>
          <w:p w14:paraId="3CE91E17" w14:textId="77777777" w:rsidR="00585C9A" w:rsidRPr="00E921FC" w:rsidRDefault="00585C9A" w:rsidP="002E15B0">
            <w:r w:rsidRPr="00E921FC">
              <w:t>Visiškas</w:t>
            </w:r>
          </w:p>
        </w:tc>
      </w:tr>
      <w:tr w:rsidR="00E270E9" w:rsidRPr="00E921FC" w14:paraId="1D3BD7DF" w14:textId="77777777" w:rsidTr="00960674">
        <w:trPr>
          <w:trHeight w:val="527"/>
        </w:trPr>
        <w:tc>
          <w:tcPr>
            <w:tcW w:w="6237" w:type="dxa"/>
          </w:tcPr>
          <w:p w14:paraId="4461827C" w14:textId="77777777" w:rsidR="0050531E" w:rsidRPr="00E921FC" w:rsidRDefault="0050531E" w:rsidP="0050531E">
            <w:pPr>
              <w:rPr>
                <w:bCs/>
              </w:rPr>
            </w:pPr>
            <w:r w:rsidRPr="00E921FC">
              <w:rPr>
                <w:bCs/>
              </w:rPr>
              <w:t>34 straipsnio 4 dalis pakeičiama taip:</w:t>
            </w:r>
          </w:p>
          <w:p w14:paraId="6B1BF3DF" w14:textId="33A34FE1" w:rsidR="00DA7034" w:rsidRPr="00E921FC" w:rsidRDefault="0050531E" w:rsidP="0050531E">
            <w:pPr>
              <w:jc w:val="both"/>
              <w:rPr>
                <w:b/>
              </w:rPr>
            </w:pPr>
            <w:r w:rsidRPr="00E921FC">
              <w:rPr>
                <w:bCs/>
              </w:rPr>
              <w:t xml:space="preserve"> „4. Kilus tarpvalstybiniams ginčams, taikoma valstybės narės, kurios jurisdikcijai priklauso gavybos proceso vamzdynų tinklas, kuriuo atsisakoma leisti naudotis, ginčų sprendimo tvarka. Jei, kilus tarpvalstybiniam ginčui, atitinkamas tinklas yra daugiau kaip vienos valstybės narės teritorijoje, atitinkamos valstybės narės konsultuojasi tarpusavyje siekdamos užtikrinti, kad šios direktyvos nuostatos būtų taikomos nuosekliai. Jeigu gavybos proceso vamzdynų tinklas prasideda trečiojoje šalyje ir jungiasi su bent viena valstybe nare, atitinkamos valstybės narės konsultuojasi tarpusavyje, o valstybė narė, kurioje yra pirmas įleidimo į valstybių narių tinklą taškas, konsultuojasi su atitinkama trečiąja šalimi, kurioje prasideda gavybos proceso vamzdyno tinklas, siekiant užtikrinti, kad atitinkamo tinklo atžvilgiu ši direktyva nuosekliai būtų taikoma valstybių narių teritorijoje.“;</w:t>
            </w:r>
          </w:p>
        </w:tc>
        <w:tc>
          <w:tcPr>
            <w:tcW w:w="6811" w:type="dxa"/>
          </w:tcPr>
          <w:p w14:paraId="24D37231" w14:textId="345F23F6" w:rsidR="00324A08" w:rsidRPr="00E921FC" w:rsidRDefault="00F41BF5" w:rsidP="00324A08">
            <w:pPr>
              <w:jc w:val="both"/>
              <w:rPr>
                <w:b/>
                <w:bCs/>
                <w:iCs/>
              </w:rPr>
            </w:pPr>
            <w:r>
              <w:rPr>
                <w:b/>
                <w:bCs/>
                <w:iCs/>
              </w:rPr>
              <w:t>5</w:t>
            </w:r>
            <w:r w:rsidR="00324A08" w:rsidRPr="00E921FC">
              <w:rPr>
                <w:b/>
                <w:bCs/>
                <w:iCs/>
              </w:rPr>
              <w:t xml:space="preserve"> straipsnis. 51 straipsnio pakeitimas</w:t>
            </w:r>
          </w:p>
          <w:p w14:paraId="01B8FD60" w14:textId="7AC714C5" w:rsidR="00324A08" w:rsidRPr="00E921FC" w:rsidRDefault="00324A08" w:rsidP="00324A08">
            <w:pPr>
              <w:jc w:val="both"/>
              <w:rPr>
                <w:iCs/>
              </w:rPr>
            </w:pPr>
            <w:r w:rsidRPr="00E921FC">
              <w:rPr>
                <w:iCs/>
              </w:rPr>
              <w:t>Pakeisti 51 straipsnio 4 dalį ir ją išdėstyti taip:</w:t>
            </w:r>
          </w:p>
          <w:p w14:paraId="270E7343" w14:textId="12BE5B26" w:rsidR="00C33439" w:rsidRPr="00E921FC" w:rsidRDefault="0050531E" w:rsidP="00C33439">
            <w:pPr>
              <w:jc w:val="both"/>
              <w:rPr>
                <w:iCs/>
              </w:rPr>
            </w:pPr>
            <w:bookmarkStart w:id="1" w:name="_Hlk32286287"/>
            <w:r w:rsidRPr="00E921FC">
              <w:rPr>
                <w:iCs/>
              </w:rPr>
              <w:t>„</w:t>
            </w:r>
            <w:r w:rsidR="00C33439" w:rsidRPr="00E921FC">
              <w:rPr>
                <w:iCs/>
              </w:rPr>
              <w:t xml:space="preserve">4. Kilus tarptautiniam ginčui, jo sprendimui taikoma valstybės narės, kurios jurisdikcijai priklauso gavybos tinklas, kuriuo atsisakoma leisti naudotis, arba tarptautiniuose susitarimuose numatyta teisė. Jei, kilus tarptautiniam ginčui, ginčijamas gavybos tinklas yra ne tik Lietuvos Respublikos, bet ir kitos valstybės narės </w:t>
            </w:r>
            <w:r w:rsidR="00C33439" w:rsidRPr="00E921FC">
              <w:rPr>
                <w:b/>
                <w:bCs/>
                <w:iCs/>
              </w:rPr>
              <w:t xml:space="preserve">ir (ar) trečiosios šalies </w:t>
            </w:r>
            <w:r w:rsidR="00C33439" w:rsidRPr="00E921FC">
              <w:rPr>
                <w:iCs/>
              </w:rPr>
              <w:t xml:space="preserve">teritorijoje, turi būti konsultuojamasi su atitinkama valstybe nare </w:t>
            </w:r>
            <w:r w:rsidRPr="00E921FC">
              <w:rPr>
                <w:b/>
                <w:bCs/>
                <w:iCs/>
              </w:rPr>
              <w:t xml:space="preserve">ir (ar) trečiąja šalimi </w:t>
            </w:r>
            <w:r w:rsidR="00C33439" w:rsidRPr="00E921FC">
              <w:rPr>
                <w:iCs/>
              </w:rPr>
              <w:t>siekiant užtikrinti, kad Europos Sąjungos teisės aktų reikalavimai būtų taikomi nuosekliai.</w:t>
            </w:r>
            <w:r w:rsidRPr="00E921FC">
              <w:rPr>
                <w:iCs/>
              </w:rPr>
              <w:t>“</w:t>
            </w:r>
          </w:p>
          <w:bookmarkEnd w:id="1"/>
          <w:p w14:paraId="0B3FAA8B" w14:textId="2BE51B25" w:rsidR="009C302C" w:rsidRPr="00E921FC" w:rsidRDefault="009C302C" w:rsidP="00991731">
            <w:pPr>
              <w:pStyle w:val="HTMLPreformatted"/>
              <w:jc w:val="both"/>
              <w:rPr>
                <w:rFonts w:ascii="Times New Roman" w:hAnsi="Times New Roman" w:cs="Times New Roman"/>
                <w:i/>
                <w:sz w:val="24"/>
                <w:szCs w:val="24"/>
              </w:rPr>
            </w:pPr>
          </w:p>
        </w:tc>
        <w:tc>
          <w:tcPr>
            <w:tcW w:w="1800" w:type="dxa"/>
          </w:tcPr>
          <w:p w14:paraId="247E52D1" w14:textId="77777777" w:rsidR="00E270E9" w:rsidRPr="00E921FC" w:rsidRDefault="001C3016" w:rsidP="002E15B0">
            <w:r w:rsidRPr="00E921FC">
              <w:t>Visiškas</w:t>
            </w:r>
          </w:p>
        </w:tc>
      </w:tr>
      <w:tr w:rsidR="00337870" w:rsidRPr="00E921FC" w14:paraId="6E3023C9" w14:textId="77777777" w:rsidTr="00960674">
        <w:trPr>
          <w:trHeight w:val="350"/>
        </w:trPr>
        <w:tc>
          <w:tcPr>
            <w:tcW w:w="6237" w:type="dxa"/>
            <w:vMerge w:val="restart"/>
          </w:tcPr>
          <w:p w14:paraId="28568F00" w14:textId="77777777" w:rsidR="00337870" w:rsidRPr="00E921FC" w:rsidRDefault="00337870" w:rsidP="00324A08">
            <w:pPr>
              <w:pStyle w:val="prastasistinklapis8"/>
              <w:tabs>
                <w:tab w:val="left" w:pos="5724"/>
              </w:tabs>
              <w:spacing w:before="0"/>
              <w:ind w:left="0" w:right="30"/>
              <w:jc w:val="both"/>
              <w:rPr>
                <w:sz w:val="24"/>
                <w:szCs w:val="24"/>
              </w:rPr>
            </w:pPr>
            <w:r w:rsidRPr="00E921FC">
              <w:rPr>
                <w:sz w:val="24"/>
                <w:szCs w:val="24"/>
              </w:rPr>
              <w:lastRenderedPageBreak/>
              <w:t>36 straipsnis iš dalies keičiamas taip:</w:t>
            </w:r>
          </w:p>
          <w:p w14:paraId="3376252A" w14:textId="0ED538C2" w:rsidR="00337870" w:rsidRPr="00E921FC" w:rsidRDefault="00337870" w:rsidP="00324A08">
            <w:pPr>
              <w:pStyle w:val="prastasistinklapis8"/>
              <w:tabs>
                <w:tab w:val="left" w:pos="5724"/>
              </w:tabs>
              <w:ind w:left="0" w:right="30"/>
              <w:jc w:val="both"/>
              <w:rPr>
                <w:sz w:val="24"/>
                <w:szCs w:val="24"/>
              </w:rPr>
            </w:pPr>
            <w:r w:rsidRPr="00E921FC">
              <w:rPr>
                <w:sz w:val="24"/>
                <w:szCs w:val="24"/>
              </w:rPr>
              <w:t>a) 1 dalies e punktas pakeičiamas taip:</w:t>
            </w:r>
          </w:p>
          <w:p w14:paraId="2E34A87C" w14:textId="77777777" w:rsidR="00337870" w:rsidRPr="00E921FC" w:rsidRDefault="00337870" w:rsidP="00324A08">
            <w:pPr>
              <w:pStyle w:val="prastasistinklapis8"/>
              <w:tabs>
                <w:tab w:val="left" w:pos="5724"/>
              </w:tabs>
              <w:ind w:right="30"/>
              <w:jc w:val="both"/>
              <w:rPr>
                <w:sz w:val="24"/>
                <w:szCs w:val="24"/>
              </w:rPr>
            </w:pPr>
            <w:r w:rsidRPr="00E921FC">
              <w:rPr>
                <w:sz w:val="24"/>
                <w:szCs w:val="24"/>
              </w:rPr>
              <w:t>„e) išimtis turi nekenkti konkurencijai atitinkamose rinkose, kurioms galėtų turėti įtakos investicijos, veiksmingam gamtinių dujų vidaus rinkos veikimui, veiksmingam atitinkamų reguliuojamųjų sistemų funkcionavimui arba gamtinių dujų tiekimo saugumui Sąjungoje.“;</w:t>
            </w:r>
          </w:p>
          <w:p w14:paraId="353075D6" w14:textId="77777777" w:rsidR="00337870" w:rsidRPr="00E921FC" w:rsidRDefault="00337870" w:rsidP="00BE7EFE">
            <w:pPr>
              <w:pStyle w:val="prastasistinklapis8"/>
              <w:tabs>
                <w:tab w:val="left" w:pos="5724"/>
              </w:tabs>
              <w:ind w:left="0" w:right="30"/>
              <w:jc w:val="both"/>
              <w:rPr>
                <w:sz w:val="24"/>
                <w:szCs w:val="24"/>
              </w:rPr>
            </w:pPr>
            <w:r w:rsidRPr="00E921FC">
              <w:rPr>
                <w:sz w:val="24"/>
                <w:szCs w:val="24"/>
              </w:rPr>
              <w:t>b) 3 dalis pakeičiama taip:</w:t>
            </w:r>
          </w:p>
          <w:p w14:paraId="1F2575F3" w14:textId="77777777" w:rsidR="00337870" w:rsidRPr="00E921FC" w:rsidRDefault="00337870" w:rsidP="00BE7EFE">
            <w:pPr>
              <w:pStyle w:val="prastasistinklapis8"/>
              <w:tabs>
                <w:tab w:val="left" w:pos="5724"/>
              </w:tabs>
              <w:ind w:right="30"/>
              <w:jc w:val="both"/>
              <w:rPr>
                <w:sz w:val="24"/>
                <w:szCs w:val="24"/>
              </w:rPr>
            </w:pPr>
            <w:r w:rsidRPr="00E921FC">
              <w:rPr>
                <w:sz w:val="24"/>
                <w:szCs w:val="24"/>
              </w:rPr>
              <w:t>„3. VIII skyriuje nurodyta reguliavimo institucija, apsvarsčiusi kiekvieną atskirą atvejį, gali priimti sprendimą dėl 1 ir 2 dalyse nurodytų išimčių.</w:t>
            </w:r>
          </w:p>
          <w:p w14:paraId="7B2AB1A2" w14:textId="77777777" w:rsidR="00337870" w:rsidRPr="00E921FC" w:rsidRDefault="00337870" w:rsidP="00BE7EFE">
            <w:pPr>
              <w:pStyle w:val="prastasistinklapis8"/>
              <w:tabs>
                <w:tab w:val="left" w:pos="5724"/>
              </w:tabs>
              <w:ind w:right="30"/>
              <w:jc w:val="both"/>
              <w:rPr>
                <w:sz w:val="24"/>
                <w:szCs w:val="24"/>
              </w:rPr>
            </w:pPr>
            <w:r w:rsidRPr="00E921FC">
              <w:rPr>
                <w:sz w:val="24"/>
                <w:szCs w:val="24"/>
              </w:rPr>
              <w:t>Prieš priimdama sprendimą dėl išimčių nacionalinė reguliavimo institucija arba, kai tikslinga, kita tos valstybės narės kompetentinga institucija konsultuojasi su:</w:t>
            </w:r>
          </w:p>
          <w:p w14:paraId="2FED8332" w14:textId="77777777" w:rsidR="00337870" w:rsidRPr="00E921FC" w:rsidRDefault="00337870" w:rsidP="00BE7EFE">
            <w:pPr>
              <w:pStyle w:val="prastasistinklapis8"/>
              <w:numPr>
                <w:ilvl w:val="0"/>
                <w:numId w:val="2"/>
              </w:numPr>
              <w:tabs>
                <w:tab w:val="left" w:pos="5724"/>
              </w:tabs>
              <w:ind w:right="30"/>
              <w:jc w:val="both"/>
              <w:rPr>
                <w:sz w:val="24"/>
                <w:szCs w:val="24"/>
              </w:rPr>
            </w:pPr>
            <w:r w:rsidRPr="00E921FC">
              <w:rPr>
                <w:sz w:val="24"/>
                <w:szCs w:val="24"/>
              </w:rPr>
              <w:t>valstybių narių, kurių rinkoms galėtų turėti įtakos naujoji infrastruktūra, nacionalinėmis reguliavimo institucijomis ir</w:t>
            </w:r>
          </w:p>
          <w:p w14:paraId="45CEEC02" w14:textId="77777777" w:rsidR="00337870" w:rsidRPr="00E921FC" w:rsidRDefault="00337870" w:rsidP="00BE7EFE">
            <w:pPr>
              <w:pStyle w:val="prastasistinklapis8"/>
              <w:numPr>
                <w:ilvl w:val="0"/>
                <w:numId w:val="2"/>
              </w:numPr>
              <w:tabs>
                <w:tab w:val="left" w:pos="5724"/>
              </w:tabs>
              <w:ind w:right="30"/>
              <w:jc w:val="both"/>
              <w:rPr>
                <w:sz w:val="24"/>
                <w:szCs w:val="24"/>
              </w:rPr>
            </w:pPr>
            <w:r w:rsidRPr="00E921FC">
              <w:rPr>
                <w:sz w:val="24"/>
                <w:szCs w:val="24"/>
              </w:rPr>
              <w:t>atitinkamomis trečiųjų šalių, kuriose atitinkama infrastruktūra yra sujungta su Sąjungos tinklu, kuris priklauso valstybės narės jurisdikcijai ir prasideda arba baigiasi vienoje ar daugiau trečiųjų šalių, institucijomis.</w:t>
            </w:r>
          </w:p>
          <w:p w14:paraId="796A3768" w14:textId="77777777" w:rsidR="00337870" w:rsidRDefault="00337870" w:rsidP="00BE7EFE">
            <w:pPr>
              <w:pStyle w:val="prastasistinklapis8"/>
              <w:tabs>
                <w:tab w:val="left" w:pos="5724"/>
              </w:tabs>
              <w:spacing w:before="0" w:after="0"/>
              <w:ind w:left="0" w:right="30"/>
              <w:jc w:val="both"/>
              <w:rPr>
                <w:sz w:val="24"/>
                <w:szCs w:val="24"/>
              </w:rPr>
            </w:pPr>
            <w:r w:rsidRPr="00E921FC">
              <w:rPr>
                <w:sz w:val="24"/>
                <w:szCs w:val="24"/>
              </w:rPr>
              <w:t>Kai trečiųjų šalių institucijos, su kuriomis buvo konsultuojamasi, per pagrįstą laikotarpį arba per nustatytą trijų mėnesių neviršijantį terminą neatsako į prašymą konsultuotis, atitinkama reguliavimo institucija gali priimti būtiną sprendimą.“;</w:t>
            </w:r>
          </w:p>
          <w:p w14:paraId="7AE91C68" w14:textId="2309547F" w:rsidR="004F0C61" w:rsidRPr="004F0C61" w:rsidRDefault="004F0C61" w:rsidP="004F0C61">
            <w:pPr>
              <w:pStyle w:val="prastasistinklapis8"/>
              <w:numPr>
                <w:ilvl w:val="0"/>
                <w:numId w:val="2"/>
              </w:numPr>
              <w:tabs>
                <w:tab w:val="left" w:pos="5724"/>
              </w:tabs>
              <w:ind w:left="315" w:right="30" w:hanging="315"/>
              <w:jc w:val="both"/>
              <w:rPr>
                <w:sz w:val="24"/>
                <w:szCs w:val="24"/>
              </w:rPr>
            </w:pPr>
            <w:r w:rsidRPr="004F0C61">
              <w:rPr>
                <w:sz w:val="24"/>
                <w:szCs w:val="24"/>
              </w:rPr>
              <w:t>4 dalies antra pastraipa pakeičiama taip:</w:t>
            </w:r>
          </w:p>
          <w:p w14:paraId="76355F52" w14:textId="5BF3B791" w:rsidR="00E75896" w:rsidRDefault="004F0C61" w:rsidP="004F0C61">
            <w:pPr>
              <w:pStyle w:val="prastasistinklapis8"/>
              <w:tabs>
                <w:tab w:val="left" w:pos="5724"/>
              </w:tabs>
              <w:spacing w:before="0" w:after="0"/>
              <w:ind w:left="0" w:right="30"/>
              <w:jc w:val="both"/>
              <w:rPr>
                <w:sz w:val="24"/>
                <w:szCs w:val="24"/>
              </w:rPr>
            </w:pPr>
            <w:r w:rsidRPr="004F0C61">
              <w:rPr>
                <w:sz w:val="24"/>
                <w:szCs w:val="24"/>
              </w:rPr>
              <w:t xml:space="preserve">„Jeigu visos atitinkamos reguliavimo institucijos per šešis mėnesius nuo prašymo suteikti išimtį pateikimo paskutinei iš </w:t>
            </w:r>
            <w:r w:rsidRPr="004F0C61">
              <w:rPr>
                <w:sz w:val="24"/>
                <w:szCs w:val="24"/>
              </w:rPr>
              <w:lastRenderedPageBreak/>
              <w:t>tų reguliavimo institucijų dienos susitarė dėl prašymo suteikti išimtį, jos informuoja Agentūrą apie savo sprendimą. Jeigu atitinkama infrastruktūra yra tarp valstybės narės ir trečiosios šalies esanti perdavimo linija, nacionalinė reguliavimo institucija arba, kai tinkama, valstybės narės, kurioje yra pirmas sujungimo su valstybių narių tinklu taškas, kita kompetentinga institucija prieš sprendimo dėl išimčių priėmimą gali konsultuotis su atitinkama tos trečiosios šalies institucija siekdama užtikrinti, kad atitinkamos infrastruktūros atžvilgiu ši direktyva nuosekliai būtų taikoma tos valstybės narės teritorijoje ir, kai taikytina, tos valstybės narės teritorinėje jūroje. Jeigu trečiosios šalies institucija, su kuria buvo konsultuojamasi, per pagrįstą laikotarpį arba per nustatytą trijų mėnesių neviršijantį terminą neatsako į prašymą konsultuotis, atitinkama nacionalinė reguliavimo institucija gali priimti būtiną sprendimą.“;</w:t>
            </w:r>
          </w:p>
          <w:p w14:paraId="5FD72D63" w14:textId="1D483567" w:rsidR="00E75896" w:rsidRPr="00E921FC" w:rsidRDefault="00E75896" w:rsidP="00BE7EFE">
            <w:pPr>
              <w:pStyle w:val="prastasistinklapis8"/>
              <w:tabs>
                <w:tab w:val="left" w:pos="5724"/>
              </w:tabs>
              <w:spacing w:before="0" w:after="0"/>
              <w:ind w:left="0" w:right="30"/>
              <w:jc w:val="both"/>
              <w:rPr>
                <w:sz w:val="24"/>
                <w:szCs w:val="24"/>
              </w:rPr>
            </w:pPr>
          </w:p>
        </w:tc>
        <w:tc>
          <w:tcPr>
            <w:tcW w:w="6811" w:type="dxa"/>
            <w:vMerge w:val="restart"/>
          </w:tcPr>
          <w:p w14:paraId="1B01E123" w14:textId="27F8D3C6" w:rsidR="00337870" w:rsidRPr="00241E3B" w:rsidRDefault="002525B4" w:rsidP="00241E3B">
            <w:pPr>
              <w:tabs>
                <w:tab w:val="left" w:pos="567"/>
              </w:tabs>
              <w:jc w:val="both"/>
              <w:rPr>
                <w:bCs/>
              </w:rPr>
            </w:pPr>
            <w:r w:rsidRPr="00211289">
              <w:rPr>
                <w:b/>
              </w:rPr>
              <w:lastRenderedPageBreak/>
              <w:t>6</w:t>
            </w:r>
            <w:r w:rsidR="00337870" w:rsidRPr="00241E3B">
              <w:rPr>
                <w:b/>
              </w:rPr>
              <w:t xml:space="preserve"> straipsnis. 53 straipsnio pakeitimas</w:t>
            </w:r>
          </w:p>
          <w:p w14:paraId="3226BE2D" w14:textId="53B045DE" w:rsidR="00337870" w:rsidRPr="00241E3B" w:rsidRDefault="00337870" w:rsidP="00241E3B">
            <w:pPr>
              <w:tabs>
                <w:tab w:val="left" w:pos="567"/>
              </w:tabs>
              <w:contextualSpacing/>
              <w:jc w:val="both"/>
              <w:rPr>
                <w:bCs/>
              </w:rPr>
            </w:pPr>
            <w:r w:rsidRPr="00E921FC">
              <w:rPr>
                <w:bCs/>
              </w:rPr>
              <w:t xml:space="preserve">1. </w:t>
            </w:r>
            <w:r w:rsidRPr="00241E3B">
              <w:rPr>
                <w:bCs/>
              </w:rPr>
              <w:t>Pakeisti 53 straipsnio 1 dalies 5 punktą ir jį išdėstyti taip:</w:t>
            </w:r>
          </w:p>
          <w:p w14:paraId="6BB50BC3" w14:textId="4D449507" w:rsidR="00337870" w:rsidRPr="00E921FC" w:rsidRDefault="00337870" w:rsidP="00400833">
            <w:pPr>
              <w:jc w:val="both"/>
            </w:pPr>
            <w:bookmarkStart w:id="2" w:name="_Hlk32286336"/>
            <w:r w:rsidRPr="00241E3B">
              <w:t>„</w:t>
            </w:r>
            <w:r w:rsidRPr="00E921FC">
              <w:t>5) išimtis neturi kenkti konkurencijai ar veiksmingam gamtinių dujų vidaus rinkos funkcionavimui arba veiksmingam sistemos, su kuria ta infrastruktūra yra sujungta, funkcionavimui</w:t>
            </w:r>
            <w:r w:rsidRPr="00E921FC">
              <w:rPr>
                <w:b/>
                <w:bCs/>
              </w:rPr>
              <w:t>, taip pat valstybių narių gamtinių dujų tiekimo saugumui</w:t>
            </w:r>
            <w:r w:rsidRPr="00E921FC">
              <w:t>.“</w:t>
            </w:r>
          </w:p>
          <w:bookmarkEnd w:id="2"/>
          <w:p w14:paraId="285A26C8" w14:textId="4D787B60" w:rsidR="00337870" w:rsidRPr="00E921FC" w:rsidRDefault="00337870" w:rsidP="00BE7EFE">
            <w:pPr>
              <w:tabs>
                <w:tab w:val="left" w:pos="567"/>
              </w:tabs>
              <w:jc w:val="both"/>
              <w:rPr>
                <w:b/>
              </w:rPr>
            </w:pPr>
            <w:r>
              <w:rPr>
                <w:b/>
              </w:rPr>
              <w:t>&lt;...&gt;</w:t>
            </w:r>
          </w:p>
          <w:p w14:paraId="6BB8996B" w14:textId="77777777" w:rsidR="00337870" w:rsidRPr="00E921FC" w:rsidRDefault="00337870" w:rsidP="00735105">
            <w:pPr>
              <w:pStyle w:val="HTMLPreformatted"/>
              <w:jc w:val="both"/>
              <w:rPr>
                <w:rFonts w:ascii="Times New Roman" w:hAnsi="Times New Roman" w:cs="Times New Roman"/>
                <w:sz w:val="24"/>
                <w:szCs w:val="24"/>
              </w:rPr>
            </w:pPr>
            <w:r w:rsidRPr="00E921FC">
              <w:rPr>
                <w:rFonts w:ascii="Times New Roman" w:hAnsi="Times New Roman" w:cs="Times New Roman"/>
                <w:sz w:val="24"/>
                <w:szCs w:val="24"/>
              </w:rPr>
              <w:t xml:space="preserve">2. Pakeisti 53 straipsnio </w:t>
            </w:r>
            <w:r>
              <w:rPr>
                <w:rFonts w:ascii="Times New Roman" w:hAnsi="Times New Roman" w:cs="Times New Roman"/>
                <w:sz w:val="24"/>
                <w:szCs w:val="24"/>
              </w:rPr>
              <w:t>2</w:t>
            </w:r>
            <w:r w:rsidRPr="00E921FC">
              <w:rPr>
                <w:rFonts w:ascii="Times New Roman" w:hAnsi="Times New Roman" w:cs="Times New Roman"/>
                <w:sz w:val="24"/>
                <w:szCs w:val="24"/>
              </w:rPr>
              <w:t xml:space="preserve"> dalį ir ją išdėstyti taip:</w:t>
            </w:r>
          </w:p>
          <w:p w14:paraId="23E29143" w14:textId="6E0EBD99" w:rsidR="00337870" w:rsidRPr="00337870" w:rsidRDefault="0097199D" w:rsidP="008C12D5">
            <w:pPr>
              <w:pStyle w:val="HTMLPreformatted"/>
              <w:jc w:val="both"/>
              <w:rPr>
                <w:rFonts w:ascii="Times New Roman" w:hAnsi="Times New Roman" w:cs="Times New Roman"/>
                <w:b/>
                <w:bCs/>
                <w:sz w:val="24"/>
                <w:szCs w:val="24"/>
              </w:rPr>
            </w:pPr>
            <w:bookmarkStart w:id="3" w:name="_Hlk32286633"/>
            <w:r>
              <w:rPr>
                <w:rFonts w:ascii="Times New Roman" w:hAnsi="Times New Roman" w:cs="Times New Roman"/>
                <w:sz w:val="24"/>
                <w:szCs w:val="24"/>
              </w:rPr>
              <w:t>„</w:t>
            </w:r>
            <w:r w:rsidR="00337870" w:rsidRPr="00337870">
              <w:rPr>
                <w:rFonts w:ascii="Times New Roman" w:hAnsi="Times New Roman" w:cs="Times New Roman"/>
                <w:sz w:val="24"/>
                <w:szCs w:val="24"/>
              </w:rPr>
              <w:t>2. Vyriausybė teikia Seimui priimti sprendimą dėl šio straipsnio 1 dalyje nurodytų išimčių taikymo.</w:t>
            </w:r>
            <w:r w:rsidR="00337870" w:rsidRPr="00337870">
              <w:t xml:space="preserve"> </w:t>
            </w:r>
            <w:r w:rsidR="00337870" w:rsidRPr="00337870">
              <w:rPr>
                <w:rFonts w:ascii="Times New Roman" w:hAnsi="Times New Roman" w:cs="Times New Roman"/>
                <w:b/>
                <w:bCs/>
                <w:sz w:val="24"/>
                <w:szCs w:val="24"/>
              </w:rPr>
              <w:t>Prieš teik</w:t>
            </w:r>
            <w:r w:rsidR="00F970D0">
              <w:rPr>
                <w:rFonts w:ascii="Times New Roman" w:hAnsi="Times New Roman" w:cs="Times New Roman"/>
                <w:b/>
                <w:bCs/>
                <w:sz w:val="24"/>
                <w:szCs w:val="24"/>
              </w:rPr>
              <w:t>dama</w:t>
            </w:r>
            <w:r w:rsidR="00337870" w:rsidRPr="00337870">
              <w:rPr>
                <w:rFonts w:ascii="Times New Roman" w:hAnsi="Times New Roman" w:cs="Times New Roman"/>
                <w:b/>
                <w:bCs/>
                <w:sz w:val="24"/>
                <w:szCs w:val="24"/>
              </w:rPr>
              <w:t xml:space="preserve"> Seimui priimti sprendimą dėl išimčių taikymo, Vyriausybė užtikrina, kad būtų gauta Tarybos išvada dėl išimčių taikymo. Taryba</w:t>
            </w:r>
            <w:r w:rsidR="00F970D0">
              <w:rPr>
                <w:rFonts w:ascii="Times New Roman" w:hAnsi="Times New Roman" w:cs="Times New Roman"/>
                <w:b/>
                <w:bCs/>
                <w:sz w:val="24"/>
                <w:szCs w:val="24"/>
              </w:rPr>
              <w:t>,</w:t>
            </w:r>
            <w:r w:rsidR="00337870" w:rsidRPr="00337870">
              <w:rPr>
                <w:rFonts w:ascii="Times New Roman" w:hAnsi="Times New Roman" w:cs="Times New Roman"/>
                <w:b/>
                <w:bCs/>
                <w:sz w:val="24"/>
                <w:szCs w:val="24"/>
              </w:rPr>
              <w:t xml:space="preserve"> prieš pateikdama šią išvadą Vyriausybei</w:t>
            </w:r>
            <w:r w:rsidR="00F970D0">
              <w:rPr>
                <w:rFonts w:ascii="Times New Roman" w:hAnsi="Times New Roman" w:cs="Times New Roman"/>
                <w:b/>
                <w:bCs/>
                <w:sz w:val="24"/>
                <w:szCs w:val="24"/>
              </w:rPr>
              <w:t>,</w:t>
            </w:r>
            <w:r w:rsidR="00337870" w:rsidRPr="00337870">
              <w:rPr>
                <w:rFonts w:ascii="Times New Roman" w:hAnsi="Times New Roman" w:cs="Times New Roman"/>
                <w:b/>
                <w:bCs/>
                <w:sz w:val="24"/>
                <w:szCs w:val="24"/>
              </w:rPr>
              <w:t xml:space="preserve"> konsultuojasi su valstybių narių, kurių rinkoms galėtų turėti įtakos nauja infrastruktūra, nacionalinėmis reguliavimo institucijomis, ir trečiųjų šalių, kurių teritorijoje prasideda arba baigiasi nauja infrastruktūra, atsakingomis institucijomis, šioms konsultacijoms skiriant </w:t>
            </w:r>
            <w:r w:rsidR="005A3A39">
              <w:rPr>
                <w:rFonts w:ascii="Times New Roman" w:hAnsi="Times New Roman" w:cs="Times New Roman"/>
                <w:b/>
                <w:bCs/>
                <w:sz w:val="24"/>
                <w:szCs w:val="24"/>
              </w:rPr>
              <w:t>vieno</w:t>
            </w:r>
            <w:r w:rsidR="00337870" w:rsidRPr="00337870">
              <w:rPr>
                <w:rFonts w:ascii="Times New Roman" w:hAnsi="Times New Roman" w:cs="Times New Roman"/>
                <w:b/>
                <w:bCs/>
                <w:sz w:val="24"/>
                <w:szCs w:val="24"/>
              </w:rPr>
              <w:t xml:space="preserve"> mėnesi</w:t>
            </w:r>
            <w:r w:rsidR="00F970D0">
              <w:rPr>
                <w:rFonts w:ascii="Times New Roman" w:hAnsi="Times New Roman" w:cs="Times New Roman"/>
                <w:b/>
                <w:bCs/>
                <w:sz w:val="24"/>
                <w:szCs w:val="24"/>
              </w:rPr>
              <w:t>o</w:t>
            </w:r>
            <w:r w:rsidR="00337870" w:rsidRPr="00337870">
              <w:rPr>
                <w:rFonts w:ascii="Times New Roman" w:hAnsi="Times New Roman" w:cs="Times New Roman"/>
                <w:b/>
                <w:bCs/>
                <w:sz w:val="24"/>
                <w:szCs w:val="24"/>
              </w:rPr>
              <w:t xml:space="preserve"> terminą.</w:t>
            </w:r>
            <w:r w:rsidRPr="0097199D">
              <w:rPr>
                <w:rFonts w:ascii="Times New Roman" w:hAnsi="Times New Roman" w:cs="Times New Roman"/>
                <w:sz w:val="24"/>
                <w:szCs w:val="24"/>
              </w:rPr>
              <w:t>“</w:t>
            </w:r>
          </w:p>
          <w:bookmarkEnd w:id="3"/>
          <w:p w14:paraId="45EB86B0" w14:textId="77777777" w:rsidR="00337870" w:rsidRDefault="00337870" w:rsidP="008C12D5">
            <w:pPr>
              <w:pStyle w:val="HTMLPreformatted"/>
              <w:jc w:val="both"/>
              <w:rPr>
                <w:rFonts w:ascii="Times New Roman" w:hAnsi="Times New Roman" w:cs="Times New Roman"/>
                <w:b/>
                <w:bCs/>
                <w:sz w:val="24"/>
                <w:szCs w:val="24"/>
              </w:rPr>
            </w:pPr>
            <w:r>
              <w:rPr>
                <w:rFonts w:ascii="Times New Roman" w:hAnsi="Times New Roman" w:cs="Times New Roman"/>
                <w:b/>
                <w:bCs/>
                <w:sz w:val="24"/>
                <w:szCs w:val="24"/>
              </w:rPr>
              <w:t>&lt;...&gt;</w:t>
            </w:r>
          </w:p>
          <w:p w14:paraId="779AF57C" w14:textId="64F53ED5" w:rsidR="00337870" w:rsidRDefault="0097199D" w:rsidP="008C12D5">
            <w:pPr>
              <w:pStyle w:val="HTMLPreformatted"/>
              <w:jc w:val="both"/>
              <w:rPr>
                <w:rFonts w:ascii="Times New Roman" w:hAnsi="Times New Roman" w:cs="Times New Roman"/>
                <w:sz w:val="24"/>
                <w:szCs w:val="24"/>
              </w:rPr>
            </w:pPr>
            <w:r w:rsidRPr="00211289">
              <w:rPr>
                <w:rFonts w:ascii="Times New Roman" w:hAnsi="Times New Roman" w:cs="Times New Roman"/>
                <w:sz w:val="24"/>
                <w:szCs w:val="24"/>
              </w:rPr>
              <w:t>3</w:t>
            </w:r>
            <w:r w:rsidR="00337870" w:rsidRPr="00337870">
              <w:rPr>
                <w:rFonts w:ascii="Times New Roman" w:hAnsi="Times New Roman" w:cs="Times New Roman"/>
                <w:sz w:val="24"/>
                <w:szCs w:val="24"/>
              </w:rPr>
              <w:t xml:space="preserve">. Pakeisti 53 straipsnio </w:t>
            </w:r>
            <w:r w:rsidR="00337870" w:rsidRPr="00211289">
              <w:rPr>
                <w:rFonts w:ascii="Times New Roman" w:hAnsi="Times New Roman" w:cs="Times New Roman"/>
                <w:sz w:val="24"/>
                <w:szCs w:val="24"/>
              </w:rPr>
              <w:t>4</w:t>
            </w:r>
            <w:r w:rsidR="00337870" w:rsidRPr="00337870">
              <w:rPr>
                <w:rFonts w:ascii="Times New Roman" w:hAnsi="Times New Roman" w:cs="Times New Roman"/>
                <w:sz w:val="24"/>
                <w:szCs w:val="24"/>
              </w:rPr>
              <w:t xml:space="preserve"> dalį ir ją išdėstyti taip:</w:t>
            </w:r>
          </w:p>
          <w:p w14:paraId="2B737B1A" w14:textId="22364223" w:rsidR="00337870" w:rsidRPr="00337870" w:rsidRDefault="00337870" w:rsidP="00337870">
            <w:pPr>
              <w:pStyle w:val="HTMLPreformatted"/>
              <w:jc w:val="both"/>
              <w:rPr>
                <w:rFonts w:ascii="Times New Roman" w:hAnsi="Times New Roman" w:cs="Times New Roman"/>
                <w:sz w:val="24"/>
                <w:szCs w:val="24"/>
              </w:rPr>
            </w:pPr>
            <w:bookmarkStart w:id="4" w:name="_Hlk32288129"/>
            <w:r w:rsidRPr="00337870">
              <w:rPr>
                <w:rFonts w:ascii="Times New Roman" w:hAnsi="Times New Roman" w:cs="Times New Roman"/>
                <w:sz w:val="24"/>
                <w:szCs w:val="24"/>
              </w:rPr>
              <w:t>„4. Priimant sprendimą suteikti išimtį</w:t>
            </w:r>
            <w:r w:rsidRPr="00337870">
              <w:rPr>
                <w:rFonts w:ascii="Times New Roman" w:hAnsi="Times New Roman" w:cs="Times New Roman"/>
                <w:b/>
                <w:bCs/>
                <w:sz w:val="24"/>
                <w:szCs w:val="24"/>
              </w:rPr>
              <w:t xml:space="preserve"> </w:t>
            </w:r>
            <w:r>
              <w:rPr>
                <w:rFonts w:ascii="Times New Roman" w:hAnsi="Times New Roman" w:cs="Times New Roman"/>
                <w:b/>
                <w:bCs/>
                <w:sz w:val="24"/>
                <w:szCs w:val="24"/>
              </w:rPr>
              <w:t>įvertinama</w:t>
            </w:r>
            <w:r w:rsidR="00F970D0">
              <w:rPr>
                <w:rFonts w:ascii="Times New Roman" w:hAnsi="Times New Roman" w:cs="Times New Roman"/>
                <w:b/>
                <w:bCs/>
                <w:sz w:val="24"/>
                <w:szCs w:val="24"/>
              </w:rPr>
              <w:t>,</w:t>
            </w:r>
            <w:r w:rsidRPr="00337870">
              <w:rPr>
                <w:rFonts w:ascii="Times New Roman" w:hAnsi="Times New Roman" w:cs="Times New Roman"/>
                <w:b/>
                <w:bCs/>
                <w:sz w:val="24"/>
                <w:szCs w:val="24"/>
              </w:rPr>
              <w:t xml:space="preserve"> </w:t>
            </w:r>
            <w:r w:rsidR="001A4518">
              <w:rPr>
                <w:rFonts w:ascii="Times New Roman" w:hAnsi="Times New Roman" w:cs="Times New Roman"/>
                <w:b/>
                <w:bCs/>
                <w:sz w:val="24"/>
                <w:szCs w:val="24"/>
              </w:rPr>
              <w:t>ar</w:t>
            </w:r>
            <w:r w:rsidRPr="00337870">
              <w:rPr>
                <w:rFonts w:ascii="Times New Roman" w:hAnsi="Times New Roman" w:cs="Times New Roman"/>
                <w:b/>
                <w:bCs/>
                <w:sz w:val="24"/>
                <w:szCs w:val="24"/>
              </w:rPr>
              <w:t xml:space="preserve"> šio straipsnio 2 dalyje nurodytų </w:t>
            </w:r>
            <w:r w:rsidR="001A4518">
              <w:rPr>
                <w:rFonts w:ascii="Times New Roman" w:hAnsi="Times New Roman" w:cs="Times New Roman"/>
                <w:b/>
                <w:bCs/>
                <w:sz w:val="24"/>
                <w:szCs w:val="24"/>
              </w:rPr>
              <w:t xml:space="preserve">konsultacijų metu nebuvo gauta pagrįstų prieštaravimų iš suinteresuotų </w:t>
            </w:r>
            <w:r w:rsidRPr="00337870">
              <w:rPr>
                <w:rFonts w:ascii="Times New Roman" w:hAnsi="Times New Roman" w:cs="Times New Roman"/>
                <w:b/>
                <w:bCs/>
                <w:sz w:val="24"/>
                <w:szCs w:val="24"/>
              </w:rPr>
              <w:t>valstybių narių ir (ar) trečiųjų šalių</w:t>
            </w:r>
            <w:r w:rsidRPr="003378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taip pat</w:t>
            </w:r>
            <w:r w:rsidRPr="00337870">
              <w:rPr>
                <w:rFonts w:ascii="Times New Roman" w:hAnsi="Times New Roman" w:cs="Times New Roman"/>
                <w:sz w:val="24"/>
                <w:szCs w:val="24"/>
              </w:rPr>
              <w:t xml:space="preserve"> kiekvienu atskiru atveju atsižvelgiama į poreikį nustatyti sąlygas, susijusias su išimties galiojimo laikotarpiu ir nediskriminacine teise naudotis infrastruktūra. Nustatant šias sąlygas, visų pirma atsižvelgiama į planuojamus sukurti papildomus pajėgumus, esamų pajėgumų pakeitimus, projekto įgyvendinimo laikotarpį ir kitas reikšmingas aplinkybes.“</w:t>
            </w:r>
          </w:p>
          <w:bookmarkEnd w:id="4"/>
          <w:p w14:paraId="40612530" w14:textId="77777777" w:rsidR="00337870" w:rsidRPr="00E921FC" w:rsidRDefault="00337870" w:rsidP="008C12D5">
            <w:pPr>
              <w:pStyle w:val="HTMLPreformatted"/>
              <w:jc w:val="both"/>
              <w:rPr>
                <w:rFonts w:ascii="Times New Roman" w:hAnsi="Times New Roman" w:cs="Times New Roman"/>
                <w:sz w:val="24"/>
                <w:szCs w:val="24"/>
              </w:rPr>
            </w:pPr>
          </w:p>
          <w:p w14:paraId="5CF52786" w14:textId="3623A7A2" w:rsidR="00337870" w:rsidRPr="00E921FC" w:rsidRDefault="00337870" w:rsidP="00735105">
            <w:pPr>
              <w:pStyle w:val="HTMLPreformatted"/>
              <w:jc w:val="both"/>
              <w:rPr>
                <w:rFonts w:ascii="Times New Roman" w:hAnsi="Times New Roman" w:cs="Times New Roman"/>
                <w:sz w:val="24"/>
                <w:szCs w:val="24"/>
              </w:rPr>
            </w:pPr>
          </w:p>
        </w:tc>
        <w:tc>
          <w:tcPr>
            <w:tcW w:w="1800" w:type="dxa"/>
          </w:tcPr>
          <w:p w14:paraId="43FA237C" w14:textId="06772FFB" w:rsidR="00337870" w:rsidRPr="00E921FC" w:rsidRDefault="00960674" w:rsidP="002E15B0">
            <w:r w:rsidRPr="00E921FC">
              <w:t>Visiškas</w:t>
            </w:r>
          </w:p>
        </w:tc>
      </w:tr>
      <w:tr w:rsidR="00337870" w:rsidRPr="00E921FC" w14:paraId="54487B48" w14:textId="77777777" w:rsidTr="00960674">
        <w:trPr>
          <w:trHeight w:val="350"/>
        </w:trPr>
        <w:tc>
          <w:tcPr>
            <w:tcW w:w="6237" w:type="dxa"/>
            <w:vMerge/>
          </w:tcPr>
          <w:p w14:paraId="3A750B2F" w14:textId="5D129D98" w:rsidR="00337870" w:rsidRPr="00E921FC" w:rsidRDefault="00337870" w:rsidP="00BE7EFE">
            <w:pPr>
              <w:pStyle w:val="prastasistinklapis8"/>
              <w:tabs>
                <w:tab w:val="left" w:pos="5724"/>
              </w:tabs>
              <w:spacing w:before="0" w:after="0"/>
              <w:ind w:left="0" w:right="30"/>
              <w:jc w:val="both"/>
              <w:rPr>
                <w:sz w:val="24"/>
                <w:szCs w:val="24"/>
              </w:rPr>
            </w:pPr>
          </w:p>
        </w:tc>
        <w:tc>
          <w:tcPr>
            <w:tcW w:w="6811" w:type="dxa"/>
            <w:vMerge/>
          </w:tcPr>
          <w:p w14:paraId="2DBFBD43" w14:textId="5CCF9D1E" w:rsidR="00337870" w:rsidRPr="00E921FC" w:rsidRDefault="00337870" w:rsidP="00735105">
            <w:pPr>
              <w:pStyle w:val="HTMLPreformatted"/>
              <w:jc w:val="both"/>
              <w:rPr>
                <w:rFonts w:ascii="Times New Roman" w:hAnsi="Times New Roman" w:cs="Times New Roman"/>
                <w:sz w:val="24"/>
                <w:szCs w:val="24"/>
              </w:rPr>
            </w:pPr>
          </w:p>
        </w:tc>
        <w:tc>
          <w:tcPr>
            <w:tcW w:w="1800" w:type="dxa"/>
          </w:tcPr>
          <w:p w14:paraId="2FCC8649" w14:textId="53FF5BF2" w:rsidR="00337870" w:rsidRPr="00E921FC" w:rsidRDefault="00337870" w:rsidP="002E15B0"/>
        </w:tc>
      </w:tr>
      <w:tr w:rsidR="0037662B" w:rsidRPr="00E921FC" w14:paraId="4927430B" w14:textId="77777777" w:rsidTr="00960674">
        <w:trPr>
          <w:trHeight w:val="350"/>
        </w:trPr>
        <w:tc>
          <w:tcPr>
            <w:tcW w:w="6237" w:type="dxa"/>
          </w:tcPr>
          <w:p w14:paraId="5866095A" w14:textId="3588D676" w:rsidR="00C17D69" w:rsidRDefault="00C17D69" w:rsidP="00C17D69">
            <w:pPr>
              <w:pStyle w:val="doc-ti"/>
              <w:shd w:val="clear" w:color="auto" w:fill="FFFFFF"/>
              <w:spacing w:before="240" w:beforeAutospacing="0" w:after="120" w:afterAutospacing="0"/>
              <w:jc w:val="both"/>
              <w:rPr>
                <w:b/>
                <w:bCs/>
                <w:color w:val="000000"/>
              </w:rPr>
            </w:pPr>
            <w:r>
              <w:rPr>
                <w:b/>
                <w:bCs/>
                <w:color w:val="000000"/>
              </w:rPr>
              <w:t>Europos Parlamento ir Tarybos reglamentas (ES) 2017/1938 dėl dujų tiekimo saugumo užtikrinimo priemonių, kuriuo panaikinamas Reglamentas (ES) Nr. 994/2010</w:t>
            </w:r>
          </w:p>
          <w:p w14:paraId="580D8939" w14:textId="77777777" w:rsidR="0037662B" w:rsidRPr="00E921FC" w:rsidRDefault="0037662B" w:rsidP="00BE7EFE">
            <w:pPr>
              <w:pStyle w:val="prastasistinklapis8"/>
              <w:tabs>
                <w:tab w:val="left" w:pos="5724"/>
              </w:tabs>
              <w:spacing w:before="0" w:after="0"/>
              <w:ind w:left="0" w:right="30"/>
              <w:jc w:val="both"/>
              <w:rPr>
                <w:sz w:val="24"/>
                <w:szCs w:val="24"/>
              </w:rPr>
            </w:pPr>
          </w:p>
        </w:tc>
        <w:tc>
          <w:tcPr>
            <w:tcW w:w="6811" w:type="dxa"/>
          </w:tcPr>
          <w:p w14:paraId="1A5646D8" w14:textId="77777777" w:rsidR="0037662B" w:rsidRPr="00E921FC" w:rsidRDefault="0037662B" w:rsidP="00735105">
            <w:pPr>
              <w:pStyle w:val="HTMLPreformatted"/>
              <w:jc w:val="both"/>
              <w:rPr>
                <w:rFonts w:ascii="Times New Roman" w:hAnsi="Times New Roman" w:cs="Times New Roman"/>
                <w:sz w:val="24"/>
                <w:szCs w:val="24"/>
              </w:rPr>
            </w:pPr>
          </w:p>
        </w:tc>
        <w:tc>
          <w:tcPr>
            <w:tcW w:w="1800" w:type="dxa"/>
          </w:tcPr>
          <w:p w14:paraId="7AE89EF6" w14:textId="77777777" w:rsidR="0037662B" w:rsidRPr="00E921FC" w:rsidRDefault="0037662B" w:rsidP="002E15B0"/>
        </w:tc>
      </w:tr>
      <w:tr w:rsidR="00B36048" w:rsidRPr="00E921FC" w14:paraId="4CE37EC5" w14:textId="77777777" w:rsidTr="005F47A0">
        <w:trPr>
          <w:trHeight w:val="4464"/>
        </w:trPr>
        <w:tc>
          <w:tcPr>
            <w:tcW w:w="6237" w:type="dxa"/>
          </w:tcPr>
          <w:p w14:paraId="17FEAA83" w14:textId="29B870C1" w:rsidR="00931C19" w:rsidRPr="00931C19" w:rsidRDefault="00931C19" w:rsidP="005F47A0">
            <w:pPr>
              <w:pStyle w:val="doc-ti"/>
              <w:shd w:val="clear" w:color="auto" w:fill="FFFFFF"/>
              <w:ind w:firstLine="567"/>
              <w:jc w:val="both"/>
              <w:rPr>
                <w:color w:val="000000"/>
              </w:rPr>
            </w:pPr>
            <w:r w:rsidRPr="00931C19">
              <w:rPr>
                <w:color w:val="000000"/>
              </w:rPr>
              <w:lastRenderedPageBreak/>
              <w:t>2.</w:t>
            </w:r>
            <w:r>
              <w:rPr>
                <w:color w:val="000000"/>
              </w:rPr>
              <w:t xml:space="preserve"> </w:t>
            </w:r>
            <w:r w:rsidRPr="00931C19">
              <w:rPr>
                <w:color w:val="000000"/>
              </w:rPr>
              <w:t>Kiekvienos valstybės narės kompetentinga institucija, pasikonsultavusi su gamtinių dujų įmonėmis, atitinkamomis organizacijomis, atstovaujančiomis namų ūkio ir pramoninių dujų vartotojų, įskaitant elektros energijos gamintojus bei elektros energijos perdavimo sistemos operatorius, interesams, ir nacionalinė reguliavimo institucija, kai ji nėra kompetentinga institucija, parengia:</w:t>
            </w:r>
          </w:p>
          <w:p w14:paraId="78D188D9" w14:textId="1FBC484F" w:rsidR="00931C19" w:rsidRDefault="00931C19" w:rsidP="005F47A0">
            <w:pPr>
              <w:pStyle w:val="doc-ti"/>
              <w:numPr>
                <w:ilvl w:val="0"/>
                <w:numId w:val="4"/>
              </w:numPr>
              <w:shd w:val="clear" w:color="auto" w:fill="FFFFFF"/>
              <w:ind w:left="596" w:hanging="425"/>
              <w:jc w:val="both"/>
              <w:rPr>
                <w:color w:val="000000"/>
              </w:rPr>
            </w:pPr>
            <w:r w:rsidRPr="00931C19">
              <w:rPr>
                <w:color w:val="000000"/>
              </w:rPr>
              <w:t>prevencinių veiksmų planą, kuriame nurodomos priemonės, reikalingos bendrų ir nacionalinių rizikos vertinimų metu nustatytiems rizikos veiksniams pašalinti ar sumažinti, įskaitant efektyvaus energijos vartojimo ir poreikio valdymo priemonių poveikį, pagal 9 straipsnį;</w:t>
            </w:r>
          </w:p>
          <w:p w14:paraId="1571EA3F" w14:textId="7F09A523" w:rsidR="00B36048" w:rsidRDefault="00931C19" w:rsidP="005F47A0">
            <w:pPr>
              <w:pStyle w:val="doc-ti"/>
              <w:numPr>
                <w:ilvl w:val="0"/>
                <w:numId w:val="4"/>
              </w:numPr>
              <w:shd w:val="clear" w:color="auto" w:fill="FFFFFF"/>
              <w:ind w:left="596" w:hanging="425"/>
              <w:jc w:val="both"/>
              <w:rPr>
                <w:b/>
                <w:bCs/>
                <w:color w:val="000000"/>
              </w:rPr>
            </w:pPr>
            <w:r w:rsidRPr="00931C19">
              <w:rPr>
                <w:color w:val="000000"/>
              </w:rPr>
              <w:t>ekstremaliųjų situacijų valdymo planą, kuriame nurodomos priemonės, kurių, laikantis 10 straipsnio, reikia imtis dujų tiekimo sutrikimo poveikiui pašalinti ar sumažinti.</w:t>
            </w:r>
          </w:p>
        </w:tc>
        <w:tc>
          <w:tcPr>
            <w:tcW w:w="6811" w:type="dxa"/>
          </w:tcPr>
          <w:p w14:paraId="20D87FD1" w14:textId="77777777" w:rsidR="00BF6BD7" w:rsidRPr="00C753A7" w:rsidRDefault="00BF6BD7" w:rsidP="00BF6BD7">
            <w:pPr>
              <w:tabs>
                <w:tab w:val="left" w:pos="567"/>
              </w:tabs>
              <w:spacing w:line="276" w:lineRule="auto"/>
              <w:ind w:firstLine="567"/>
              <w:jc w:val="both"/>
              <w:rPr>
                <w:b/>
              </w:rPr>
            </w:pPr>
            <w:r>
              <w:rPr>
                <w:b/>
                <w:lang w:val="en-US"/>
              </w:rPr>
              <w:t>3</w:t>
            </w:r>
            <w:r>
              <w:rPr>
                <w:b/>
              </w:rPr>
              <w:t xml:space="preserve"> </w:t>
            </w:r>
            <w:r w:rsidRPr="00C753A7">
              <w:rPr>
                <w:b/>
              </w:rPr>
              <w:t>straipsnis. 45 straipsnio pakeitimas</w:t>
            </w:r>
          </w:p>
          <w:p w14:paraId="2CAC2F12" w14:textId="77777777" w:rsidR="00BF6BD7" w:rsidRPr="00C753A7" w:rsidRDefault="00BF6BD7" w:rsidP="00BF6BD7">
            <w:pPr>
              <w:pStyle w:val="ListParagraph"/>
              <w:numPr>
                <w:ilvl w:val="0"/>
                <w:numId w:val="6"/>
              </w:numPr>
              <w:tabs>
                <w:tab w:val="left" w:pos="567"/>
              </w:tabs>
              <w:spacing w:line="276" w:lineRule="auto"/>
              <w:jc w:val="both"/>
              <w:rPr>
                <w:bCs/>
              </w:rPr>
            </w:pPr>
            <w:bookmarkStart w:id="5" w:name="_Hlk35441371"/>
            <w:r w:rsidRPr="00C753A7">
              <w:rPr>
                <w:bCs/>
              </w:rPr>
              <w:t>Pakeisti 45 straipsnio 1 dalį ir ją išdėstyti taip:</w:t>
            </w:r>
          </w:p>
          <w:bookmarkEnd w:id="5"/>
          <w:p w14:paraId="64969D94" w14:textId="77777777" w:rsidR="00BF6BD7" w:rsidRPr="00C753A7" w:rsidRDefault="00BF6BD7" w:rsidP="00BF6BD7">
            <w:pPr>
              <w:spacing w:line="276" w:lineRule="auto"/>
              <w:ind w:firstLine="567"/>
              <w:jc w:val="both"/>
              <w:rPr>
                <w:rFonts w:eastAsia="Calibri"/>
              </w:rPr>
            </w:pPr>
            <w:r w:rsidRPr="00C753A7">
              <w:rPr>
                <w:rFonts w:eastAsia="Calibri"/>
              </w:rPr>
              <w:t xml:space="preserve">„1. Už gamtinių dujų tiekimo saugumo užtikrinimą pagal savo kompetenciją bendrai atsako gamtinių dujų įmonės, nebuitiniai vartotojai, Vyriausybė, Energetikos ministerija, Taryba </w:t>
            </w:r>
            <w:r w:rsidRPr="00C753A7">
              <w:rPr>
                <w:rFonts w:eastAsia="Calibri"/>
                <w:b/>
                <w:bCs/>
              </w:rPr>
              <w:t xml:space="preserve">ir Lietuvos energetikos agentūra </w:t>
            </w:r>
            <w:r w:rsidRPr="00C753A7">
              <w:rPr>
                <w:rFonts w:eastAsia="Calibri"/>
              </w:rPr>
              <w:t>atlikdami užduotis, susijusias su gamtinių dujų tiekimo saugumą užtikrinančių priemonių įgyvendinimu.“</w:t>
            </w:r>
          </w:p>
          <w:p w14:paraId="01282105" w14:textId="77777777" w:rsidR="00BF6BD7" w:rsidRPr="00C753A7" w:rsidRDefault="00BF6BD7" w:rsidP="00BF6BD7">
            <w:pPr>
              <w:pStyle w:val="ListParagraph"/>
              <w:numPr>
                <w:ilvl w:val="0"/>
                <w:numId w:val="6"/>
              </w:numPr>
              <w:spacing w:line="276" w:lineRule="auto"/>
              <w:jc w:val="both"/>
              <w:rPr>
                <w:rFonts w:eastAsia="Calibri"/>
              </w:rPr>
            </w:pPr>
            <w:bookmarkStart w:id="6" w:name="_Hlk20924438"/>
            <w:r w:rsidRPr="00C753A7">
              <w:rPr>
                <w:rFonts w:eastAsia="Calibri"/>
              </w:rPr>
              <w:t>Pripažinti netekusi</w:t>
            </w:r>
            <w:r>
              <w:rPr>
                <w:rFonts w:eastAsia="Calibri"/>
              </w:rPr>
              <w:t>ais</w:t>
            </w:r>
            <w:r w:rsidRPr="00C753A7">
              <w:rPr>
                <w:rFonts w:eastAsia="Calibri"/>
              </w:rPr>
              <w:t xml:space="preserve"> galios 45 straipsnio 4 dalies 3 </w:t>
            </w:r>
            <w:r>
              <w:rPr>
                <w:rFonts w:eastAsia="Calibri"/>
              </w:rPr>
              <w:t xml:space="preserve">ir 4 </w:t>
            </w:r>
            <w:r w:rsidRPr="00C753A7">
              <w:rPr>
                <w:rFonts w:eastAsia="Calibri"/>
              </w:rPr>
              <w:t>punkt</w:t>
            </w:r>
            <w:r>
              <w:rPr>
                <w:rFonts w:eastAsia="Calibri"/>
              </w:rPr>
              <w:t>us.</w:t>
            </w:r>
          </w:p>
          <w:bookmarkEnd w:id="6"/>
          <w:p w14:paraId="7B875FA8" w14:textId="77777777" w:rsidR="00BF6BD7" w:rsidRPr="00C753A7" w:rsidRDefault="00BF6BD7" w:rsidP="00BF6BD7">
            <w:pPr>
              <w:pStyle w:val="ListParagraph"/>
              <w:spacing w:line="276" w:lineRule="auto"/>
              <w:ind w:left="567"/>
              <w:jc w:val="both"/>
              <w:rPr>
                <w:strike/>
                <w:color w:val="000000"/>
                <w:highlight w:val="lightGray"/>
              </w:rPr>
            </w:pPr>
            <w:r w:rsidRPr="00C753A7">
              <w:rPr>
                <w:strike/>
                <w:color w:val="000000"/>
              </w:rPr>
              <w:t>3) regioninio lygmens gamtinių dujų tiekimo sutrikimų rizikos vertinimo atlikimą;</w:t>
            </w:r>
          </w:p>
          <w:p w14:paraId="136D9BA2" w14:textId="77777777" w:rsidR="00BF6BD7" w:rsidRPr="00C753A7" w:rsidRDefault="00BF6BD7" w:rsidP="00BF6BD7">
            <w:pPr>
              <w:pStyle w:val="ListParagraph"/>
              <w:spacing w:line="276" w:lineRule="auto"/>
              <w:ind w:left="567"/>
              <w:rPr>
                <w:strike/>
                <w:color w:val="000000"/>
              </w:rPr>
            </w:pPr>
            <w:r w:rsidRPr="00C753A7">
              <w:rPr>
                <w:strike/>
                <w:color w:val="000000"/>
              </w:rPr>
              <w:t>4) regioninio lygmens prevencinio ir ekstremaliųjų situacijų valdymo planų rengimą;</w:t>
            </w:r>
          </w:p>
          <w:p w14:paraId="6EF84E92" w14:textId="77777777" w:rsidR="00BF6BD7" w:rsidRDefault="00BF6BD7" w:rsidP="00BF6BD7">
            <w:pPr>
              <w:spacing w:line="276" w:lineRule="auto"/>
              <w:ind w:firstLine="567"/>
              <w:rPr>
                <w:color w:val="000000"/>
              </w:rPr>
            </w:pPr>
            <w:r w:rsidRPr="00992D2D">
              <w:rPr>
                <w:color w:val="000000"/>
              </w:rPr>
              <w:t>3.</w:t>
            </w:r>
            <w:r w:rsidRPr="00992D2D">
              <w:rPr>
                <w:color w:val="000000"/>
              </w:rPr>
              <w:tab/>
              <w:t xml:space="preserve">Pakeisti 45 straipsnio </w:t>
            </w:r>
            <w:r>
              <w:rPr>
                <w:color w:val="000000"/>
              </w:rPr>
              <w:t>6</w:t>
            </w:r>
            <w:r w:rsidRPr="00992D2D">
              <w:rPr>
                <w:color w:val="000000"/>
              </w:rPr>
              <w:t xml:space="preserve"> dalį ir ją išdėstyti taip:</w:t>
            </w:r>
          </w:p>
          <w:p w14:paraId="46EB2422" w14:textId="77777777" w:rsidR="00BF6BD7" w:rsidRDefault="00BF6BD7" w:rsidP="00BF6BD7">
            <w:pPr>
              <w:spacing w:line="276" w:lineRule="auto"/>
              <w:ind w:firstLine="567"/>
              <w:jc w:val="both"/>
              <w:rPr>
                <w:color w:val="000000"/>
              </w:rPr>
            </w:pPr>
            <w:r>
              <w:rPr>
                <w:color w:val="000000"/>
              </w:rPr>
              <w:t>„</w:t>
            </w:r>
            <w:r w:rsidRPr="00451387">
              <w:rPr>
                <w:color w:val="000000"/>
              </w:rPr>
              <w:t xml:space="preserve">6. Siekdami gamtinių dujų tiekimo saugumo užtikrinimo, šio straipsnio 1 dalyje nurodyti dalyviai tarpusavyje bendradarbiauja rengiant gamtinių dujų tiekimo sutrikimų rizikos vertinimą, rengiant </w:t>
            </w:r>
            <w:r w:rsidRPr="00451387">
              <w:rPr>
                <w:strike/>
                <w:color w:val="000000"/>
              </w:rPr>
              <w:t>nacionalinio ir regioninio lygmen</w:t>
            </w:r>
            <w:r w:rsidRPr="00D5371E">
              <w:rPr>
                <w:strike/>
                <w:color w:val="000000"/>
              </w:rPr>
              <w:t>s prevencinių</w:t>
            </w:r>
            <w:r w:rsidRPr="009F427C">
              <w:rPr>
                <w:color w:val="000000"/>
              </w:rPr>
              <w:t xml:space="preserve"> </w:t>
            </w:r>
            <w:r>
              <w:rPr>
                <w:b/>
                <w:bCs/>
                <w:color w:val="000000"/>
              </w:rPr>
              <w:t>prevencinį</w:t>
            </w:r>
            <w:r w:rsidRPr="00541B12">
              <w:rPr>
                <w:color w:val="000000"/>
              </w:rPr>
              <w:t xml:space="preserve"> ir ekstremaliųjų </w:t>
            </w:r>
            <w:r w:rsidRPr="00451387">
              <w:rPr>
                <w:color w:val="000000"/>
              </w:rPr>
              <w:t>situacijų valdymo planus, įgyvendinant infrastruktūros ir tiekimo standartus ir fizinį pajėgumą transportuoti gamtines dujas tarpvalstybinėmis jungtimis abiem (priešpriešinėmis) kryptimis.</w:t>
            </w:r>
            <w:r>
              <w:rPr>
                <w:color w:val="000000"/>
              </w:rPr>
              <w:t>“</w:t>
            </w:r>
          </w:p>
          <w:p w14:paraId="710CD5AF" w14:textId="77777777" w:rsidR="00A56A55" w:rsidRPr="00A56A55" w:rsidRDefault="00A56A55" w:rsidP="00A56A55">
            <w:pPr>
              <w:spacing w:line="276" w:lineRule="auto"/>
              <w:ind w:firstLine="567"/>
              <w:rPr>
                <w:b/>
                <w:bCs/>
                <w:color w:val="000000"/>
              </w:rPr>
            </w:pPr>
            <w:r w:rsidRPr="00A56A55">
              <w:rPr>
                <w:b/>
                <w:bCs/>
                <w:color w:val="000000"/>
              </w:rPr>
              <w:t>4 straipsnis. 46 straipsnio pakeitimas</w:t>
            </w:r>
          </w:p>
          <w:p w14:paraId="7472D4CF" w14:textId="0CF38DBC" w:rsidR="00554C1D" w:rsidRDefault="00A56A55" w:rsidP="00BF6BD7">
            <w:pPr>
              <w:spacing w:line="276" w:lineRule="auto"/>
              <w:ind w:firstLine="567"/>
              <w:jc w:val="both"/>
              <w:rPr>
                <w:color w:val="000000"/>
              </w:rPr>
            </w:pPr>
            <w:r>
              <w:rPr>
                <w:color w:val="000000"/>
              </w:rPr>
              <w:t>&lt;...&gt;</w:t>
            </w:r>
          </w:p>
          <w:p w14:paraId="1FA73CEA" w14:textId="77777777" w:rsidR="00203FE3" w:rsidRPr="00203FE3" w:rsidRDefault="00203FE3" w:rsidP="00203FE3">
            <w:pPr>
              <w:numPr>
                <w:ilvl w:val="0"/>
                <w:numId w:val="7"/>
              </w:numPr>
              <w:spacing w:line="276" w:lineRule="auto"/>
              <w:ind w:left="851" w:hanging="284"/>
              <w:contextualSpacing/>
              <w:rPr>
                <w:rFonts w:eastAsia="Calibri"/>
                <w:lang w:eastAsia="en-US"/>
              </w:rPr>
            </w:pPr>
            <w:r w:rsidRPr="00203FE3">
              <w:rPr>
                <w:rFonts w:eastAsia="Calibri"/>
                <w:lang w:eastAsia="en-US"/>
              </w:rPr>
              <w:t>Pakeisti 46 straipsnio 7 dalį ir ją išdėstyti taip:</w:t>
            </w:r>
          </w:p>
          <w:p w14:paraId="6DD8925B" w14:textId="77777777" w:rsidR="00203FE3" w:rsidRPr="00203FE3" w:rsidRDefault="00203FE3" w:rsidP="00203FE3">
            <w:pPr>
              <w:spacing w:line="276" w:lineRule="auto"/>
              <w:ind w:firstLine="567"/>
              <w:jc w:val="both"/>
              <w:rPr>
                <w:rFonts w:eastAsia="Calibri"/>
                <w:lang w:eastAsia="en-US"/>
              </w:rPr>
            </w:pPr>
            <w:bookmarkStart w:id="7" w:name="part_971be09ab3164982bbcb984c3af6feb5"/>
            <w:bookmarkStart w:id="8" w:name="part_6f0532d5478b45d98b92704e44efd34f"/>
            <w:bookmarkEnd w:id="7"/>
            <w:bookmarkEnd w:id="8"/>
            <w:r w:rsidRPr="00203FE3">
              <w:rPr>
                <w:rFonts w:eastAsia="Calibri"/>
                <w:lang w:eastAsia="en-US"/>
              </w:rPr>
              <w:t xml:space="preserve">„7. </w:t>
            </w:r>
            <w:r w:rsidRPr="00203FE3">
              <w:rPr>
                <w:rFonts w:eastAsia="Calibri"/>
                <w:b/>
                <w:bCs/>
                <w:lang w:eastAsia="en-US"/>
              </w:rPr>
              <w:t>Lietuvos energetikos agentūra, vadovaudamasi Reglamento (ES) 2017/1938 nuostatomis, rengia gamtinių dujų tiekimo sutrikimų rizikos vertinimą, prevencinio ir ekstremaliųjų situacijų valdymo planų projektus, kuriuos</w:t>
            </w:r>
            <w:r w:rsidRPr="00203FE3">
              <w:rPr>
                <w:rFonts w:eastAsia="Calibri"/>
                <w:lang w:eastAsia="en-US"/>
              </w:rPr>
              <w:t xml:space="preserve"> Energetikos ministerija </w:t>
            </w:r>
            <w:r w:rsidRPr="00203FE3">
              <w:rPr>
                <w:rFonts w:eastAsia="Calibri"/>
                <w:strike/>
                <w:lang w:eastAsia="en-US"/>
              </w:rPr>
              <w:t>rengia ir</w:t>
            </w:r>
            <w:r w:rsidRPr="00203FE3">
              <w:rPr>
                <w:rFonts w:eastAsia="Calibri"/>
                <w:b/>
                <w:bCs/>
                <w:lang w:eastAsia="en-US"/>
              </w:rPr>
              <w:t xml:space="preserve"> patvirtina ir</w:t>
            </w:r>
            <w:r w:rsidRPr="00203FE3">
              <w:rPr>
                <w:rFonts w:eastAsia="Calibri"/>
                <w:lang w:eastAsia="en-US"/>
              </w:rPr>
              <w:t xml:space="preserve"> viešai </w:t>
            </w:r>
            <w:r w:rsidRPr="00203FE3">
              <w:rPr>
                <w:rFonts w:eastAsia="Calibri"/>
                <w:b/>
                <w:bCs/>
                <w:lang w:eastAsia="en-US"/>
              </w:rPr>
              <w:t>paskelbia</w:t>
            </w:r>
            <w:r w:rsidRPr="00203FE3">
              <w:rPr>
                <w:rFonts w:eastAsia="Calibri"/>
                <w:lang w:eastAsia="en-US"/>
              </w:rPr>
              <w:t xml:space="preserve"> </w:t>
            </w:r>
            <w:r w:rsidRPr="00203FE3">
              <w:rPr>
                <w:rFonts w:eastAsia="Calibri"/>
                <w:lang w:eastAsia="en-US"/>
              </w:rPr>
              <w:lastRenderedPageBreak/>
              <w:t xml:space="preserve">ministerijos interneto svetainėje </w:t>
            </w:r>
            <w:r w:rsidRPr="00203FE3">
              <w:rPr>
                <w:rFonts w:eastAsia="Calibri"/>
                <w:strike/>
                <w:lang w:eastAsia="en-US"/>
              </w:rPr>
              <w:t>paskelbia</w:t>
            </w:r>
            <w:r w:rsidRPr="00203FE3">
              <w:rPr>
                <w:rFonts w:eastAsia="Calibri"/>
                <w:lang w:eastAsia="en-US"/>
              </w:rPr>
              <w:t xml:space="preserve"> </w:t>
            </w:r>
            <w:r w:rsidRPr="00203FE3">
              <w:rPr>
                <w:rFonts w:eastAsia="Calibri"/>
                <w:strike/>
                <w:lang w:eastAsia="en-US"/>
              </w:rPr>
              <w:t>prevencinius ir ekstremaliųjų situacijų valdymo planus ir užtikrina nuolatinę jų įgyvendinimo stebėseną</w:t>
            </w:r>
            <w:r w:rsidRPr="00203FE3">
              <w:rPr>
                <w:rFonts w:eastAsia="Calibri"/>
                <w:lang w:eastAsia="en-US"/>
              </w:rPr>
              <w:t xml:space="preserve">. Apie parengtus prevencinius ir ekstremaliųjų situacijų valdymo planus ir jų atnaujinimus Energetikos ministerija nedelsdama praneša Europos Komisijai. Vyriausybei paskelbus ekstremaliąją situaciją gamtinių dujų sektoriuje, gamtinių dujų įmonės, Vyriausybė, Energetikos ministerija, Taryba imasi iš anksto nustatytų veiksmų, apibūdintų ekstremaliųjų situacijų valdymo plane, ir nedelsdamos apie tai pranešama Europos Komisijai ir kitoms valstybėms narėms. Paskelbus ekstremaliąją situaciją gamtinių dujų sektoriuje, </w:t>
            </w:r>
            <w:r w:rsidRPr="00203FE3">
              <w:rPr>
                <w:rFonts w:eastAsia="Calibri"/>
                <w:strike/>
                <w:lang w:eastAsia="en-US"/>
              </w:rPr>
              <w:t xml:space="preserve">Vyriausybė </w:t>
            </w:r>
            <w:r w:rsidRPr="00203FE3">
              <w:rPr>
                <w:rFonts w:eastAsia="Calibri"/>
                <w:b/>
                <w:bCs/>
                <w:lang w:eastAsia="en-US"/>
              </w:rPr>
              <w:t xml:space="preserve">Energetikos ministerija </w:t>
            </w:r>
            <w:r w:rsidRPr="00203FE3">
              <w:rPr>
                <w:rFonts w:eastAsia="Calibri"/>
                <w:strike/>
                <w:lang w:eastAsia="en-US"/>
              </w:rPr>
              <w:t>su prašymu kreipiasi</w:t>
            </w:r>
            <w:r w:rsidRPr="00203FE3">
              <w:rPr>
                <w:rFonts w:eastAsia="Calibri"/>
                <w:lang w:eastAsia="en-US"/>
              </w:rPr>
              <w:t xml:space="preserve"> </w:t>
            </w:r>
            <w:r w:rsidRPr="00203FE3">
              <w:rPr>
                <w:rFonts w:eastAsia="Calibri"/>
                <w:b/>
                <w:bCs/>
                <w:lang w:eastAsia="en-US"/>
              </w:rPr>
              <w:t xml:space="preserve">gali kreiptis </w:t>
            </w:r>
            <w:r w:rsidRPr="00203FE3">
              <w:rPr>
                <w:rFonts w:eastAsia="Calibri"/>
                <w:lang w:eastAsia="en-US"/>
              </w:rPr>
              <w:t xml:space="preserve">į Europos Komisiją </w:t>
            </w:r>
            <w:r w:rsidRPr="00203FE3">
              <w:rPr>
                <w:rFonts w:eastAsia="Calibri"/>
                <w:b/>
                <w:bCs/>
                <w:lang w:eastAsia="en-US"/>
              </w:rPr>
              <w:t>su prašymu paskelbti regioninio arba Europos Sąjungos lygmens ekstremaliąją situaciją, kuri</w:t>
            </w:r>
            <w:r w:rsidRPr="00203FE3">
              <w:rPr>
                <w:rFonts w:eastAsia="Calibri"/>
                <w:lang w:eastAsia="en-US"/>
              </w:rPr>
              <w:t xml:space="preserve"> </w:t>
            </w:r>
            <w:r w:rsidRPr="00203FE3">
              <w:rPr>
                <w:rFonts w:eastAsia="Calibri"/>
                <w:strike/>
                <w:lang w:eastAsia="en-US"/>
              </w:rPr>
              <w:t xml:space="preserve">ir </w:t>
            </w:r>
            <w:r w:rsidRPr="00203FE3">
              <w:rPr>
                <w:rFonts w:eastAsia="Calibri"/>
                <w:b/>
                <w:bCs/>
                <w:lang w:eastAsia="en-US"/>
              </w:rPr>
              <w:t xml:space="preserve">gali būti paskelbta </w:t>
            </w:r>
            <w:r w:rsidRPr="00203FE3">
              <w:rPr>
                <w:rFonts w:eastAsia="Calibri"/>
                <w:lang w:eastAsia="en-US"/>
              </w:rPr>
              <w:t xml:space="preserve">Europos Komisijai atlikus </w:t>
            </w:r>
            <w:r w:rsidRPr="00203FE3">
              <w:rPr>
                <w:rFonts w:eastAsia="Calibri"/>
                <w:strike/>
                <w:lang w:eastAsia="en-US"/>
              </w:rPr>
              <w:t>patikrinimus</w:t>
            </w:r>
            <w:r w:rsidRPr="00203FE3">
              <w:rPr>
                <w:rFonts w:eastAsia="Calibri"/>
                <w:lang w:eastAsia="en-US"/>
              </w:rPr>
              <w:t xml:space="preserve"> </w:t>
            </w:r>
            <w:bookmarkStart w:id="9" w:name="_Hlk21012827"/>
            <w:r w:rsidRPr="00203FE3">
              <w:rPr>
                <w:rFonts w:eastAsia="Calibri"/>
                <w:b/>
                <w:bCs/>
                <w:lang w:eastAsia="en-US"/>
              </w:rPr>
              <w:t xml:space="preserve">patikrinimą </w:t>
            </w:r>
            <w:r w:rsidRPr="00203FE3">
              <w:rPr>
                <w:rFonts w:eastAsia="Calibri"/>
                <w:strike/>
                <w:lang w:eastAsia="en-US"/>
              </w:rPr>
              <w:t>gali būti paskelbta</w:t>
            </w:r>
            <w:bookmarkEnd w:id="9"/>
            <w:r w:rsidRPr="00203FE3">
              <w:rPr>
                <w:rFonts w:eastAsia="Calibri"/>
                <w:strike/>
                <w:lang w:eastAsia="en-US"/>
              </w:rPr>
              <w:t xml:space="preserve"> regioninio lygmens arba Europos Sąjungos lygmens ekstremalioji situacija gamtinių dujų sektoriuje</w:t>
            </w:r>
            <w:r w:rsidRPr="00203FE3">
              <w:rPr>
                <w:rFonts w:eastAsia="Calibri"/>
                <w:lang w:eastAsia="en-US"/>
              </w:rPr>
              <w:t>.“</w:t>
            </w:r>
          </w:p>
          <w:p w14:paraId="2873A120" w14:textId="77777777" w:rsidR="00203FE3" w:rsidRPr="00203FE3" w:rsidRDefault="00203FE3" w:rsidP="00203FE3">
            <w:pPr>
              <w:tabs>
                <w:tab w:val="left" w:pos="567"/>
              </w:tabs>
              <w:spacing w:line="276" w:lineRule="auto"/>
              <w:ind w:firstLine="567"/>
              <w:jc w:val="both"/>
              <w:rPr>
                <w:b/>
              </w:rPr>
            </w:pPr>
          </w:p>
          <w:p w14:paraId="35DAE7D6" w14:textId="77777777" w:rsidR="00A56A55" w:rsidRPr="00992D2D" w:rsidRDefault="00A56A55" w:rsidP="00BF6BD7">
            <w:pPr>
              <w:spacing w:line="276" w:lineRule="auto"/>
              <w:ind w:firstLine="567"/>
              <w:jc w:val="both"/>
              <w:rPr>
                <w:color w:val="000000"/>
              </w:rPr>
            </w:pPr>
          </w:p>
          <w:p w14:paraId="4E342A8F" w14:textId="77777777" w:rsidR="00B36048" w:rsidRPr="00E921FC" w:rsidRDefault="00B36048" w:rsidP="00735105">
            <w:pPr>
              <w:pStyle w:val="HTMLPreformatted"/>
              <w:jc w:val="both"/>
              <w:rPr>
                <w:rFonts w:ascii="Times New Roman" w:hAnsi="Times New Roman" w:cs="Times New Roman"/>
                <w:sz w:val="24"/>
                <w:szCs w:val="24"/>
              </w:rPr>
            </w:pPr>
          </w:p>
        </w:tc>
        <w:tc>
          <w:tcPr>
            <w:tcW w:w="1800" w:type="dxa"/>
          </w:tcPr>
          <w:p w14:paraId="42518837" w14:textId="2B63E44B" w:rsidR="00B36048" w:rsidRPr="00E921FC" w:rsidRDefault="00343E7C" w:rsidP="002E15B0">
            <w:r>
              <w:lastRenderedPageBreak/>
              <w:t>Visiškas</w:t>
            </w:r>
          </w:p>
        </w:tc>
      </w:tr>
    </w:tbl>
    <w:p w14:paraId="3BC31CD2" w14:textId="77777777" w:rsidR="006E4841" w:rsidRPr="00E921FC" w:rsidRDefault="001E0A17" w:rsidP="00735105">
      <w:pPr>
        <w:jc w:val="center"/>
      </w:pPr>
      <w:r w:rsidRPr="00E921FC">
        <w:t>_______________</w:t>
      </w:r>
    </w:p>
    <w:sectPr w:rsidR="006E4841" w:rsidRPr="00E921FC" w:rsidSect="00960674">
      <w:headerReference w:type="even" r:id="rId8"/>
      <w:footnotePr>
        <w:numFmt w:val="chicago"/>
      </w:footnotePr>
      <w:pgSz w:w="16838" w:h="11906" w:orient="landscape" w:code="9"/>
      <w:pgMar w:top="1135" w:right="567" w:bottom="113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B4AB8" w14:textId="77777777" w:rsidR="0007533D" w:rsidRDefault="0007533D">
      <w:r>
        <w:separator/>
      </w:r>
    </w:p>
  </w:endnote>
  <w:endnote w:type="continuationSeparator" w:id="0">
    <w:p w14:paraId="3FCB4EA0" w14:textId="77777777" w:rsidR="0007533D" w:rsidRDefault="0007533D">
      <w:r>
        <w:continuationSeparator/>
      </w:r>
    </w:p>
  </w:endnote>
  <w:endnote w:type="continuationNotice" w:id="1">
    <w:p w14:paraId="4D579A37" w14:textId="77777777" w:rsidR="0007533D" w:rsidRDefault="00075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F8A3D" w14:textId="77777777" w:rsidR="0007533D" w:rsidRDefault="0007533D">
      <w:r>
        <w:separator/>
      </w:r>
    </w:p>
  </w:footnote>
  <w:footnote w:type="continuationSeparator" w:id="0">
    <w:p w14:paraId="334973A1" w14:textId="77777777" w:rsidR="0007533D" w:rsidRDefault="0007533D">
      <w:r>
        <w:continuationSeparator/>
      </w:r>
    </w:p>
  </w:footnote>
  <w:footnote w:type="continuationNotice" w:id="1">
    <w:p w14:paraId="3EE91431" w14:textId="77777777" w:rsidR="0007533D" w:rsidRDefault="00075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34FF" w14:textId="77777777" w:rsidR="006050C1" w:rsidRDefault="006050C1" w:rsidP="002457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D12D3" w14:textId="77777777" w:rsidR="006050C1" w:rsidRDefault="00605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7D6B"/>
    <w:multiLevelType w:val="hybridMultilevel"/>
    <w:tmpl w:val="861A1D20"/>
    <w:lvl w:ilvl="0" w:tplc="9A541D44">
      <w:start w:val="1"/>
      <w:numFmt w:val="lowerLetter"/>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14B2C64"/>
    <w:multiLevelType w:val="hybridMultilevel"/>
    <w:tmpl w:val="EF064E0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 w15:restartNumberingAfterBreak="0">
    <w:nsid w:val="152E3F63"/>
    <w:multiLevelType w:val="hybridMultilevel"/>
    <w:tmpl w:val="C3CAD55C"/>
    <w:lvl w:ilvl="0" w:tplc="B2528FA8">
      <w:start w:val="1"/>
      <w:numFmt w:val="lowerLetter"/>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0C7871"/>
    <w:multiLevelType w:val="hybridMultilevel"/>
    <w:tmpl w:val="E72E6E16"/>
    <w:lvl w:ilvl="0" w:tplc="3554667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340"/>
    <w:rsid w:val="00014F37"/>
    <w:rsid w:val="0002034A"/>
    <w:rsid w:val="000223AC"/>
    <w:rsid w:val="00025F9A"/>
    <w:rsid w:val="00030606"/>
    <w:rsid w:val="00031564"/>
    <w:rsid w:val="00040177"/>
    <w:rsid w:val="00042119"/>
    <w:rsid w:val="00045F6A"/>
    <w:rsid w:val="00054218"/>
    <w:rsid w:val="00057731"/>
    <w:rsid w:val="00061E0B"/>
    <w:rsid w:val="000632E4"/>
    <w:rsid w:val="000659BC"/>
    <w:rsid w:val="000674E0"/>
    <w:rsid w:val="00067D13"/>
    <w:rsid w:val="00067F8A"/>
    <w:rsid w:val="00072092"/>
    <w:rsid w:val="00074AA1"/>
    <w:rsid w:val="0007533D"/>
    <w:rsid w:val="00091BD0"/>
    <w:rsid w:val="0009691C"/>
    <w:rsid w:val="000A0A01"/>
    <w:rsid w:val="000A4237"/>
    <w:rsid w:val="000A4DF7"/>
    <w:rsid w:val="000B2959"/>
    <w:rsid w:val="000B7D14"/>
    <w:rsid w:val="000C42DC"/>
    <w:rsid w:val="000D02B0"/>
    <w:rsid w:val="000D0DE3"/>
    <w:rsid w:val="000D3BC0"/>
    <w:rsid w:val="000D414F"/>
    <w:rsid w:val="000E2480"/>
    <w:rsid w:val="000F0768"/>
    <w:rsid w:val="000F13B5"/>
    <w:rsid w:val="000F2B61"/>
    <w:rsid w:val="000F2F9F"/>
    <w:rsid w:val="000F49EF"/>
    <w:rsid w:val="00103D41"/>
    <w:rsid w:val="00110C01"/>
    <w:rsid w:val="001138D4"/>
    <w:rsid w:val="0011556A"/>
    <w:rsid w:val="00116F1E"/>
    <w:rsid w:val="00117E32"/>
    <w:rsid w:val="00121ED2"/>
    <w:rsid w:val="001230DB"/>
    <w:rsid w:val="001239EE"/>
    <w:rsid w:val="00127B12"/>
    <w:rsid w:val="0013016D"/>
    <w:rsid w:val="00140E2E"/>
    <w:rsid w:val="00147B98"/>
    <w:rsid w:val="0016557D"/>
    <w:rsid w:val="001663AB"/>
    <w:rsid w:val="00167EE2"/>
    <w:rsid w:val="001748CB"/>
    <w:rsid w:val="00174EDC"/>
    <w:rsid w:val="0017533B"/>
    <w:rsid w:val="00176D4F"/>
    <w:rsid w:val="001869F0"/>
    <w:rsid w:val="001911BD"/>
    <w:rsid w:val="00193075"/>
    <w:rsid w:val="001A2B96"/>
    <w:rsid w:val="001A4482"/>
    <w:rsid w:val="001A4518"/>
    <w:rsid w:val="001A6D3E"/>
    <w:rsid w:val="001B2E22"/>
    <w:rsid w:val="001B4E39"/>
    <w:rsid w:val="001B6666"/>
    <w:rsid w:val="001B6E97"/>
    <w:rsid w:val="001C3016"/>
    <w:rsid w:val="001C414A"/>
    <w:rsid w:val="001C7DD5"/>
    <w:rsid w:val="001D0A4A"/>
    <w:rsid w:val="001D3278"/>
    <w:rsid w:val="001E0A17"/>
    <w:rsid w:val="001E0AB3"/>
    <w:rsid w:val="001E1202"/>
    <w:rsid w:val="001E2735"/>
    <w:rsid w:val="001E3F6C"/>
    <w:rsid w:val="00203FE3"/>
    <w:rsid w:val="00205734"/>
    <w:rsid w:val="00211289"/>
    <w:rsid w:val="00216ED4"/>
    <w:rsid w:val="002209A0"/>
    <w:rsid w:val="00220F48"/>
    <w:rsid w:val="00222A0A"/>
    <w:rsid w:val="002332B2"/>
    <w:rsid w:val="0023406A"/>
    <w:rsid w:val="002365BB"/>
    <w:rsid w:val="00236FB0"/>
    <w:rsid w:val="00241E3B"/>
    <w:rsid w:val="00245021"/>
    <w:rsid w:val="00245784"/>
    <w:rsid w:val="00247A04"/>
    <w:rsid w:val="0025174A"/>
    <w:rsid w:val="002525B4"/>
    <w:rsid w:val="00253C7E"/>
    <w:rsid w:val="00260D7E"/>
    <w:rsid w:val="00263009"/>
    <w:rsid w:val="0026462E"/>
    <w:rsid w:val="002647B3"/>
    <w:rsid w:val="002702FF"/>
    <w:rsid w:val="00270BD9"/>
    <w:rsid w:val="00273FC2"/>
    <w:rsid w:val="0028046C"/>
    <w:rsid w:val="002823B6"/>
    <w:rsid w:val="0028417F"/>
    <w:rsid w:val="002875D1"/>
    <w:rsid w:val="002938AE"/>
    <w:rsid w:val="0029425F"/>
    <w:rsid w:val="002A14A7"/>
    <w:rsid w:val="002A2278"/>
    <w:rsid w:val="002B24F0"/>
    <w:rsid w:val="002B787F"/>
    <w:rsid w:val="002D5DCF"/>
    <w:rsid w:val="002E15B0"/>
    <w:rsid w:val="002E78E4"/>
    <w:rsid w:val="002F1D0F"/>
    <w:rsid w:val="002F25D1"/>
    <w:rsid w:val="002F29BB"/>
    <w:rsid w:val="00313135"/>
    <w:rsid w:val="003154B8"/>
    <w:rsid w:val="00324A08"/>
    <w:rsid w:val="003262DF"/>
    <w:rsid w:val="003265BD"/>
    <w:rsid w:val="00327F17"/>
    <w:rsid w:val="0033013F"/>
    <w:rsid w:val="003304F2"/>
    <w:rsid w:val="0033368F"/>
    <w:rsid w:val="00335E3E"/>
    <w:rsid w:val="00336B97"/>
    <w:rsid w:val="00337870"/>
    <w:rsid w:val="00343BD9"/>
    <w:rsid w:val="00343E7C"/>
    <w:rsid w:val="00355E55"/>
    <w:rsid w:val="00360464"/>
    <w:rsid w:val="00363BCF"/>
    <w:rsid w:val="00363F19"/>
    <w:rsid w:val="003645D6"/>
    <w:rsid w:val="0037662B"/>
    <w:rsid w:val="00376855"/>
    <w:rsid w:val="003814AC"/>
    <w:rsid w:val="00387300"/>
    <w:rsid w:val="003919FB"/>
    <w:rsid w:val="00397EDA"/>
    <w:rsid w:val="003A1F30"/>
    <w:rsid w:val="003A24E4"/>
    <w:rsid w:val="003A5276"/>
    <w:rsid w:val="003B149D"/>
    <w:rsid w:val="003B16B7"/>
    <w:rsid w:val="003C6314"/>
    <w:rsid w:val="003D12C3"/>
    <w:rsid w:val="003D187C"/>
    <w:rsid w:val="003D3F79"/>
    <w:rsid w:val="003D61B0"/>
    <w:rsid w:val="003E0E0B"/>
    <w:rsid w:val="003E6932"/>
    <w:rsid w:val="003E6C7E"/>
    <w:rsid w:val="003F10CF"/>
    <w:rsid w:val="003F7F02"/>
    <w:rsid w:val="00400833"/>
    <w:rsid w:val="00400B42"/>
    <w:rsid w:val="004016CB"/>
    <w:rsid w:val="00402C72"/>
    <w:rsid w:val="00410C3B"/>
    <w:rsid w:val="00411317"/>
    <w:rsid w:val="00413BE7"/>
    <w:rsid w:val="00420F8E"/>
    <w:rsid w:val="00423ACD"/>
    <w:rsid w:val="004264FA"/>
    <w:rsid w:val="004332B8"/>
    <w:rsid w:val="004333EC"/>
    <w:rsid w:val="00434361"/>
    <w:rsid w:val="00437451"/>
    <w:rsid w:val="00454C10"/>
    <w:rsid w:val="0045734D"/>
    <w:rsid w:val="00460BC6"/>
    <w:rsid w:val="00465A3B"/>
    <w:rsid w:val="00471398"/>
    <w:rsid w:val="0048700C"/>
    <w:rsid w:val="004871D5"/>
    <w:rsid w:val="00494BD0"/>
    <w:rsid w:val="004A514D"/>
    <w:rsid w:val="004B6085"/>
    <w:rsid w:val="004B72A3"/>
    <w:rsid w:val="004C595E"/>
    <w:rsid w:val="004C7B29"/>
    <w:rsid w:val="004D7BDD"/>
    <w:rsid w:val="004E2533"/>
    <w:rsid w:val="004E2CFD"/>
    <w:rsid w:val="004F0C61"/>
    <w:rsid w:val="004F121C"/>
    <w:rsid w:val="004F3D82"/>
    <w:rsid w:val="0050531E"/>
    <w:rsid w:val="005134E9"/>
    <w:rsid w:val="005146AD"/>
    <w:rsid w:val="00521642"/>
    <w:rsid w:val="00521F05"/>
    <w:rsid w:val="00524E4D"/>
    <w:rsid w:val="005469CD"/>
    <w:rsid w:val="0055216C"/>
    <w:rsid w:val="00554C1D"/>
    <w:rsid w:val="00560488"/>
    <w:rsid w:val="00577759"/>
    <w:rsid w:val="00584ED6"/>
    <w:rsid w:val="00585C9A"/>
    <w:rsid w:val="00586B6C"/>
    <w:rsid w:val="00586CBE"/>
    <w:rsid w:val="005926A2"/>
    <w:rsid w:val="005A0A09"/>
    <w:rsid w:val="005A28EA"/>
    <w:rsid w:val="005A3A39"/>
    <w:rsid w:val="005A59DA"/>
    <w:rsid w:val="005B4335"/>
    <w:rsid w:val="005D07D3"/>
    <w:rsid w:val="005D5A67"/>
    <w:rsid w:val="005F2025"/>
    <w:rsid w:val="005F47A0"/>
    <w:rsid w:val="005F6B19"/>
    <w:rsid w:val="006050C1"/>
    <w:rsid w:val="006113C4"/>
    <w:rsid w:val="00612B09"/>
    <w:rsid w:val="006249D3"/>
    <w:rsid w:val="00625929"/>
    <w:rsid w:val="006307FB"/>
    <w:rsid w:val="00632739"/>
    <w:rsid w:val="00650DF3"/>
    <w:rsid w:val="00651FAB"/>
    <w:rsid w:val="006523FA"/>
    <w:rsid w:val="00654124"/>
    <w:rsid w:val="00654391"/>
    <w:rsid w:val="006644E6"/>
    <w:rsid w:val="006649D0"/>
    <w:rsid w:val="00666B90"/>
    <w:rsid w:val="00667F86"/>
    <w:rsid w:val="006702F0"/>
    <w:rsid w:val="0068240C"/>
    <w:rsid w:val="00682EC6"/>
    <w:rsid w:val="00684298"/>
    <w:rsid w:val="0068621A"/>
    <w:rsid w:val="0068720A"/>
    <w:rsid w:val="0068744F"/>
    <w:rsid w:val="00693913"/>
    <w:rsid w:val="006A45BC"/>
    <w:rsid w:val="006A6646"/>
    <w:rsid w:val="006B1340"/>
    <w:rsid w:val="006B6B0C"/>
    <w:rsid w:val="006C086E"/>
    <w:rsid w:val="006C72C0"/>
    <w:rsid w:val="006C77AA"/>
    <w:rsid w:val="006D3754"/>
    <w:rsid w:val="006D3A84"/>
    <w:rsid w:val="006D490A"/>
    <w:rsid w:val="006E4841"/>
    <w:rsid w:val="006E6E81"/>
    <w:rsid w:val="007008C4"/>
    <w:rsid w:val="00706F9B"/>
    <w:rsid w:val="00710ED2"/>
    <w:rsid w:val="00711C1C"/>
    <w:rsid w:val="00714570"/>
    <w:rsid w:val="00717F1E"/>
    <w:rsid w:val="007248EA"/>
    <w:rsid w:val="007319CC"/>
    <w:rsid w:val="007320A2"/>
    <w:rsid w:val="00735105"/>
    <w:rsid w:val="007408EA"/>
    <w:rsid w:val="00754865"/>
    <w:rsid w:val="007566A7"/>
    <w:rsid w:val="0076205C"/>
    <w:rsid w:val="007622AE"/>
    <w:rsid w:val="007678A3"/>
    <w:rsid w:val="0077170B"/>
    <w:rsid w:val="00772C7D"/>
    <w:rsid w:val="00773646"/>
    <w:rsid w:val="007810DC"/>
    <w:rsid w:val="00781190"/>
    <w:rsid w:val="007823CA"/>
    <w:rsid w:val="007824B5"/>
    <w:rsid w:val="007955ED"/>
    <w:rsid w:val="00796224"/>
    <w:rsid w:val="00796666"/>
    <w:rsid w:val="007974D9"/>
    <w:rsid w:val="007A18D6"/>
    <w:rsid w:val="007A76A7"/>
    <w:rsid w:val="007B2654"/>
    <w:rsid w:val="007B4AC8"/>
    <w:rsid w:val="007C0CB6"/>
    <w:rsid w:val="007C145C"/>
    <w:rsid w:val="007C5EFE"/>
    <w:rsid w:val="007D7808"/>
    <w:rsid w:val="007F6EE3"/>
    <w:rsid w:val="00801E64"/>
    <w:rsid w:val="00803C13"/>
    <w:rsid w:val="00807A9E"/>
    <w:rsid w:val="0081054D"/>
    <w:rsid w:val="00810815"/>
    <w:rsid w:val="00816D33"/>
    <w:rsid w:val="0082187B"/>
    <w:rsid w:val="008219A5"/>
    <w:rsid w:val="00822A65"/>
    <w:rsid w:val="008243FB"/>
    <w:rsid w:val="00825513"/>
    <w:rsid w:val="008261E3"/>
    <w:rsid w:val="008268EC"/>
    <w:rsid w:val="00827FA7"/>
    <w:rsid w:val="008303FC"/>
    <w:rsid w:val="008507D7"/>
    <w:rsid w:val="00856B27"/>
    <w:rsid w:val="008678C9"/>
    <w:rsid w:val="0087532C"/>
    <w:rsid w:val="0087616F"/>
    <w:rsid w:val="0087741C"/>
    <w:rsid w:val="00877498"/>
    <w:rsid w:val="00884A23"/>
    <w:rsid w:val="008919E6"/>
    <w:rsid w:val="00892763"/>
    <w:rsid w:val="00892C27"/>
    <w:rsid w:val="00892E20"/>
    <w:rsid w:val="00896910"/>
    <w:rsid w:val="00897541"/>
    <w:rsid w:val="008A3A4A"/>
    <w:rsid w:val="008A4F51"/>
    <w:rsid w:val="008A7345"/>
    <w:rsid w:val="008A7C24"/>
    <w:rsid w:val="008B0E1C"/>
    <w:rsid w:val="008B5343"/>
    <w:rsid w:val="008B5FE0"/>
    <w:rsid w:val="008B70D9"/>
    <w:rsid w:val="008C12D5"/>
    <w:rsid w:val="008C2461"/>
    <w:rsid w:val="008C641E"/>
    <w:rsid w:val="008D0847"/>
    <w:rsid w:val="008D204B"/>
    <w:rsid w:val="008E6351"/>
    <w:rsid w:val="008E78D7"/>
    <w:rsid w:val="008F0670"/>
    <w:rsid w:val="008F0878"/>
    <w:rsid w:val="008F1AB5"/>
    <w:rsid w:val="008F2C0C"/>
    <w:rsid w:val="008F612B"/>
    <w:rsid w:val="0090373C"/>
    <w:rsid w:val="00904C85"/>
    <w:rsid w:val="009054E6"/>
    <w:rsid w:val="00924F2C"/>
    <w:rsid w:val="00927B2A"/>
    <w:rsid w:val="00931C19"/>
    <w:rsid w:val="009325F1"/>
    <w:rsid w:val="00943717"/>
    <w:rsid w:val="00944219"/>
    <w:rsid w:val="00945BF2"/>
    <w:rsid w:val="00945DA4"/>
    <w:rsid w:val="009472A8"/>
    <w:rsid w:val="0095447E"/>
    <w:rsid w:val="0095534F"/>
    <w:rsid w:val="0095550D"/>
    <w:rsid w:val="00960674"/>
    <w:rsid w:val="00961E6B"/>
    <w:rsid w:val="00967FC9"/>
    <w:rsid w:val="0097199D"/>
    <w:rsid w:val="00973DC8"/>
    <w:rsid w:val="009823B0"/>
    <w:rsid w:val="00982E1D"/>
    <w:rsid w:val="009850A6"/>
    <w:rsid w:val="0098665F"/>
    <w:rsid w:val="00991731"/>
    <w:rsid w:val="00997C08"/>
    <w:rsid w:val="009A389E"/>
    <w:rsid w:val="009A3F77"/>
    <w:rsid w:val="009A453B"/>
    <w:rsid w:val="009A4CAA"/>
    <w:rsid w:val="009A61C1"/>
    <w:rsid w:val="009B77BF"/>
    <w:rsid w:val="009C302C"/>
    <w:rsid w:val="009D063B"/>
    <w:rsid w:val="009D2FF8"/>
    <w:rsid w:val="009D6CD1"/>
    <w:rsid w:val="009D7776"/>
    <w:rsid w:val="009E097B"/>
    <w:rsid w:val="009F133B"/>
    <w:rsid w:val="009F289D"/>
    <w:rsid w:val="009F41D2"/>
    <w:rsid w:val="00A01566"/>
    <w:rsid w:val="00A07800"/>
    <w:rsid w:val="00A11D09"/>
    <w:rsid w:val="00A171E9"/>
    <w:rsid w:val="00A3027F"/>
    <w:rsid w:val="00A321E4"/>
    <w:rsid w:val="00A3482F"/>
    <w:rsid w:val="00A34FD1"/>
    <w:rsid w:val="00A35905"/>
    <w:rsid w:val="00A40C6D"/>
    <w:rsid w:val="00A418A2"/>
    <w:rsid w:val="00A4215F"/>
    <w:rsid w:val="00A4621E"/>
    <w:rsid w:val="00A56A55"/>
    <w:rsid w:val="00A57B03"/>
    <w:rsid w:val="00A60FAC"/>
    <w:rsid w:val="00A6280B"/>
    <w:rsid w:val="00A65015"/>
    <w:rsid w:val="00A766F6"/>
    <w:rsid w:val="00A8397C"/>
    <w:rsid w:val="00A91FFA"/>
    <w:rsid w:val="00A942FF"/>
    <w:rsid w:val="00A95EF3"/>
    <w:rsid w:val="00A95FCC"/>
    <w:rsid w:val="00AA0B5C"/>
    <w:rsid w:val="00AA2A8E"/>
    <w:rsid w:val="00AA4757"/>
    <w:rsid w:val="00AB0515"/>
    <w:rsid w:val="00AB2DFE"/>
    <w:rsid w:val="00AB68F3"/>
    <w:rsid w:val="00AB6D54"/>
    <w:rsid w:val="00AC11E0"/>
    <w:rsid w:val="00AC459E"/>
    <w:rsid w:val="00AF6E3B"/>
    <w:rsid w:val="00B10CB5"/>
    <w:rsid w:val="00B154EA"/>
    <w:rsid w:val="00B162EF"/>
    <w:rsid w:val="00B27FFD"/>
    <w:rsid w:val="00B36048"/>
    <w:rsid w:val="00B36A30"/>
    <w:rsid w:val="00B43476"/>
    <w:rsid w:val="00B43CB2"/>
    <w:rsid w:val="00B455B9"/>
    <w:rsid w:val="00B465E8"/>
    <w:rsid w:val="00B52E57"/>
    <w:rsid w:val="00B540ED"/>
    <w:rsid w:val="00B54A3A"/>
    <w:rsid w:val="00B54D41"/>
    <w:rsid w:val="00B640F0"/>
    <w:rsid w:val="00B64E72"/>
    <w:rsid w:val="00B75EA4"/>
    <w:rsid w:val="00B771FB"/>
    <w:rsid w:val="00B805EA"/>
    <w:rsid w:val="00B82ABF"/>
    <w:rsid w:val="00B874D6"/>
    <w:rsid w:val="00B904C3"/>
    <w:rsid w:val="00B92914"/>
    <w:rsid w:val="00B9374B"/>
    <w:rsid w:val="00BB381F"/>
    <w:rsid w:val="00BD3D64"/>
    <w:rsid w:val="00BD69A5"/>
    <w:rsid w:val="00BE6F9F"/>
    <w:rsid w:val="00BE7EFE"/>
    <w:rsid w:val="00BF29C4"/>
    <w:rsid w:val="00BF32FA"/>
    <w:rsid w:val="00BF3DD9"/>
    <w:rsid w:val="00BF4A5E"/>
    <w:rsid w:val="00BF6BD7"/>
    <w:rsid w:val="00C0030A"/>
    <w:rsid w:val="00C02A2A"/>
    <w:rsid w:val="00C12553"/>
    <w:rsid w:val="00C16787"/>
    <w:rsid w:val="00C17D69"/>
    <w:rsid w:val="00C20F60"/>
    <w:rsid w:val="00C21B51"/>
    <w:rsid w:val="00C23A6A"/>
    <w:rsid w:val="00C24C94"/>
    <w:rsid w:val="00C2524D"/>
    <w:rsid w:val="00C27F79"/>
    <w:rsid w:val="00C3056C"/>
    <w:rsid w:val="00C308A1"/>
    <w:rsid w:val="00C33439"/>
    <w:rsid w:val="00C44EF7"/>
    <w:rsid w:val="00C47CA1"/>
    <w:rsid w:val="00C533B4"/>
    <w:rsid w:val="00C64D5B"/>
    <w:rsid w:val="00C66789"/>
    <w:rsid w:val="00C726E6"/>
    <w:rsid w:val="00C753F8"/>
    <w:rsid w:val="00C75ED9"/>
    <w:rsid w:val="00C84832"/>
    <w:rsid w:val="00C907E6"/>
    <w:rsid w:val="00C91366"/>
    <w:rsid w:val="00C92505"/>
    <w:rsid w:val="00CA22B1"/>
    <w:rsid w:val="00CB23D4"/>
    <w:rsid w:val="00CB5903"/>
    <w:rsid w:val="00CC010A"/>
    <w:rsid w:val="00CC0341"/>
    <w:rsid w:val="00CD7FC2"/>
    <w:rsid w:val="00CE05D5"/>
    <w:rsid w:val="00CE2A64"/>
    <w:rsid w:val="00CF1F23"/>
    <w:rsid w:val="00CF3887"/>
    <w:rsid w:val="00CF47AC"/>
    <w:rsid w:val="00CF5239"/>
    <w:rsid w:val="00CF7ABC"/>
    <w:rsid w:val="00D07DCF"/>
    <w:rsid w:val="00D10547"/>
    <w:rsid w:val="00D10DAA"/>
    <w:rsid w:val="00D15246"/>
    <w:rsid w:val="00D21131"/>
    <w:rsid w:val="00D34134"/>
    <w:rsid w:val="00D40D7E"/>
    <w:rsid w:val="00D432DA"/>
    <w:rsid w:val="00D4397E"/>
    <w:rsid w:val="00D47000"/>
    <w:rsid w:val="00D54F4A"/>
    <w:rsid w:val="00D61E81"/>
    <w:rsid w:val="00D622D3"/>
    <w:rsid w:val="00D73F0F"/>
    <w:rsid w:val="00D82289"/>
    <w:rsid w:val="00DA05DA"/>
    <w:rsid w:val="00DA4421"/>
    <w:rsid w:val="00DA54E6"/>
    <w:rsid w:val="00DA6DBB"/>
    <w:rsid w:val="00DA7034"/>
    <w:rsid w:val="00DB280E"/>
    <w:rsid w:val="00DB35FB"/>
    <w:rsid w:val="00DB6B92"/>
    <w:rsid w:val="00DC2C8B"/>
    <w:rsid w:val="00DC528B"/>
    <w:rsid w:val="00DC5640"/>
    <w:rsid w:val="00DC7822"/>
    <w:rsid w:val="00DD1A91"/>
    <w:rsid w:val="00DD5BF2"/>
    <w:rsid w:val="00DD664E"/>
    <w:rsid w:val="00DD6FAB"/>
    <w:rsid w:val="00DE158B"/>
    <w:rsid w:val="00DE1D54"/>
    <w:rsid w:val="00E02500"/>
    <w:rsid w:val="00E06858"/>
    <w:rsid w:val="00E0685C"/>
    <w:rsid w:val="00E07062"/>
    <w:rsid w:val="00E140CA"/>
    <w:rsid w:val="00E1413A"/>
    <w:rsid w:val="00E150F5"/>
    <w:rsid w:val="00E1523B"/>
    <w:rsid w:val="00E16BFD"/>
    <w:rsid w:val="00E2298E"/>
    <w:rsid w:val="00E24254"/>
    <w:rsid w:val="00E270E9"/>
    <w:rsid w:val="00E304DC"/>
    <w:rsid w:val="00E43339"/>
    <w:rsid w:val="00E4473C"/>
    <w:rsid w:val="00E46415"/>
    <w:rsid w:val="00E476BB"/>
    <w:rsid w:val="00E53B03"/>
    <w:rsid w:val="00E53BCB"/>
    <w:rsid w:val="00E54CB4"/>
    <w:rsid w:val="00E5557E"/>
    <w:rsid w:val="00E63031"/>
    <w:rsid w:val="00E70401"/>
    <w:rsid w:val="00E75097"/>
    <w:rsid w:val="00E75896"/>
    <w:rsid w:val="00E759E7"/>
    <w:rsid w:val="00E779EE"/>
    <w:rsid w:val="00E77C9B"/>
    <w:rsid w:val="00E8132A"/>
    <w:rsid w:val="00E907A7"/>
    <w:rsid w:val="00E90D2F"/>
    <w:rsid w:val="00E91720"/>
    <w:rsid w:val="00E921FC"/>
    <w:rsid w:val="00EA07F6"/>
    <w:rsid w:val="00EA0AD9"/>
    <w:rsid w:val="00EA72D5"/>
    <w:rsid w:val="00EC1DC2"/>
    <w:rsid w:val="00EC5592"/>
    <w:rsid w:val="00EC76A8"/>
    <w:rsid w:val="00EC7ABB"/>
    <w:rsid w:val="00ED130E"/>
    <w:rsid w:val="00EE2B80"/>
    <w:rsid w:val="00EE4FEF"/>
    <w:rsid w:val="00EE596F"/>
    <w:rsid w:val="00EF6227"/>
    <w:rsid w:val="00F15410"/>
    <w:rsid w:val="00F22671"/>
    <w:rsid w:val="00F3339A"/>
    <w:rsid w:val="00F33C02"/>
    <w:rsid w:val="00F33E60"/>
    <w:rsid w:val="00F34FA0"/>
    <w:rsid w:val="00F41BF5"/>
    <w:rsid w:val="00F42DFA"/>
    <w:rsid w:val="00F4573C"/>
    <w:rsid w:val="00F52E1E"/>
    <w:rsid w:val="00F6332D"/>
    <w:rsid w:val="00F660D9"/>
    <w:rsid w:val="00F7353D"/>
    <w:rsid w:val="00F744A6"/>
    <w:rsid w:val="00F848FA"/>
    <w:rsid w:val="00F970D0"/>
    <w:rsid w:val="00FA7CEF"/>
    <w:rsid w:val="00FB3A93"/>
    <w:rsid w:val="00FC2F4C"/>
    <w:rsid w:val="00FD0E06"/>
    <w:rsid w:val="00FD146B"/>
    <w:rsid w:val="00FD1DAE"/>
    <w:rsid w:val="00FE2240"/>
    <w:rsid w:val="00FE26B2"/>
    <w:rsid w:val="00FE3B8D"/>
    <w:rsid w:val="00FF3523"/>
    <w:rsid w:val="25E4A8BE"/>
    <w:rsid w:val="6BEF06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06CB"/>
  <w15:docId w15:val="{DD252503-1EA9-4028-8B9B-403CBB2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D063B"/>
    <w:pPr>
      <w:spacing w:before="129" w:after="129"/>
      <w:ind w:left="579" w:right="450"/>
    </w:pPr>
    <w:rPr>
      <w:sz w:val="19"/>
      <w:szCs w:val="19"/>
    </w:rPr>
  </w:style>
  <w:style w:type="paragraph" w:customStyle="1" w:styleId="prastasistinklapis8">
    <w:name w:val="Įprastasis (tinklapis)8"/>
    <w:basedOn w:val="Normal"/>
    <w:rsid w:val="009D063B"/>
    <w:pPr>
      <w:spacing w:before="100" w:after="100"/>
      <w:ind w:left="300" w:right="300"/>
    </w:pPr>
    <w:rPr>
      <w:sz w:val="22"/>
      <w:szCs w:val="22"/>
    </w:rPr>
  </w:style>
  <w:style w:type="paragraph" w:styleId="BodyText">
    <w:name w:val="Body Text"/>
    <w:basedOn w:val="Normal"/>
    <w:rsid w:val="00A07800"/>
    <w:pPr>
      <w:spacing w:before="100" w:beforeAutospacing="1" w:after="100" w:afterAutospacing="1"/>
    </w:pPr>
  </w:style>
  <w:style w:type="character" w:styleId="Hyperlink">
    <w:name w:val="Hyperlink"/>
    <w:rsid w:val="00CC010A"/>
    <w:rPr>
      <w:color w:val="0000FF"/>
      <w:u w:val="single"/>
    </w:rPr>
  </w:style>
  <w:style w:type="character" w:styleId="Strong">
    <w:name w:val="Strong"/>
    <w:qFormat/>
    <w:rsid w:val="009F289D"/>
    <w:rPr>
      <w:b/>
      <w:bCs/>
    </w:rPr>
  </w:style>
  <w:style w:type="character" w:styleId="Emphasis">
    <w:name w:val="Emphasis"/>
    <w:qFormat/>
    <w:rsid w:val="009A389E"/>
    <w:rPr>
      <w:i/>
      <w:iCs/>
    </w:rPr>
  </w:style>
  <w:style w:type="paragraph" w:styleId="BodyTextIndent">
    <w:name w:val="Body Text Indent"/>
    <w:basedOn w:val="Normal"/>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127B12"/>
    <w:pPr>
      <w:spacing w:after="160" w:line="240" w:lineRule="exact"/>
    </w:pPr>
    <w:rPr>
      <w:rFonts w:ascii="Tahoma" w:hAnsi="Tahoma"/>
      <w:sz w:val="20"/>
      <w:szCs w:val="20"/>
      <w:lang w:val="en-US" w:eastAsia="en-US"/>
    </w:rPr>
  </w:style>
  <w:style w:type="paragraph" w:styleId="Footer">
    <w:name w:val="footer"/>
    <w:basedOn w:val="Normal"/>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Normal"/>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Normal"/>
    <w:rsid w:val="00B54D41"/>
    <w:pPr>
      <w:spacing w:after="160" w:line="240" w:lineRule="exact"/>
    </w:pPr>
    <w:rPr>
      <w:rFonts w:ascii="Tahoma" w:hAnsi="Tahoma"/>
      <w:sz w:val="20"/>
      <w:szCs w:val="20"/>
      <w:lang w:val="en-US" w:eastAsia="en-US"/>
    </w:rPr>
  </w:style>
  <w:style w:type="paragraph" w:styleId="Header">
    <w:name w:val="header"/>
    <w:basedOn w:val="Normal"/>
    <w:rsid w:val="00245784"/>
    <w:pPr>
      <w:tabs>
        <w:tab w:val="center" w:pos="4986"/>
        <w:tab w:val="right" w:pos="9972"/>
      </w:tabs>
    </w:pPr>
  </w:style>
  <w:style w:type="character" w:styleId="PageNumber">
    <w:name w:val="page number"/>
    <w:basedOn w:val="DefaultParagraphFont"/>
    <w:rsid w:val="00245784"/>
  </w:style>
  <w:style w:type="paragraph" w:styleId="BalloonText">
    <w:name w:val="Balloon Text"/>
    <w:basedOn w:val="Normal"/>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Normal"/>
    <w:rsid w:val="00205734"/>
    <w:pPr>
      <w:spacing w:after="160" w:line="240" w:lineRule="exact"/>
    </w:pPr>
    <w:rPr>
      <w:rFonts w:ascii="Tahoma" w:hAnsi="Tahoma"/>
      <w:sz w:val="20"/>
      <w:szCs w:val="20"/>
      <w:lang w:val="en-US" w:eastAsia="en-US"/>
    </w:rPr>
  </w:style>
  <w:style w:type="character" w:styleId="CommentReference">
    <w:name w:val="annotation reference"/>
    <w:semiHidden/>
    <w:rsid w:val="00991731"/>
    <w:rPr>
      <w:sz w:val="16"/>
      <w:szCs w:val="16"/>
    </w:rPr>
  </w:style>
  <w:style w:type="paragraph" w:styleId="CommentText">
    <w:name w:val="annotation text"/>
    <w:basedOn w:val="Normal"/>
    <w:semiHidden/>
    <w:rsid w:val="00991731"/>
    <w:rPr>
      <w:sz w:val="20"/>
      <w:szCs w:val="20"/>
    </w:rPr>
  </w:style>
  <w:style w:type="paragraph" w:styleId="CommentSubject">
    <w:name w:val="annotation subject"/>
    <w:basedOn w:val="CommentText"/>
    <w:next w:val="CommentText"/>
    <w:semiHidden/>
    <w:rsid w:val="00991731"/>
    <w:rPr>
      <w:b/>
      <w:bCs/>
    </w:rPr>
  </w:style>
  <w:style w:type="paragraph" w:styleId="BodyText3">
    <w:name w:val="Body Text 3"/>
    <w:basedOn w:val="Normal"/>
    <w:link w:val="BodyText3Char"/>
    <w:rsid w:val="009C302C"/>
    <w:pPr>
      <w:spacing w:after="120"/>
    </w:pPr>
    <w:rPr>
      <w:sz w:val="16"/>
      <w:szCs w:val="16"/>
    </w:rPr>
  </w:style>
  <w:style w:type="character" w:customStyle="1" w:styleId="BodyText3Char">
    <w:name w:val="Body Text 3 Char"/>
    <w:link w:val="BodyText3"/>
    <w:rsid w:val="009C302C"/>
    <w:rPr>
      <w:sz w:val="16"/>
      <w:szCs w:val="16"/>
    </w:rPr>
  </w:style>
  <w:style w:type="paragraph" w:styleId="FootnoteText">
    <w:name w:val="footnote text"/>
    <w:basedOn w:val="Normal"/>
    <w:link w:val="FootnoteTextChar"/>
    <w:rsid w:val="008678C9"/>
    <w:rPr>
      <w:sz w:val="20"/>
      <w:szCs w:val="20"/>
    </w:rPr>
  </w:style>
  <w:style w:type="character" w:customStyle="1" w:styleId="FootnoteTextChar">
    <w:name w:val="Footnote Text Char"/>
    <w:basedOn w:val="DefaultParagraphFont"/>
    <w:link w:val="FootnoteText"/>
    <w:rsid w:val="008678C9"/>
  </w:style>
  <w:style w:type="character" w:styleId="FootnoteReference">
    <w:name w:val="footnote reference"/>
    <w:rsid w:val="008678C9"/>
    <w:rPr>
      <w:vertAlign w:val="superscript"/>
    </w:rPr>
  </w:style>
  <w:style w:type="paragraph" w:styleId="ListParagraph">
    <w:name w:val="List Paragraph"/>
    <w:basedOn w:val="Normal"/>
    <w:qFormat/>
    <w:rsid w:val="00400833"/>
    <w:pPr>
      <w:ind w:left="720"/>
      <w:contextualSpacing/>
    </w:pPr>
  </w:style>
  <w:style w:type="paragraph" w:customStyle="1" w:styleId="doc-ti">
    <w:name w:val="doc-ti"/>
    <w:basedOn w:val="Normal"/>
    <w:rsid w:val="004B72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4252">
      <w:bodyDiv w:val="1"/>
      <w:marLeft w:val="0"/>
      <w:marRight w:val="0"/>
      <w:marTop w:val="0"/>
      <w:marBottom w:val="0"/>
      <w:divBdr>
        <w:top w:val="none" w:sz="0" w:space="0" w:color="auto"/>
        <w:left w:val="none" w:sz="0" w:space="0" w:color="auto"/>
        <w:bottom w:val="none" w:sz="0" w:space="0" w:color="auto"/>
        <w:right w:val="none" w:sz="0" w:space="0" w:color="auto"/>
      </w:divBdr>
      <w:divsChild>
        <w:div w:id="71971680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2602510">
      <w:bodyDiv w:val="1"/>
      <w:marLeft w:val="0"/>
      <w:marRight w:val="0"/>
      <w:marTop w:val="0"/>
      <w:marBottom w:val="0"/>
      <w:divBdr>
        <w:top w:val="none" w:sz="0" w:space="0" w:color="auto"/>
        <w:left w:val="none" w:sz="0" w:space="0" w:color="auto"/>
        <w:bottom w:val="none" w:sz="0" w:space="0" w:color="auto"/>
        <w:right w:val="none" w:sz="0" w:space="0" w:color="auto"/>
      </w:divBdr>
      <w:divsChild>
        <w:div w:id="20867604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8369117">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468868">
      <w:bodyDiv w:val="1"/>
      <w:marLeft w:val="0"/>
      <w:marRight w:val="0"/>
      <w:marTop w:val="0"/>
      <w:marBottom w:val="0"/>
      <w:divBdr>
        <w:top w:val="none" w:sz="0" w:space="0" w:color="auto"/>
        <w:left w:val="none" w:sz="0" w:space="0" w:color="auto"/>
        <w:bottom w:val="none" w:sz="0" w:space="0" w:color="auto"/>
        <w:right w:val="none" w:sz="0" w:space="0" w:color="auto"/>
      </w:divBdr>
    </w:div>
    <w:div w:id="228922915">
      <w:bodyDiv w:val="1"/>
      <w:marLeft w:val="0"/>
      <w:marRight w:val="0"/>
      <w:marTop w:val="0"/>
      <w:marBottom w:val="0"/>
      <w:divBdr>
        <w:top w:val="none" w:sz="0" w:space="0" w:color="auto"/>
        <w:left w:val="none" w:sz="0" w:space="0" w:color="auto"/>
        <w:bottom w:val="none" w:sz="0" w:space="0" w:color="auto"/>
        <w:right w:val="none" w:sz="0" w:space="0" w:color="auto"/>
      </w:divBdr>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94020607">
      <w:bodyDiv w:val="1"/>
      <w:marLeft w:val="0"/>
      <w:marRight w:val="0"/>
      <w:marTop w:val="0"/>
      <w:marBottom w:val="0"/>
      <w:divBdr>
        <w:top w:val="none" w:sz="0" w:space="0" w:color="auto"/>
        <w:left w:val="none" w:sz="0" w:space="0" w:color="auto"/>
        <w:bottom w:val="none" w:sz="0" w:space="0" w:color="auto"/>
        <w:right w:val="none" w:sz="0" w:space="0" w:color="auto"/>
      </w:divBdr>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120516834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19164939">
      <w:bodyDiv w:val="1"/>
      <w:marLeft w:val="0"/>
      <w:marRight w:val="0"/>
      <w:marTop w:val="0"/>
      <w:marBottom w:val="0"/>
      <w:divBdr>
        <w:top w:val="none" w:sz="0" w:space="0" w:color="auto"/>
        <w:left w:val="none" w:sz="0" w:space="0" w:color="auto"/>
        <w:bottom w:val="none" w:sz="0" w:space="0" w:color="auto"/>
        <w:right w:val="none" w:sz="0" w:space="0" w:color="auto"/>
      </w:divBdr>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5973949">
      <w:bodyDiv w:val="1"/>
      <w:marLeft w:val="0"/>
      <w:marRight w:val="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28824475">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68278744">
      <w:bodyDiv w:val="1"/>
      <w:marLeft w:val="0"/>
      <w:marRight w:val="0"/>
      <w:marTop w:val="0"/>
      <w:marBottom w:val="0"/>
      <w:divBdr>
        <w:top w:val="none" w:sz="0" w:space="0" w:color="auto"/>
        <w:left w:val="none" w:sz="0" w:space="0" w:color="auto"/>
        <w:bottom w:val="none" w:sz="0" w:space="0" w:color="auto"/>
        <w:right w:val="none" w:sz="0" w:space="0" w:color="auto"/>
      </w:divBdr>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107697805">
      <w:bodyDiv w:val="1"/>
      <w:marLeft w:val="0"/>
      <w:marRight w:val="0"/>
      <w:marTop w:val="0"/>
      <w:marBottom w:val="0"/>
      <w:divBdr>
        <w:top w:val="none" w:sz="0" w:space="0" w:color="auto"/>
        <w:left w:val="none" w:sz="0" w:space="0" w:color="auto"/>
        <w:bottom w:val="none" w:sz="0" w:space="0" w:color="auto"/>
        <w:right w:val="none" w:sz="0" w:space="0" w:color="auto"/>
      </w:divBdr>
      <w:divsChild>
        <w:div w:id="3620191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7480229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64801574">
      <w:bodyDiv w:val="1"/>
      <w:marLeft w:val="0"/>
      <w:marRight w:val="0"/>
      <w:marTop w:val="0"/>
      <w:marBottom w:val="0"/>
      <w:divBdr>
        <w:top w:val="none" w:sz="0" w:space="0" w:color="auto"/>
        <w:left w:val="none" w:sz="0" w:space="0" w:color="auto"/>
        <w:bottom w:val="none" w:sz="0" w:space="0" w:color="auto"/>
        <w:right w:val="none" w:sz="0" w:space="0" w:color="auto"/>
      </w:divBdr>
    </w:div>
    <w:div w:id="1277717360">
      <w:bodyDiv w:val="1"/>
      <w:marLeft w:val="223"/>
      <w:marRight w:val="223"/>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 w:id="1287202156">
      <w:bodyDiv w:val="1"/>
      <w:marLeft w:val="0"/>
      <w:marRight w:val="0"/>
      <w:marTop w:val="0"/>
      <w:marBottom w:val="0"/>
      <w:divBdr>
        <w:top w:val="none" w:sz="0" w:space="0" w:color="auto"/>
        <w:left w:val="none" w:sz="0" w:space="0" w:color="auto"/>
        <w:bottom w:val="none" w:sz="0" w:space="0" w:color="auto"/>
        <w:right w:val="none" w:sz="0" w:space="0" w:color="auto"/>
      </w:divBdr>
    </w:div>
    <w:div w:id="1288974027">
      <w:bodyDiv w:val="1"/>
      <w:marLeft w:val="0"/>
      <w:marRight w:val="0"/>
      <w:marTop w:val="0"/>
      <w:marBottom w:val="0"/>
      <w:divBdr>
        <w:top w:val="none" w:sz="0" w:space="0" w:color="auto"/>
        <w:left w:val="none" w:sz="0" w:space="0" w:color="auto"/>
        <w:bottom w:val="none" w:sz="0" w:space="0" w:color="auto"/>
        <w:right w:val="none" w:sz="0" w:space="0" w:color="auto"/>
      </w:divBdr>
    </w:div>
    <w:div w:id="1290934320">
      <w:bodyDiv w:val="1"/>
      <w:marLeft w:val="0"/>
      <w:marRight w:val="0"/>
      <w:marTop w:val="0"/>
      <w:marBottom w:val="0"/>
      <w:divBdr>
        <w:top w:val="none" w:sz="0" w:space="0" w:color="auto"/>
        <w:left w:val="none" w:sz="0" w:space="0" w:color="auto"/>
        <w:bottom w:val="none" w:sz="0" w:space="0" w:color="auto"/>
        <w:right w:val="none" w:sz="0" w:space="0" w:color="auto"/>
      </w:divBdr>
    </w:div>
    <w:div w:id="1294940375">
      <w:bodyDiv w:val="1"/>
      <w:marLeft w:val="0"/>
      <w:marRight w:val="0"/>
      <w:marTop w:val="0"/>
      <w:marBottom w:val="0"/>
      <w:divBdr>
        <w:top w:val="none" w:sz="0" w:space="0" w:color="auto"/>
        <w:left w:val="none" w:sz="0" w:space="0" w:color="auto"/>
        <w:bottom w:val="none" w:sz="0" w:space="0" w:color="auto"/>
        <w:right w:val="none" w:sz="0" w:space="0" w:color="auto"/>
      </w:divBdr>
      <w:divsChild>
        <w:div w:id="926958350">
          <w:marLeft w:val="0"/>
          <w:marRight w:val="0"/>
          <w:marTop w:val="0"/>
          <w:marBottom w:val="0"/>
          <w:divBdr>
            <w:top w:val="none" w:sz="0" w:space="0" w:color="auto"/>
            <w:left w:val="none" w:sz="0" w:space="0" w:color="auto"/>
            <w:bottom w:val="none" w:sz="0" w:space="0" w:color="auto"/>
            <w:right w:val="none" w:sz="0" w:space="0" w:color="auto"/>
          </w:divBdr>
        </w:div>
        <w:div w:id="1464737216">
          <w:marLeft w:val="0"/>
          <w:marRight w:val="0"/>
          <w:marTop w:val="0"/>
          <w:marBottom w:val="0"/>
          <w:divBdr>
            <w:top w:val="none" w:sz="0" w:space="0" w:color="auto"/>
            <w:left w:val="none" w:sz="0" w:space="0" w:color="auto"/>
            <w:bottom w:val="none" w:sz="0" w:space="0" w:color="auto"/>
            <w:right w:val="none" w:sz="0" w:space="0" w:color="auto"/>
          </w:divBdr>
        </w:div>
        <w:div w:id="2008366059">
          <w:marLeft w:val="0"/>
          <w:marRight w:val="0"/>
          <w:marTop w:val="0"/>
          <w:marBottom w:val="0"/>
          <w:divBdr>
            <w:top w:val="none" w:sz="0" w:space="0" w:color="auto"/>
            <w:left w:val="none" w:sz="0" w:space="0" w:color="auto"/>
            <w:bottom w:val="none" w:sz="0" w:space="0" w:color="auto"/>
            <w:right w:val="none" w:sz="0" w:space="0" w:color="auto"/>
          </w:divBdr>
        </w:div>
      </w:divsChild>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95350210">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26942806">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66910142">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5200562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31366808">
      <w:bodyDiv w:val="1"/>
      <w:marLeft w:val="0"/>
      <w:marRight w:val="0"/>
      <w:marTop w:val="0"/>
      <w:marBottom w:val="0"/>
      <w:divBdr>
        <w:top w:val="none" w:sz="0" w:space="0" w:color="auto"/>
        <w:left w:val="none" w:sz="0" w:space="0" w:color="auto"/>
        <w:bottom w:val="none" w:sz="0" w:space="0" w:color="auto"/>
        <w:right w:val="none" w:sz="0" w:space="0" w:color="auto"/>
      </w:divBdr>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25936948">
      <w:bodyDiv w:val="1"/>
      <w:marLeft w:val="0"/>
      <w:marRight w:val="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 w:id="21451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F466-FFFF-4CC8-B34F-09D585CD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6835</Words>
  <Characters>3897</Characters>
  <Application>Microsoft Office Word</Application>
  <DocSecurity>0</DocSecurity>
  <Lines>32</Lines>
  <Paragraphs>21</Paragraphs>
  <ScaleCrop>false</ScaleCrop>
  <Company>LR Finansų ministerija</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2020-02-20T02:56:00Z</dcterms:created>
  <dc:creator>FM</dc:creator>
  <cp:lastModifiedBy>Gabija Talačkaitė</cp:lastModifiedBy>
  <cp:lastPrinted>2010-06-10T01:49:00Z</cp:lastPrinted>
  <dcterms:modified xsi:type="dcterms:W3CDTF">2020-03-25T08:11:00Z</dcterms:modified>
  <cp:revision>18</cp:revision>
  <dc:title>DIREKTYVŲ (KITŲ ES TEISĖS AKTŲ) IR LIETUVOS RESPUBLIKOS</dc:title>
</cp:coreProperties>
</file>