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F68FC" w14:textId="3B8EF221" w:rsidR="007F1602" w:rsidRPr="00191B92" w:rsidRDefault="00BE66FB" w:rsidP="005A145A">
      <w:pPr>
        <w:jc w:val="center"/>
        <w:rPr>
          <w:b/>
          <w:color w:val="000000"/>
        </w:rPr>
      </w:pPr>
      <w:r w:rsidRPr="00191B92">
        <w:rPr>
          <w:b/>
          <w:color w:val="000000"/>
        </w:rPr>
        <w:t>DERINIMO PAŽYMA</w:t>
      </w:r>
    </w:p>
    <w:p w14:paraId="78F326EE" w14:textId="2FCCE9ED" w:rsidR="00B152D4" w:rsidRPr="00B152D4" w:rsidRDefault="008673C6" w:rsidP="003E527D">
      <w:pPr>
        <w:jc w:val="center"/>
        <w:rPr>
          <w:b/>
          <w:color w:val="000000"/>
        </w:rPr>
      </w:pPr>
      <w:r w:rsidRPr="003E527D">
        <w:rPr>
          <w:b/>
          <w:lang w:eastAsia="lt-LT"/>
        </w:rPr>
        <w:t>DĖL LIETUVOS RESPUBLIKOS VYRIAUSYBĖS NUTARIMO</w:t>
      </w:r>
      <w:r>
        <w:rPr>
          <w:b/>
          <w:lang w:eastAsia="lt-LT"/>
        </w:rPr>
        <w:t xml:space="preserve"> </w:t>
      </w:r>
      <w:r w:rsidRPr="00C62BDC">
        <w:rPr>
          <w:b/>
          <w:bCs/>
          <w:lang w:eastAsia="lt-LT"/>
        </w:rPr>
        <w:t>,,</w:t>
      </w:r>
      <w:bookmarkStart w:id="0" w:name="_Hlk29888762"/>
      <w:r w:rsidRPr="00C62BDC">
        <w:rPr>
          <w:b/>
          <w:bCs/>
        </w:rPr>
        <w:t xml:space="preserve">DĖL </w:t>
      </w:r>
      <w:r w:rsidRPr="00C62BDC">
        <w:rPr>
          <w:b/>
          <w:bCs/>
          <w:lang w:eastAsia="lt-LT"/>
        </w:rPr>
        <w:t>LIETUVOS RESPUBLIKOS VYRIAUSYBĖS 2004 M. GEGUŽĖS 19 D. NUTARIMO NR. 610 „DĖL UŽMOKESČIO UŽ MINIMALŲJĮ PRIEIGOS PAKETĄ APSKAIČIAVIMO IR SKELBIMO, KONKREČIOS GELEŽINKELIO ĮMONĖS (VEŽĖJO) MOKĖTINO UŽMOKESČIO UŽ MINIMALŲJĮ PRIEIGOS PAKETĄ DYDŽIO APSKAIČIAVIMO IR MOKĖJIMO TAISYKLIŲ PATVIRTINIMO“</w:t>
      </w:r>
      <w:r w:rsidRPr="00C62BDC">
        <w:rPr>
          <w:b/>
          <w:bCs/>
          <w:color w:val="000000" w:themeColor="text1"/>
        </w:rPr>
        <w:t xml:space="preserve"> PAKEITIMO </w:t>
      </w:r>
      <w:bookmarkEnd w:id="0"/>
      <w:r w:rsidRPr="00C62BDC">
        <w:rPr>
          <w:b/>
          <w:bCs/>
          <w:color w:val="000000" w:themeColor="text1"/>
        </w:rPr>
        <w:t>IR 2018–2019 M., 2019–2020 M., 2020 –2021 M. TARNYBINIO TRAUKINIŲ TVARKARAŠČIO GALIOJIMO LAIKOTARPIO UŽMOKESČIO UŽ MINIMALŲJĮ PRIEIGOS PAKETĄ ĮMOKŲ TARIFŲ IR MOKĖTINO UŽMOKESČIO UŽ MINIMALŲJĮ PRIEIGOS PAKETĄ PERSKAIČIAVIMO</w:t>
      </w:r>
      <w:r>
        <w:rPr>
          <w:b/>
          <w:bCs/>
          <w:color w:val="000000" w:themeColor="text1"/>
        </w:rPr>
        <w:t>“</w:t>
      </w:r>
      <w:r w:rsidRPr="003E527D">
        <w:rPr>
          <w:b/>
          <w:color w:val="000000" w:themeColor="text1"/>
        </w:rPr>
        <w:t xml:space="preserve"> PROJEKTO</w:t>
      </w:r>
      <w:r>
        <w:rPr>
          <w:b/>
          <w:color w:val="000000"/>
        </w:rPr>
        <w:t xml:space="preserve"> (TOLIAU – P</w:t>
      </w:r>
      <w:r w:rsidRPr="00B152D4">
        <w:rPr>
          <w:b/>
          <w:color w:val="000000"/>
        </w:rPr>
        <w:t>ROJEKTAS)</w:t>
      </w:r>
    </w:p>
    <w:p w14:paraId="7ACF68FF" w14:textId="77777777" w:rsidR="00A166BC" w:rsidRPr="00B152D4" w:rsidRDefault="00A166BC" w:rsidP="005A145A">
      <w:pPr>
        <w:rPr>
          <w:b/>
          <w:color w:val="000000"/>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408"/>
        <w:gridCol w:w="6350"/>
      </w:tblGrid>
      <w:tr w:rsidR="00A166BC" w:rsidRPr="009A66ED" w14:paraId="7ACF6904" w14:textId="77777777" w:rsidTr="00BF292A">
        <w:tc>
          <w:tcPr>
            <w:tcW w:w="2376" w:type="dxa"/>
          </w:tcPr>
          <w:p w14:paraId="7ACF6900" w14:textId="77777777" w:rsidR="00A166BC" w:rsidRPr="009A66ED" w:rsidRDefault="00A166BC" w:rsidP="005A145A">
            <w:pPr>
              <w:ind w:right="60"/>
              <w:rPr>
                <w:b/>
                <w:color w:val="00000A"/>
              </w:rPr>
            </w:pPr>
            <w:r w:rsidRPr="009A66ED">
              <w:rPr>
                <w:b/>
                <w:color w:val="00000A"/>
              </w:rPr>
              <w:t>Institucijos pavadinimas,</w:t>
            </w:r>
          </w:p>
          <w:p w14:paraId="7ACF6901" w14:textId="77777777" w:rsidR="00A166BC" w:rsidRPr="009A66ED" w:rsidRDefault="00A166BC" w:rsidP="005A145A">
            <w:pPr>
              <w:ind w:right="60"/>
              <w:rPr>
                <w:b/>
                <w:color w:val="00000A"/>
              </w:rPr>
            </w:pPr>
            <w:r w:rsidRPr="009A66ED">
              <w:rPr>
                <w:b/>
                <w:color w:val="00000A"/>
              </w:rPr>
              <w:t>rašto data ir numeris</w:t>
            </w:r>
          </w:p>
        </w:tc>
        <w:tc>
          <w:tcPr>
            <w:tcW w:w="6408" w:type="dxa"/>
          </w:tcPr>
          <w:p w14:paraId="7ACF6902" w14:textId="77777777" w:rsidR="00A166BC" w:rsidRPr="009A66ED" w:rsidRDefault="00A166BC" w:rsidP="005A145A">
            <w:pPr>
              <w:ind w:right="60"/>
              <w:rPr>
                <w:b/>
                <w:color w:val="00000A"/>
              </w:rPr>
            </w:pPr>
            <w:r w:rsidRPr="009A66ED">
              <w:rPr>
                <w:b/>
                <w:color w:val="00000A"/>
              </w:rPr>
              <w:t>Pastabos ir pasiūlymai</w:t>
            </w:r>
          </w:p>
        </w:tc>
        <w:tc>
          <w:tcPr>
            <w:tcW w:w="6350" w:type="dxa"/>
          </w:tcPr>
          <w:p w14:paraId="7ACF6903" w14:textId="4D81A500" w:rsidR="00A166BC" w:rsidRPr="009A66ED" w:rsidRDefault="008673C6" w:rsidP="005A145A">
            <w:pPr>
              <w:ind w:right="60"/>
              <w:rPr>
                <w:b/>
                <w:color w:val="00000A"/>
              </w:rPr>
            </w:pPr>
            <w:r>
              <w:rPr>
                <w:b/>
                <w:color w:val="00000A"/>
              </w:rPr>
              <w:t xml:space="preserve">Argumentai, kodėl neatsižvelgta ar atsižvelgta iš dalies į </w:t>
            </w:r>
            <w:r w:rsidR="00BE66FB">
              <w:rPr>
                <w:b/>
                <w:bCs/>
              </w:rPr>
              <w:t>pastabas ir pasiūlymus</w:t>
            </w:r>
          </w:p>
        </w:tc>
      </w:tr>
      <w:tr w:rsidR="00B32529" w:rsidRPr="009A66ED" w14:paraId="2869691F" w14:textId="77777777" w:rsidTr="00BF292A">
        <w:tc>
          <w:tcPr>
            <w:tcW w:w="2376" w:type="dxa"/>
          </w:tcPr>
          <w:p w14:paraId="5397A683" w14:textId="010120B3" w:rsidR="00B32529" w:rsidRPr="009A66ED" w:rsidRDefault="00B32529" w:rsidP="005A145A">
            <w:pPr>
              <w:ind w:right="60"/>
              <w:rPr>
                <w:b/>
                <w:color w:val="00000A"/>
              </w:rPr>
            </w:pPr>
            <w:r w:rsidRPr="009A66ED">
              <w:t xml:space="preserve">Lietuvos Respublikos </w:t>
            </w:r>
            <w:r>
              <w:t>ryšių reguliavimo tarnybos 2019 m. spalio 4 d. raštas        Nr. (67.3)1B-3076</w:t>
            </w:r>
          </w:p>
        </w:tc>
        <w:tc>
          <w:tcPr>
            <w:tcW w:w="6408" w:type="dxa"/>
          </w:tcPr>
          <w:p w14:paraId="7BDBD3D7" w14:textId="316B9896" w:rsidR="000C0365" w:rsidRPr="000C0365" w:rsidRDefault="000C0365" w:rsidP="005A145A">
            <w:pPr>
              <w:ind w:right="60"/>
              <w:rPr>
                <w:bCs/>
                <w:color w:val="00000A"/>
              </w:rPr>
            </w:pPr>
            <w:r w:rsidRPr="000C0365">
              <w:rPr>
                <w:bCs/>
                <w:color w:val="00000A"/>
              </w:rPr>
              <w:t>1.1.2. 1)</w:t>
            </w:r>
            <w:r>
              <w:rPr>
                <w:bCs/>
                <w:color w:val="00000A"/>
              </w:rPr>
              <w:t xml:space="preserve"> Išlieka neaiški Taisyklių projekto 5 ir 6 punktuose nurodytų tarifų apskaičiavimui naudojamo kintamojo V (valstybės lėšų (taip pat ir ES fondų, savivaldybių lėšų), vidutiniškai per metus skiriamų viešosios geležinkelių infrastruktūros valdytojo (toliau – valdytojas) išlaidoms dengti) duomenų apimtis, t. y. neaišku, ar skaičiavimams turėtų būti imamos visos lėšos, skiriamos valdytojui, ar tik tos lėšos, kurios skirtos valdytojo teikiamų MPP sudarančių paslaugų išlaidoms dengti. Tarnybos vertinimu, atsižvelgiant į tai, kad keleivių ir krovinių tranzito įmokos, pagal šiuo metu galiojantį ir siūlomą</w:t>
            </w:r>
            <w:r w:rsidR="00A51696">
              <w:rPr>
                <w:bCs/>
                <w:color w:val="00000A"/>
              </w:rPr>
              <w:t xml:space="preserve"> nustatyti teisinį reguliavimą, yra užmokesčio už MPP dalis, šiuo atveju turėtų būti imamos tik tos lėšos, kurios skirtos valdytojo teikiamų MPP sudarančių paslaugų išlaidoms dengti.</w:t>
            </w:r>
          </w:p>
        </w:tc>
        <w:tc>
          <w:tcPr>
            <w:tcW w:w="6350" w:type="dxa"/>
          </w:tcPr>
          <w:p w14:paraId="7952FDDC" w14:textId="77777777" w:rsidR="00B32529" w:rsidRDefault="000C0365" w:rsidP="005A145A">
            <w:pPr>
              <w:ind w:right="60"/>
              <w:rPr>
                <w:b/>
                <w:color w:val="00000A"/>
              </w:rPr>
            </w:pPr>
            <w:r>
              <w:rPr>
                <w:b/>
                <w:color w:val="00000A"/>
              </w:rPr>
              <w:t>Neatsižvelgta.</w:t>
            </w:r>
          </w:p>
          <w:p w14:paraId="17CE3711" w14:textId="769C9C7A" w:rsidR="00A51696" w:rsidRPr="000C50B2" w:rsidRDefault="000C50B2" w:rsidP="00A51696">
            <w:pPr>
              <w:pStyle w:val="Komentarotekstas"/>
              <w:rPr>
                <w:sz w:val="24"/>
                <w:szCs w:val="24"/>
              </w:rPr>
            </w:pPr>
            <w:r w:rsidRPr="000C50B2">
              <w:rPr>
                <w:sz w:val="24"/>
                <w:szCs w:val="24"/>
              </w:rPr>
              <w:t>2012 m. lapkričio 21 d. Europos Parlamento ir Tarybos direktyvos 2012/34/ES, kuria sukuriama bendra Europos geležinkelių erdvė</w:t>
            </w:r>
            <w:r>
              <w:rPr>
                <w:sz w:val="24"/>
                <w:szCs w:val="24"/>
              </w:rPr>
              <w:t xml:space="preserve"> (toliau – Direktyva 2012/34/ES)</w:t>
            </w:r>
            <w:r w:rsidRPr="000C50B2">
              <w:rPr>
                <w:color w:val="000000" w:themeColor="text1"/>
                <w:sz w:val="24"/>
                <w:szCs w:val="24"/>
              </w:rPr>
              <w:t xml:space="preserve"> </w:t>
            </w:r>
            <w:r w:rsidR="00A51696" w:rsidRPr="000C50B2">
              <w:rPr>
                <w:color w:val="000000" w:themeColor="text1"/>
                <w:sz w:val="24"/>
                <w:szCs w:val="24"/>
              </w:rPr>
              <w:t xml:space="preserve">2 straipsnio 10 dalyje nurodyta išimtis, pagal kurią </w:t>
            </w:r>
            <w:r w:rsidR="00A51696" w:rsidRPr="000C50B2">
              <w:rPr>
                <w:rFonts w:eastAsia="Arial Unicode MS"/>
                <w:i/>
                <w:iCs/>
                <w:color w:val="000000" w:themeColor="text1"/>
                <w:sz w:val="24"/>
                <w:szCs w:val="24"/>
                <w:shd w:val="clear" w:color="auto" w:fill="FFFFFF"/>
              </w:rPr>
              <w:t>Valstybės narės gali netaikyti</w:t>
            </w:r>
            <w:r w:rsidR="00A51696" w:rsidRPr="00A51696">
              <w:rPr>
                <w:rFonts w:eastAsia="Arial Unicode MS"/>
                <w:i/>
                <w:iCs/>
                <w:color w:val="000000" w:themeColor="text1"/>
                <w:sz w:val="24"/>
                <w:szCs w:val="24"/>
                <w:shd w:val="clear" w:color="auto" w:fill="FFFFFF"/>
              </w:rPr>
              <w:t xml:space="preserve"> II skyriaus, išskyrus 14 straipsnį, ir IV skyriaus bet kokiai tranzito per Sąjungos teritoriją geležinkelių paslaugai</w:t>
            </w:r>
            <w:r w:rsidR="00A51696">
              <w:rPr>
                <w:rFonts w:eastAsia="Arial Unicode MS"/>
                <w:color w:val="000000" w:themeColor="text1"/>
                <w:sz w:val="24"/>
                <w:szCs w:val="24"/>
                <w:shd w:val="clear" w:color="auto" w:fill="FFFFFF"/>
              </w:rPr>
              <w:t xml:space="preserve">, </w:t>
            </w:r>
            <w:r w:rsidR="00A51696" w:rsidRPr="00A51696">
              <w:rPr>
                <w:rFonts w:eastAsia="Arial Unicode MS"/>
                <w:color w:val="000000" w:themeColor="text1"/>
                <w:sz w:val="24"/>
                <w:szCs w:val="24"/>
                <w:shd w:val="clear" w:color="auto" w:fill="FFFFFF"/>
              </w:rPr>
              <w:t>nėra susieta su tiesioginių sąnaudų</w:t>
            </w:r>
            <w:r w:rsidR="00F44D65">
              <w:rPr>
                <w:rFonts w:eastAsia="Arial Unicode MS"/>
                <w:color w:val="000000" w:themeColor="text1"/>
                <w:sz w:val="24"/>
                <w:szCs w:val="24"/>
                <w:shd w:val="clear" w:color="auto" w:fill="FFFFFF"/>
              </w:rPr>
              <w:t>, kurias viešosios geležinkelių infrastruktūros valdytojas (toliau – valdytojas) patiria organizuo</w:t>
            </w:r>
            <w:r>
              <w:rPr>
                <w:rFonts w:eastAsia="Arial Unicode MS"/>
                <w:color w:val="000000" w:themeColor="text1"/>
                <w:sz w:val="24"/>
                <w:szCs w:val="24"/>
                <w:shd w:val="clear" w:color="auto" w:fill="FFFFFF"/>
              </w:rPr>
              <w:t>damas</w:t>
            </w:r>
            <w:r w:rsidR="00F44D65">
              <w:rPr>
                <w:rFonts w:eastAsia="Arial Unicode MS"/>
                <w:color w:val="000000" w:themeColor="text1"/>
                <w:sz w:val="24"/>
                <w:szCs w:val="24"/>
                <w:shd w:val="clear" w:color="auto" w:fill="FFFFFF"/>
              </w:rPr>
              <w:t xml:space="preserve"> traukinių eismą,</w:t>
            </w:r>
            <w:r w:rsidR="00A51696" w:rsidRPr="00A51696">
              <w:rPr>
                <w:rFonts w:eastAsia="Arial Unicode MS"/>
                <w:color w:val="000000" w:themeColor="text1"/>
                <w:sz w:val="24"/>
                <w:szCs w:val="24"/>
                <w:shd w:val="clear" w:color="auto" w:fill="FFFFFF"/>
              </w:rPr>
              <w:t xml:space="preserve"> taisykle, o su visu šios Direktyvos</w:t>
            </w:r>
            <w:r w:rsidR="00F44D65">
              <w:rPr>
                <w:rFonts w:eastAsia="Arial Unicode MS"/>
                <w:color w:val="000000" w:themeColor="text1"/>
                <w:sz w:val="24"/>
                <w:szCs w:val="24"/>
                <w:shd w:val="clear" w:color="auto" w:fill="FFFFFF"/>
              </w:rPr>
              <w:t xml:space="preserve"> </w:t>
            </w:r>
            <w:r w:rsidR="00A51696" w:rsidRPr="00A51696">
              <w:rPr>
                <w:color w:val="000000" w:themeColor="text1"/>
                <w:sz w:val="24"/>
                <w:szCs w:val="24"/>
              </w:rPr>
              <w:t>2012/34/ES</w:t>
            </w:r>
            <w:r w:rsidR="00A51696" w:rsidRPr="00A51696">
              <w:rPr>
                <w:rFonts w:eastAsia="Arial Unicode MS"/>
                <w:color w:val="000000" w:themeColor="text1"/>
                <w:sz w:val="24"/>
                <w:szCs w:val="24"/>
                <w:shd w:val="clear" w:color="auto" w:fill="FFFFFF"/>
              </w:rPr>
              <w:t xml:space="preserve"> IV skyriumi, kuris reglamentuoja ne tik šią taisyklę, bet </w:t>
            </w:r>
            <w:r w:rsidR="008673C6">
              <w:rPr>
                <w:rFonts w:eastAsia="Arial Unicode MS"/>
                <w:color w:val="000000" w:themeColor="text1"/>
                <w:sz w:val="24"/>
                <w:szCs w:val="24"/>
                <w:shd w:val="clear" w:color="auto" w:fill="FFFFFF"/>
              </w:rPr>
              <w:t xml:space="preserve">ir </w:t>
            </w:r>
            <w:r w:rsidR="00A51696" w:rsidRPr="00A51696">
              <w:rPr>
                <w:rFonts w:eastAsia="Arial Unicode MS"/>
                <w:color w:val="000000" w:themeColor="text1"/>
                <w:sz w:val="24"/>
                <w:szCs w:val="24"/>
                <w:shd w:val="clear" w:color="auto" w:fill="FFFFFF"/>
              </w:rPr>
              <w:t>visą viešosios geležinkelių infrastruktūros apmokestinimą.</w:t>
            </w:r>
          </w:p>
          <w:p w14:paraId="61EBC24E" w14:textId="67DF004E" w:rsidR="00A51696" w:rsidRPr="00A305A9" w:rsidRDefault="00A51696" w:rsidP="00A51696">
            <w:pPr>
              <w:pStyle w:val="Komentarotekstas"/>
              <w:rPr>
                <w:color w:val="000000" w:themeColor="text1"/>
                <w:sz w:val="24"/>
                <w:szCs w:val="24"/>
              </w:rPr>
            </w:pPr>
            <w:r w:rsidRPr="00A51696">
              <w:rPr>
                <w:sz w:val="24"/>
                <w:szCs w:val="24"/>
              </w:rPr>
              <w:t>Geležinkelių transporto kodekso (toliau – GTK)</w:t>
            </w:r>
            <w:r w:rsidRPr="00A51696">
              <w:rPr>
                <w:color w:val="000000" w:themeColor="text1"/>
                <w:sz w:val="24"/>
                <w:szCs w:val="24"/>
                <w:lang w:val="en-US"/>
              </w:rPr>
              <w:t xml:space="preserve"> </w:t>
            </w:r>
            <w:r w:rsidR="00F44D65" w:rsidRPr="00A305A9">
              <w:rPr>
                <w:color w:val="000000" w:themeColor="text1"/>
                <w:sz w:val="24"/>
                <w:szCs w:val="24"/>
              </w:rPr>
              <w:t xml:space="preserve">25 straipsnio 4 dalies </w:t>
            </w:r>
            <w:r w:rsidRPr="00A305A9">
              <w:rPr>
                <w:color w:val="000000" w:themeColor="text1"/>
                <w:sz w:val="24"/>
                <w:szCs w:val="24"/>
              </w:rPr>
              <w:t>ir Direktyvos 2012/34/ES 2 straipsnio nuostatos nu</w:t>
            </w:r>
            <w:r w:rsidR="000C50B2">
              <w:rPr>
                <w:color w:val="000000" w:themeColor="text1"/>
                <w:sz w:val="24"/>
                <w:szCs w:val="24"/>
              </w:rPr>
              <w:t>stato</w:t>
            </w:r>
            <w:r w:rsidRPr="00A305A9">
              <w:rPr>
                <w:color w:val="000000" w:themeColor="text1"/>
                <w:sz w:val="24"/>
                <w:szCs w:val="24"/>
              </w:rPr>
              <w:t xml:space="preserve">, kad </w:t>
            </w:r>
            <w:r w:rsidR="000C50B2">
              <w:rPr>
                <w:color w:val="000000" w:themeColor="text1"/>
                <w:sz w:val="24"/>
                <w:szCs w:val="24"/>
              </w:rPr>
              <w:t xml:space="preserve">įmokų už </w:t>
            </w:r>
            <w:r w:rsidRPr="00A305A9">
              <w:rPr>
                <w:color w:val="000000" w:themeColor="text1"/>
                <w:sz w:val="24"/>
                <w:szCs w:val="24"/>
              </w:rPr>
              <w:t>tranzito</w:t>
            </w:r>
            <w:r w:rsidR="000C50B2">
              <w:rPr>
                <w:color w:val="000000" w:themeColor="text1"/>
                <w:sz w:val="24"/>
                <w:szCs w:val="24"/>
              </w:rPr>
              <w:t xml:space="preserve"> geležinkelių transportu paslaugų</w:t>
            </w:r>
            <w:r w:rsidRPr="00A305A9">
              <w:rPr>
                <w:color w:val="000000" w:themeColor="text1"/>
                <w:sz w:val="24"/>
                <w:szCs w:val="24"/>
              </w:rPr>
              <w:t xml:space="preserve"> </w:t>
            </w:r>
            <w:r w:rsidR="000C50B2">
              <w:rPr>
                <w:color w:val="000000" w:themeColor="text1"/>
                <w:sz w:val="24"/>
                <w:szCs w:val="24"/>
              </w:rPr>
              <w:t xml:space="preserve">teikimą </w:t>
            </w:r>
            <w:r w:rsidRPr="00A305A9">
              <w:rPr>
                <w:color w:val="000000" w:themeColor="text1"/>
                <w:sz w:val="24"/>
                <w:szCs w:val="24"/>
              </w:rPr>
              <w:t xml:space="preserve">apskaičiavimui netaikomi Direktyvos 2012/34/ES reikalavimai dėl geležinkelių infrastruktūros apmokestinimo, todėl </w:t>
            </w:r>
            <w:r w:rsidR="000C50B2">
              <w:rPr>
                <w:color w:val="000000" w:themeColor="text1"/>
                <w:sz w:val="24"/>
                <w:szCs w:val="24"/>
              </w:rPr>
              <w:t xml:space="preserve">įmokų už </w:t>
            </w:r>
            <w:r w:rsidR="000C50B2" w:rsidRPr="00A305A9">
              <w:rPr>
                <w:color w:val="000000" w:themeColor="text1"/>
                <w:sz w:val="24"/>
                <w:szCs w:val="24"/>
              </w:rPr>
              <w:t>tranzito</w:t>
            </w:r>
            <w:r w:rsidR="000C50B2">
              <w:rPr>
                <w:color w:val="000000" w:themeColor="text1"/>
                <w:sz w:val="24"/>
                <w:szCs w:val="24"/>
              </w:rPr>
              <w:t xml:space="preserve"> geležinkelių transportu paslaugų</w:t>
            </w:r>
            <w:r w:rsidR="000C50B2" w:rsidRPr="00A305A9">
              <w:rPr>
                <w:color w:val="000000" w:themeColor="text1"/>
                <w:sz w:val="24"/>
                <w:szCs w:val="24"/>
              </w:rPr>
              <w:t xml:space="preserve"> </w:t>
            </w:r>
            <w:r w:rsidR="000C50B2">
              <w:rPr>
                <w:color w:val="000000" w:themeColor="text1"/>
                <w:sz w:val="24"/>
                <w:szCs w:val="24"/>
              </w:rPr>
              <w:t xml:space="preserve">teikimą </w:t>
            </w:r>
            <w:r w:rsidRPr="00A305A9">
              <w:rPr>
                <w:color w:val="000000" w:themeColor="text1"/>
                <w:sz w:val="24"/>
                <w:szCs w:val="24"/>
              </w:rPr>
              <w:t>apskaičiavimo tvarką nustato pati valstybė.</w:t>
            </w:r>
          </w:p>
          <w:p w14:paraId="1E319EB5" w14:textId="1F94A7AF" w:rsidR="00A51696" w:rsidRDefault="00A51696" w:rsidP="00A51696">
            <w:pPr>
              <w:pStyle w:val="Komentarotekstas"/>
              <w:rPr>
                <w:color w:val="000000" w:themeColor="text1"/>
                <w:sz w:val="24"/>
                <w:szCs w:val="24"/>
              </w:rPr>
            </w:pPr>
            <w:r w:rsidRPr="00A305A9">
              <w:rPr>
                <w:color w:val="000000" w:themeColor="text1"/>
                <w:sz w:val="24"/>
                <w:szCs w:val="24"/>
              </w:rPr>
              <w:t xml:space="preserve">Papildomai pažymime, kad valstybės finansavimo programa susieta su </w:t>
            </w:r>
            <w:r w:rsidR="00A305A9">
              <w:rPr>
                <w:color w:val="000000" w:themeColor="text1"/>
                <w:sz w:val="24"/>
                <w:szCs w:val="24"/>
              </w:rPr>
              <w:t xml:space="preserve"> GTK </w:t>
            </w:r>
            <w:r w:rsidRPr="00A305A9">
              <w:rPr>
                <w:color w:val="000000" w:themeColor="text1"/>
                <w:sz w:val="24"/>
                <w:szCs w:val="24"/>
              </w:rPr>
              <w:t>nustatytais</w:t>
            </w:r>
            <w:r w:rsidR="00A305A9">
              <w:rPr>
                <w:color w:val="000000" w:themeColor="text1"/>
                <w:sz w:val="24"/>
                <w:szCs w:val="24"/>
              </w:rPr>
              <w:t xml:space="preserve"> valdytojo veiklos</w:t>
            </w:r>
            <w:r w:rsidRPr="00A305A9">
              <w:rPr>
                <w:color w:val="000000" w:themeColor="text1"/>
                <w:sz w:val="24"/>
                <w:szCs w:val="24"/>
              </w:rPr>
              <w:t xml:space="preserve"> tikslais (funkcijų vykdymu), kurie</w:t>
            </w:r>
            <w:r w:rsidR="00F44D65">
              <w:rPr>
                <w:color w:val="000000" w:themeColor="text1"/>
                <w:sz w:val="24"/>
                <w:szCs w:val="24"/>
              </w:rPr>
              <w:t xml:space="preserve"> </w:t>
            </w:r>
            <w:r>
              <w:rPr>
                <w:color w:val="000000" w:themeColor="text1"/>
                <w:sz w:val="24"/>
                <w:szCs w:val="24"/>
              </w:rPr>
              <w:t>apima visą valdytojui skiriamą finansavimą. Šiuo metu teisės a</w:t>
            </w:r>
            <w:r w:rsidR="00F44D65">
              <w:rPr>
                <w:color w:val="000000" w:themeColor="text1"/>
                <w:sz w:val="24"/>
                <w:szCs w:val="24"/>
              </w:rPr>
              <w:t>k</w:t>
            </w:r>
            <w:r>
              <w:rPr>
                <w:color w:val="000000" w:themeColor="text1"/>
                <w:sz w:val="24"/>
                <w:szCs w:val="24"/>
              </w:rPr>
              <w:t>t</w:t>
            </w:r>
            <w:r w:rsidR="00F44D65">
              <w:rPr>
                <w:color w:val="000000" w:themeColor="text1"/>
                <w:sz w:val="24"/>
                <w:szCs w:val="24"/>
              </w:rPr>
              <w:t>a</w:t>
            </w:r>
            <w:r>
              <w:rPr>
                <w:color w:val="000000" w:themeColor="text1"/>
                <w:sz w:val="24"/>
                <w:szCs w:val="24"/>
              </w:rPr>
              <w:t>i nenumato reikalavimo finansavimą susieti su konkrečia valdytojo teikiama paslauga</w:t>
            </w:r>
            <w:r w:rsidR="00BF292A">
              <w:rPr>
                <w:color w:val="000000" w:themeColor="text1"/>
                <w:sz w:val="24"/>
                <w:szCs w:val="24"/>
              </w:rPr>
              <w:t>, pavyzdžiui</w:t>
            </w:r>
            <w:r w:rsidR="008673C6">
              <w:rPr>
                <w:color w:val="000000" w:themeColor="text1"/>
                <w:sz w:val="24"/>
                <w:szCs w:val="24"/>
              </w:rPr>
              <w:t>,</w:t>
            </w:r>
            <w:r w:rsidR="00BF292A">
              <w:rPr>
                <w:color w:val="000000" w:themeColor="text1"/>
                <w:sz w:val="24"/>
                <w:szCs w:val="24"/>
              </w:rPr>
              <w:t xml:space="preserve"> valdytojo </w:t>
            </w:r>
            <w:r w:rsidR="00BF292A">
              <w:rPr>
                <w:color w:val="000000" w:themeColor="text1"/>
                <w:sz w:val="24"/>
                <w:szCs w:val="24"/>
              </w:rPr>
              <w:lastRenderedPageBreak/>
              <w:t xml:space="preserve">teikiamomis minimalųjį prieigos paketą sudarančiomis paslaugomis. </w:t>
            </w:r>
          </w:p>
          <w:p w14:paraId="3B5AE0A8" w14:textId="0F8624F5" w:rsidR="00BF292A" w:rsidRPr="00A51696" w:rsidRDefault="00BF292A" w:rsidP="00A51696">
            <w:pPr>
              <w:pStyle w:val="Komentarotekstas"/>
              <w:rPr>
                <w:color w:val="000000" w:themeColor="text1"/>
                <w:sz w:val="24"/>
                <w:szCs w:val="24"/>
              </w:rPr>
            </w:pPr>
            <w:r>
              <w:rPr>
                <w:color w:val="000000" w:themeColor="text1"/>
                <w:sz w:val="24"/>
                <w:szCs w:val="24"/>
              </w:rPr>
              <w:t>Atsižvelgiant į tai, apskaičiuojant krovinių vežimo tranzitu ir keleivių, bagažo vežimo tranzitu įmokos tarifus turi būti vertinam</w:t>
            </w:r>
            <w:r w:rsidR="008673C6">
              <w:rPr>
                <w:color w:val="000000" w:themeColor="text1"/>
                <w:sz w:val="24"/>
                <w:szCs w:val="24"/>
              </w:rPr>
              <w:t>os</w:t>
            </w:r>
            <w:r>
              <w:rPr>
                <w:color w:val="000000" w:themeColor="text1"/>
                <w:sz w:val="24"/>
                <w:szCs w:val="24"/>
              </w:rPr>
              <w:t xml:space="preserve"> valstybės lėšos (</w:t>
            </w:r>
            <w:r w:rsidRPr="00BF292A">
              <w:rPr>
                <w:bCs/>
                <w:color w:val="00000A"/>
                <w:sz w:val="24"/>
                <w:szCs w:val="24"/>
              </w:rPr>
              <w:t>taip pat ir ES fondų, savivaldybių lėš</w:t>
            </w:r>
            <w:r w:rsidR="008673C6">
              <w:rPr>
                <w:bCs/>
                <w:color w:val="00000A"/>
                <w:sz w:val="24"/>
                <w:szCs w:val="24"/>
              </w:rPr>
              <w:t>os</w:t>
            </w:r>
            <w:r w:rsidRPr="00BF292A">
              <w:rPr>
                <w:bCs/>
                <w:color w:val="00000A"/>
                <w:sz w:val="24"/>
                <w:szCs w:val="24"/>
              </w:rPr>
              <w:t>),</w:t>
            </w:r>
            <w:r>
              <w:rPr>
                <w:bCs/>
                <w:color w:val="00000A"/>
                <w:sz w:val="24"/>
                <w:szCs w:val="24"/>
              </w:rPr>
              <w:t xml:space="preserve"> vidutiniškai skirtos visoms valdytojo išlaidoms dengti.</w:t>
            </w:r>
          </w:p>
        </w:tc>
      </w:tr>
      <w:tr w:rsidR="0068725B" w:rsidRPr="009A66ED" w14:paraId="7ACF690A" w14:textId="77777777" w:rsidTr="0068725B">
        <w:trPr>
          <w:trHeight w:val="418"/>
        </w:trPr>
        <w:tc>
          <w:tcPr>
            <w:tcW w:w="2376" w:type="dxa"/>
            <w:vMerge w:val="restart"/>
            <w:tcBorders>
              <w:top w:val="nil"/>
            </w:tcBorders>
          </w:tcPr>
          <w:p w14:paraId="7ACF6905" w14:textId="1958DC1E" w:rsidR="0068725B" w:rsidRPr="009A66ED" w:rsidRDefault="0068725B" w:rsidP="001A3A7D">
            <w:pPr>
              <w:pStyle w:val="Pagrindinistekstas"/>
            </w:pPr>
          </w:p>
        </w:tc>
        <w:tc>
          <w:tcPr>
            <w:tcW w:w="6408" w:type="dxa"/>
          </w:tcPr>
          <w:p w14:paraId="790E992D" w14:textId="00FFCB99" w:rsidR="0068725B" w:rsidRDefault="0068725B" w:rsidP="00E708DE">
            <w:pPr>
              <w:pStyle w:val="Betarp"/>
              <w:tabs>
                <w:tab w:val="left" w:pos="1276"/>
              </w:tabs>
              <w:jc w:val="both"/>
              <w:rPr>
                <w:rFonts w:ascii="Times New Roman" w:hAnsi="Times New Roman"/>
                <w:sz w:val="24"/>
                <w:szCs w:val="24"/>
                <w:lang w:eastAsia="ar-SA"/>
              </w:rPr>
            </w:pPr>
            <w:r>
              <w:rPr>
                <w:rFonts w:ascii="Times New Roman" w:hAnsi="Times New Roman"/>
                <w:sz w:val="24"/>
                <w:szCs w:val="24"/>
                <w:lang w:eastAsia="ar-SA"/>
              </w:rPr>
              <w:t>1.1.2. 2) Taisyklių projektu nekeičiamos šiuo metu galiojančios keleivių ir krovinių tranzito įmokų tarifų apskaičiavimo formulės, tačiau jos taisytinos šiais aspektais:</w:t>
            </w:r>
          </w:p>
          <w:p w14:paraId="7ACF6906" w14:textId="7299E819" w:rsidR="0068725B" w:rsidRPr="009A66ED" w:rsidRDefault="0068725B" w:rsidP="00E708DE">
            <w:pPr>
              <w:pStyle w:val="Betarp"/>
              <w:tabs>
                <w:tab w:val="left" w:pos="1276"/>
              </w:tabs>
              <w:jc w:val="both"/>
              <w:rPr>
                <w:rFonts w:ascii="Times New Roman" w:hAnsi="Times New Roman"/>
                <w:sz w:val="24"/>
                <w:szCs w:val="24"/>
                <w:lang w:eastAsia="ar-SA"/>
              </w:rPr>
            </w:pPr>
            <w:r>
              <w:rPr>
                <w:rFonts w:ascii="Times New Roman" w:hAnsi="Times New Roman"/>
                <w:sz w:val="24"/>
                <w:szCs w:val="24"/>
                <w:lang w:eastAsia="ar-SA"/>
              </w:rPr>
              <w:t>&lt;...&gt; 2) Taisyklių projekto 6 punkte nurodomoje formulėje krovinių tranzito įmokos tarifui apskaičiuoti (</w:t>
            </w:r>
            <w:proofErr w:type="spellStart"/>
            <w:r w:rsidRPr="00647375">
              <w:rPr>
                <w:rFonts w:ascii="Times New Roman" w:hAnsi="Times New Roman"/>
                <w:color w:val="000000"/>
                <w:sz w:val="24"/>
                <w:szCs w:val="24"/>
                <w:lang w:eastAsia="lt-LT"/>
              </w:rPr>
              <w:t>t</w:t>
            </w:r>
            <w:r w:rsidRPr="00647375">
              <w:rPr>
                <w:rFonts w:ascii="Times New Roman" w:hAnsi="Times New Roman"/>
                <w:color w:val="000000"/>
                <w:sz w:val="24"/>
                <w:szCs w:val="24"/>
                <w:vertAlign w:val="subscript"/>
                <w:lang w:eastAsia="lt-LT"/>
              </w:rPr>
              <w:t>tranz</w:t>
            </w:r>
            <w:proofErr w:type="spellEnd"/>
            <w:r w:rsidRPr="00647375">
              <w:rPr>
                <w:rFonts w:ascii="Times New Roman" w:hAnsi="Times New Roman"/>
                <w:color w:val="000000"/>
                <w:sz w:val="24"/>
                <w:szCs w:val="24"/>
                <w:vertAlign w:val="subscript"/>
                <w:lang w:eastAsia="lt-LT"/>
              </w:rPr>
              <w:t xml:space="preserve">. </w:t>
            </w:r>
            <w:proofErr w:type="spellStart"/>
            <w:r w:rsidRPr="00647375">
              <w:rPr>
                <w:rFonts w:ascii="Times New Roman" w:hAnsi="Times New Roman"/>
                <w:color w:val="000000"/>
                <w:sz w:val="24"/>
                <w:szCs w:val="24"/>
                <w:vertAlign w:val="subscript"/>
                <w:lang w:eastAsia="lt-LT"/>
              </w:rPr>
              <w:t>krov</w:t>
            </w:r>
            <w:proofErr w:type="spellEnd"/>
            <w:r w:rsidRPr="00647375">
              <w:rPr>
                <w:rFonts w:ascii="Times New Roman" w:hAnsi="Times New Roman"/>
                <w:i/>
                <w:color w:val="000000"/>
                <w:sz w:val="24"/>
                <w:szCs w:val="24"/>
                <w:vertAlign w:val="subscript"/>
                <w:lang w:eastAsia="lt-LT"/>
              </w:rPr>
              <w:t>.</w:t>
            </w:r>
            <w:r w:rsidRPr="00647375">
              <w:rPr>
                <w:rFonts w:ascii="Times New Roman" w:hAnsi="Times New Roman"/>
                <w:color w:val="000000"/>
                <w:sz w:val="24"/>
                <w:szCs w:val="24"/>
                <w:lang w:eastAsia="lt-LT"/>
              </w:rPr>
              <w:t>)</w:t>
            </w:r>
            <w:r>
              <w:rPr>
                <w:rFonts w:ascii="Times New Roman" w:hAnsi="Times New Roman"/>
                <w:color w:val="000000"/>
                <w:sz w:val="24"/>
                <w:szCs w:val="24"/>
                <w:lang w:eastAsia="lt-LT"/>
              </w:rPr>
              <w:t xml:space="preserve"> kintamaisiais neturėtų būti pasirinkti traukinių darbo apimtis, kuri matuojama </w:t>
            </w:r>
            <w:proofErr w:type="spellStart"/>
            <w:r>
              <w:rPr>
                <w:rFonts w:ascii="Times New Roman" w:hAnsi="Times New Roman"/>
                <w:color w:val="000000"/>
                <w:sz w:val="24"/>
                <w:szCs w:val="24"/>
                <w:lang w:eastAsia="lt-LT"/>
              </w:rPr>
              <w:t>tkm</w:t>
            </w:r>
            <w:proofErr w:type="spellEnd"/>
            <w:r>
              <w:rPr>
                <w:rFonts w:ascii="Times New Roman" w:hAnsi="Times New Roman"/>
                <w:color w:val="000000"/>
                <w:sz w:val="24"/>
                <w:szCs w:val="24"/>
                <w:lang w:eastAsia="lt-LT"/>
              </w:rPr>
              <w:t xml:space="preserve"> bruto, ir krovinių vežimo apimtis, kuri matuojama </w:t>
            </w:r>
            <w:proofErr w:type="spellStart"/>
            <w:r>
              <w:rPr>
                <w:rFonts w:ascii="Times New Roman" w:hAnsi="Times New Roman"/>
                <w:color w:val="000000"/>
                <w:sz w:val="24"/>
                <w:szCs w:val="24"/>
                <w:lang w:eastAsia="lt-LT"/>
              </w:rPr>
              <w:t>tkm</w:t>
            </w:r>
            <w:proofErr w:type="spellEnd"/>
            <w:r>
              <w:rPr>
                <w:rFonts w:ascii="Times New Roman" w:hAnsi="Times New Roman"/>
                <w:color w:val="000000"/>
                <w:sz w:val="24"/>
                <w:szCs w:val="24"/>
                <w:lang w:eastAsia="lt-LT"/>
              </w:rPr>
              <w:t xml:space="preserve"> </w:t>
            </w:r>
            <w:proofErr w:type="spellStart"/>
            <w:r>
              <w:rPr>
                <w:rFonts w:ascii="Times New Roman" w:hAnsi="Times New Roman"/>
                <w:color w:val="000000"/>
                <w:sz w:val="24"/>
                <w:szCs w:val="24"/>
                <w:lang w:eastAsia="lt-LT"/>
              </w:rPr>
              <w:t>neto</w:t>
            </w:r>
            <w:proofErr w:type="spellEnd"/>
            <w:r>
              <w:rPr>
                <w:rFonts w:ascii="Times New Roman" w:hAnsi="Times New Roman"/>
                <w:color w:val="000000"/>
                <w:sz w:val="24"/>
                <w:szCs w:val="24"/>
                <w:lang w:eastAsia="lt-LT"/>
              </w:rPr>
              <w:t>, nes šių kintamųjų naudojimas vienoje formulėje, negali duoti rezultato, kuris bus matuojamas Eur/</w:t>
            </w:r>
            <w:proofErr w:type="spellStart"/>
            <w:r>
              <w:rPr>
                <w:rFonts w:ascii="Times New Roman" w:hAnsi="Times New Roman"/>
                <w:color w:val="000000"/>
                <w:sz w:val="24"/>
                <w:szCs w:val="24"/>
                <w:lang w:eastAsia="lt-LT"/>
              </w:rPr>
              <w:t>tkm</w:t>
            </w:r>
            <w:proofErr w:type="spellEnd"/>
            <w:r>
              <w:rPr>
                <w:rFonts w:ascii="Times New Roman" w:hAnsi="Times New Roman"/>
                <w:color w:val="000000"/>
                <w:sz w:val="24"/>
                <w:szCs w:val="24"/>
                <w:lang w:eastAsia="lt-LT"/>
              </w:rPr>
              <w:t xml:space="preserve"> </w:t>
            </w:r>
            <w:proofErr w:type="spellStart"/>
            <w:r>
              <w:rPr>
                <w:rFonts w:ascii="Times New Roman" w:hAnsi="Times New Roman"/>
                <w:color w:val="000000"/>
                <w:sz w:val="24"/>
                <w:szCs w:val="24"/>
                <w:lang w:eastAsia="lt-LT"/>
              </w:rPr>
              <w:t>neto</w:t>
            </w:r>
            <w:proofErr w:type="spellEnd"/>
            <w:r>
              <w:rPr>
                <w:rFonts w:ascii="Times New Roman" w:hAnsi="Times New Roman"/>
                <w:color w:val="000000"/>
                <w:sz w:val="24"/>
                <w:szCs w:val="24"/>
                <w:lang w:eastAsia="lt-LT"/>
              </w:rPr>
              <w:t>, kaip nurodoma taisyklių 6 punkte.</w:t>
            </w:r>
          </w:p>
        </w:tc>
        <w:tc>
          <w:tcPr>
            <w:tcW w:w="6350" w:type="dxa"/>
          </w:tcPr>
          <w:p w14:paraId="47C34681" w14:textId="77777777" w:rsidR="0068725B" w:rsidRPr="001A3A7D" w:rsidRDefault="0068725B" w:rsidP="001A3A7D">
            <w:pPr>
              <w:pStyle w:val="Pagrindinistekstas"/>
              <w:rPr>
                <w:b/>
                <w:bCs/>
              </w:rPr>
            </w:pPr>
            <w:r w:rsidRPr="001A3A7D">
              <w:rPr>
                <w:b/>
                <w:bCs/>
              </w:rPr>
              <w:t>Neatsižvelgta.</w:t>
            </w:r>
          </w:p>
          <w:p w14:paraId="7ACF6909" w14:textId="48E8EDA7" w:rsidR="0068725B" w:rsidRPr="009A66ED" w:rsidRDefault="0068725B" w:rsidP="001A3A7D">
            <w:pPr>
              <w:pStyle w:val="Pagrindinistekstas"/>
            </w:pPr>
            <w:r>
              <w:rPr>
                <w:lang w:eastAsia="ar-SA"/>
              </w:rPr>
              <w:t xml:space="preserve">Taisyklių projekto 6 punkte nurodyto krovinių tranzito įmokos tarifo </w:t>
            </w:r>
            <w:r>
              <w:t>rezultatą (Eur/</w:t>
            </w:r>
            <w:proofErr w:type="spellStart"/>
            <w:r>
              <w:t>tkm</w:t>
            </w:r>
            <w:proofErr w:type="spellEnd"/>
            <w:r>
              <w:t xml:space="preserve"> </w:t>
            </w:r>
            <w:proofErr w:type="spellStart"/>
            <w:r>
              <w:t>neto</w:t>
            </w:r>
            <w:proofErr w:type="spellEnd"/>
            <w:r>
              <w:t xml:space="preserve">) nulemia K ir </w:t>
            </w:r>
            <w:proofErr w:type="spellStart"/>
            <w:r>
              <w:t>K</w:t>
            </w:r>
            <w:r w:rsidRPr="00AB53F0">
              <w:rPr>
                <w:vertAlign w:val="subscript"/>
              </w:rPr>
              <w:t>tranz</w:t>
            </w:r>
            <w:proofErr w:type="spellEnd"/>
            <w:r>
              <w:t xml:space="preserve">, kurie yra matuojami </w:t>
            </w:r>
            <w:proofErr w:type="spellStart"/>
            <w:r>
              <w:t>tkm</w:t>
            </w:r>
            <w:proofErr w:type="spellEnd"/>
            <w:r>
              <w:t xml:space="preserve"> </w:t>
            </w:r>
            <w:proofErr w:type="spellStart"/>
            <w:r>
              <w:t>neto</w:t>
            </w:r>
            <w:proofErr w:type="spellEnd"/>
            <w:r>
              <w:t xml:space="preserve">, o likusios šios formulės dalys, kurios yra matuojamos </w:t>
            </w:r>
            <w:proofErr w:type="spellStart"/>
            <w:r>
              <w:t>tkm</w:t>
            </w:r>
            <w:proofErr w:type="spellEnd"/>
            <w:r>
              <w:t xml:space="preserve"> </w:t>
            </w:r>
            <w:proofErr w:type="spellStart"/>
            <w:r>
              <w:t>neto</w:t>
            </w:r>
            <w:proofErr w:type="spellEnd"/>
            <w:r>
              <w:t>, yra skirtos valstybės finansavimo procentinei daliai nustatyti ir apskaičiavimo metu matematiškai yra eliminuojamos.</w:t>
            </w:r>
          </w:p>
        </w:tc>
      </w:tr>
      <w:tr w:rsidR="0068725B" w:rsidRPr="009A66ED" w14:paraId="01532186" w14:textId="77777777" w:rsidTr="00BF292A">
        <w:trPr>
          <w:trHeight w:val="418"/>
        </w:trPr>
        <w:tc>
          <w:tcPr>
            <w:tcW w:w="2376" w:type="dxa"/>
            <w:vMerge/>
          </w:tcPr>
          <w:p w14:paraId="114E2C34" w14:textId="77777777" w:rsidR="0068725B" w:rsidRPr="009A66ED" w:rsidRDefault="0068725B" w:rsidP="001A3A7D">
            <w:pPr>
              <w:pStyle w:val="Pagrindinistekstas"/>
            </w:pPr>
          </w:p>
        </w:tc>
        <w:tc>
          <w:tcPr>
            <w:tcW w:w="6408" w:type="dxa"/>
          </w:tcPr>
          <w:p w14:paraId="7F0279D7" w14:textId="6A7730BE" w:rsidR="0068725B" w:rsidRDefault="0068725B" w:rsidP="00E708DE">
            <w:pPr>
              <w:pStyle w:val="Betarp"/>
              <w:tabs>
                <w:tab w:val="left" w:pos="1276"/>
              </w:tabs>
              <w:jc w:val="both"/>
              <w:rPr>
                <w:rFonts w:ascii="Times New Roman" w:hAnsi="Times New Roman"/>
                <w:sz w:val="24"/>
                <w:szCs w:val="24"/>
                <w:lang w:eastAsia="ar-SA"/>
              </w:rPr>
            </w:pPr>
            <w:r>
              <w:rPr>
                <w:rFonts w:ascii="Times New Roman" w:hAnsi="Times New Roman"/>
                <w:sz w:val="24"/>
                <w:szCs w:val="24"/>
                <w:lang w:eastAsia="ar-SA"/>
              </w:rPr>
              <w:t>1.2. Taisyklių projektu siūloma tikslinti užmokestį už MPP sudarančias įmokas, t. y. vietoj šiuo metu galiojančios krovinių vežimo įmokos numatyti Rinkos segmento įmoką (Taisyklių projekto 3.4 papunktis), kuri apskaičiuojama pagal keleivių, bagažo ir krovinių Rinkos segmento įmokos tarifo apskaičiavimo formules (Taisyklių projekto 7 ir 8 punktai) Nors Taisyklių projektu atsisakoma teisinio reguliavimo, kuriuo buvo įtvirtinti konkretūs krovinių Rinkos segmentai, visgi, Tarnybos vertinimu, Taisyklių projektu siūlomas nustatyti Rinkos segmentų įmokų tarifų apskaičiavimas yra ydingas, t. y. iškreipiantis pačią Rinkos segmentų išskyrimo prasmę ir tikslą, o tuo pačių neatitinkantis tiek GTK 25 straipsnio nuostatų, tiek Direktyvos 2012/34/ES 32 straipsnio 1 dalies dėl žemiau nurodytų motyvų &lt;...&gt;</w:t>
            </w:r>
          </w:p>
        </w:tc>
        <w:tc>
          <w:tcPr>
            <w:tcW w:w="6350" w:type="dxa"/>
          </w:tcPr>
          <w:p w14:paraId="0DA05BFC" w14:textId="77777777" w:rsidR="0068725B" w:rsidRPr="001A3A7D" w:rsidRDefault="0068725B" w:rsidP="00C62BDC">
            <w:pPr>
              <w:rPr>
                <w:b/>
                <w:bCs/>
              </w:rPr>
            </w:pPr>
            <w:r w:rsidRPr="001A3A7D">
              <w:rPr>
                <w:b/>
                <w:bCs/>
              </w:rPr>
              <w:t>Atsižvelgta iš dalies.</w:t>
            </w:r>
          </w:p>
          <w:p w14:paraId="4914DB8A" w14:textId="31A5A9CD" w:rsidR="0068725B" w:rsidRDefault="0068725B" w:rsidP="00C62BDC">
            <w:r w:rsidRPr="001A3A7D">
              <w:t xml:space="preserve">Pagal Direktyvos 2012/341/ES 29 straipsnio 1 dalį </w:t>
            </w:r>
            <w:r w:rsidRPr="001A3A7D">
              <w:rPr>
                <w:i/>
                <w:iCs/>
              </w:rPr>
              <w:t>valstybės narės nustato apmokestinimo sistemą</w:t>
            </w:r>
            <w:r>
              <w:rPr>
                <w:i/>
                <w:iCs/>
              </w:rPr>
              <w:t xml:space="preserve"> &lt;...&gt;</w:t>
            </w:r>
            <w:r w:rsidRPr="001A3A7D">
              <w:rPr>
                <w:i/>
                <w:iCs/>
              </w:rPr>
              <w:t>, apmokestinimo taisykles arba suteikia tokius įgaliojimus valdytojui</w:t>
            </w:r>
            <w:r w:rsidRPr="001A3A7D">
              <w:t xml:space="preserve">. Įvertinus tai, kad valdytojo funkcijas </w:t>
            </w:r>
            <w:r>
              <w:t xml:space="preserve">pagal GTK pavesta vykdyti </w:t>
            </w:r>
            <w:r w:rsidRPr="001A3A7D">
              <w:t>akcin</w:t>
            </w:r>
            <w:r>
              <w:t>ei</w:t>
            </w:r>
            <w:r w:rsidRPr="001A3A7D">
              <w:t xml:space="preserve"> bendrov</w:t>
            </w:r>
            <w:r>
              <w:t>ei  ,,Lietuvos geležinkelių infrastruktūra“</w:t>
            </w:r>
            <w:r w:rsidRPr="001A3A7D">
              <w:t>, vadovaujantis Viešojo administravimo įstatymo 4</w:t>
            </w:r>
            <w:r w:rsidRPr="001A3A7D">
              <w:rPr>
                <w:vertAlign w:val="superscript"/>
              </w:rPr>
              <w:t>1</w:t>
            </w:r>
            <w:r w:rsidRPr="001A3A7D">
              <w:t xml:space="preserve"> straipsniu </w:t>
            </w:r>
            <w:r w:rsidRPr="001A3A7D">
              <w:t>viešojo administravimo įgaliojimai</w:t>
            </w:r>
            <w:r w:rsidRPr="001A3A7D">
              <w:t xml:space="preserve"> nustatyti naudojimosi viešąja geležinkelių infrastruktūra apmokestinimo sistemą</w:t>
            </w:r>
            <w:r>
              <w:t>, be kita ko, įmokų už krovinių ir (ar) keleivių, bagažo, priskirto segmentui, tarifų apskaičiavimo tvarką, kuri yra naudojimosi viešąja geležinkelių infrastruktūra apmokestinimo sistemos dalis,</w:t>
            </w:r>
            <w:r w:rsidRPr="001A3A7D">
              <w:t xml:space="preserve"> </w:t>
            </w:r>
            <w:r w:rsidRPr="001A3A7D">
              <w:t>negali būti suteikti</w:t>
            </w:r>
            <w:r>
              <w:t xml:space="preserve"> </w:t>
            </w:r>
            <w:r w:rsidRPr="001A3A7D">
              <w:t>valdytojui, kuris yra akcinė bendrovė</w:t>
            </w:r>
            <w:r>
              <w:t>.</w:t>
            </w:r>
          </w:p>
          <w:p w14:paraId="37E56D17" w14:textId="15F9BD5D" w:rsidR="0068725B" w:rsidRDefault="0068725B" w:rsidP="00C62BDC">
            <w:r>
              <w:t xml:space="preserve">Atsižvelgiant į Lietuvos nacionalinėje teisėje nustatytą apribojimą, vadovaujantis Direktyvos 2012/34/ES 29 straipsnio 1 dalyje nustatyta galimybe </w:t>
            </w:r>
            <w:r w:rsidRPr="001A3A7D">
              <w:t xml:space="preserve"> GTK 25 straipsnio 2 dalyje Lietuvos Respublikos Vyriausybei (toliau – LRV) deleguota nustatyti užmokesčio už MPP apskaičiavimo tvarką.</w:t>
            </w:r>
          </w:p>
          <w:p w14:paraId="5EABC7EA" w14:textId="1FA3F3CA" w:rsidR="0068725B" w:rsidRDefault="0068725B" w:rsidP="00C62BDC">
            <w:r>
              <w:t>Pažymėtina, kad valdytojui GTK 25</w:t>
            </w:r>
            <w:r>
              <w:rPr>
                <w:vertAlign w:val="superscript"/>
              </w:rPr>
              <w:t>1</w:t>
            </w:r>
            <w:r>
              <w:t xml:space="preserve"> straipsnyje yra pavesta nustatyti </w:t>
            </w:r>
            <w:r w:rsidRPr="001A3A7D">
              <w:t>vežimo geležinkelių transporto rinkos segment</w:t>
            </w:r>
            <w:r>
              <w:t>us</w:t>
            </w:r>
            <w:r>
              <w:t>, kuri</w:t>
            </w:r>
            <w:r>
              <w:t>uos</w:t>
            </w:r>
            <w:r>
              <w:t xml:space="preserve">e gali būti mokamas antkainis (toliau – </w:t>
            </w:r>
            <w:r w:rsidRPr="00615E75">
              <w:t>segment</w:t>
            </w:r>
            <w:r>
              <w:t>as</w:t>
            </w:r>
            <w:r>
              <w:t>) ir tai visiškai atitinka Direktyvos 2012/34/ES 32 straipsnio nuostatas.</w:t>
            </w:r>
          </w:p>
          <w:p w14:paraId="11CB1EFC" w14:textId="223B80CE" w:rsidR="0068725B" w:rsidRPr="00615E75" w:rsidRDefault="0068725B" w:rsidP="00C62BDC">
            <w:r w:rsidRPr="001A3A7D">
              <w:lastRenderedPageBreak/>
              <w:t xml:space="preserve"> Įvertinus tai, kad </w:t>
            </w:r>
            <w:r>
              <w:t>įmokų už krovinių ir (ar) keleivių, bagažo, priskirto segmentui, tarifų apskaičiavi</w:t>
            </w:r>
            <w:r>
              <w:t xml:space="preserve">mas </w:t>
            </w:r>
            <w:r w:rsidRPr="00615E75">
              <w:t xml:space="preserve">yra neatsiejama naudojimosi viešąja geležinkelių infrastruktūra apmokestinimo dalis, LRV, o ne </w:t>
            </w:r>
            <w:r>
              <w:t>v</w:t>
            </w:r>
            <w:r w:rsidRPr="00615E75">
              <w:t>aldytojui pavesta nustatyti ir užmokesčio už MPP dalių, susietų su geležinkelių transporto rinkos segmentavimu, apskaičiavimo tvarką, t. y. atitinkamas formules</w:t>
            </w:r>
            <w:r>
              <w:t>.</w:t>
            </w:r>
          </w:p>
          <w:p w14:paraId="3870633E" w14:textId="370E9357" w:rsidR="0068725B" w:rsidRPr="00615E75" w:rsidRDefault="0068725B" w:rsidP="00CC7714">
            <w:r>
              <w:t xml:space="preserve">Susisiekimo ministerijos vertinimu, pastaba, </w:t>
            </w:r>
            <w:r w:rsidRPr="00615E75">
              <w:t xml:space="preserve">kad </w:t>
            </w:r>
            <w:r>
              <w:t>v</w:t>
            </w:r>
            <w:r w:rsidRPr="00615E75">
              <w:t xml:space="preserve">aldytojas turi nustatyti </w:t>
            </w:r>
            <w:r>
              <w:t>ne tik segmentus, bet ir geležinkelio įmonės (v</w:t>
            </w:r>
            <w:r w:rsidRPr="00615E75">
              <w:t>ežėjo</w:t>
            </w:r>
            <w:r>
              <w:t>)</w:t>
            </w:r>
            <w:r w:rsidRPr="00615E75">
              <w:t xml:space="preserve"> galimybę mokėti </w:t>
            </w:r>
            <w:r>
              <w:t xml:space="preserve">antkainį </w:t>
            </w:r>
            <w:r w:rsidRPr="00615E75">
              <w:t>atliekant skaičiavimus ir modeliuojant, kaip, pakeitus antkainio dydį, pasikeičia rinkos galimybės mokėti</w:t>
            </w:r>
            <w:r>
              <w:t>,</w:t>
            </w:r>
            <w:r w:rsidRPr="00615E75">
              <w:t xml:space="preserve"> implikuoja, kad turi būti naudojamas </w:t>
            </w:r>
            <w:proofErr w:type="spellStart"/>
            <w:r w:rsidRPr="00CC7714">
              <w:rPr>
                <w:i/>
                <w:iCs/>
              </w:rPr>
              <w:t>Ramsey</w:t>
            </w:r>
            <w:proofErr w:type="spellEnd"/>
            <w:r w:rsidRPr="00CC7714">
              <w:rPr>
                <w:i/>
                <w:iCs/>
              </w:rPr>
              <w:t xml:space="preserve"> </w:t>
            </w:r>
            <w:proofErr w:type="spellStart"/>
            <w:r w:rsidRPr="00CC7714">
              <w:rPr>
                <w:i/>
                <w:iCs/>
              </w:rPr>
              <w:t>pricing</w:t>
            </w:r>
            <w:proofErr w:type="spellEnd"/>
            <w:r w:rsidRPr="00615E75">
              <w:t xml:space="preserve"> metodas, kai vertinamas kainos</w:t>
            </w:r>
            <w:r>
              <w:t xml:space="preserve"> pokytis</w:t>
            </w:r>
            <w:r w:rsidRPr="00615E75">
              <w:t xml:space="preserve">. Šis metodas galimas tik </w:t>
            </w:r>
            <w:r>
              <w:t xml:space="preserve">keleivių vežimo paslaugų vertinimui </w:t>
            </w:r>
            <w:r w:rsidRPr="00615E75">
              <w:t>(</w:t>
            </w:r>
            <w:r>
              <w:t xml:space="preserve">naudojama </w:t>
            </w:r>
            <w:r w:rsidRPr="00615E75">
              <w:t>Nyderlanduose, Vokietijoje) ir tik darant prielaidą</w:t>
            </w:r>
            <w:r>
              <w:t>,</w:t>
            </w:r>
            <w:r w:rsidRPr="00615E75">
              <w:t xml:space="preserve"> kad užmokestis už MPP tiesiogi</w:t>
            </w:r>
            <w:r>
              <w:t>ai</w:t>
            </w:r>
            <w:r w:rsidRPr="00615E75">
              <w:t xml:space="preserve"> priklauso</w:t>
            </w:r>
            <w:r>
              <w:t xml:space="preserve"> nuo</w:t>
            </w:r>
            <w:r w:rsidRPr="00615E75">
              <w:t xml:space="preserve"> </w:t>
            </w:r>
            <w:r>
              <w:t xml:space="preserve">traukinio </w:t>
            </w:r>
            <w:r w:rsidRPr="00615E75">
              <w:t>bilieto kain</w:t>
            </w:r>
            <w:r>
              <w:t>os</w:t>
            </w:r>
            <w:r w:rsidRPr="00615E75">
              <w:t xml:space="preserve">. </w:t>
            </w:r>
            <w:r>
              <w:t xml:space="preserve">Vis dėlto, negalima teigti, </w:t>
            </w:r>
            <w:r w:rsidRPr="00615E75">
              <w:t>kad šio modelio taikymas krovinių vežim</w:t>
            </w:r>
            <w:r>
              <w:t>o paslaugų vertinimui yra galimas</w:t>
            </w:r>
            <w:r w:rsidRPr="00615E75">
              <w:t xml:space="preserve">, nes Europos Sąjungos </w:t>
            </w:r>
            <w:r>
              <w:t xml:space="preserve">valstybėse narėse </w:t>
            </w:r>
            <w:r w:rsidRPr="00615E75">
              <w:t xml:space="preserve">krovinių vežimas </w:t>
            </w:r>
            <w:r>
              <w:t xml:space="preserve">geležinkelių transportu </w:t>
            </w:r>
            <w:r w:rsidRPr="00615E75">
              <w:t xml:space="preserve">užima mažą dalį geležinkelių transporto </w:t>
            </w:r>
            <w:r>
              <w:t xml:space="preserve">paslaugų teikimo </w:t>
            </w:r>
            <w:r w:rsidRPr="00615E75">
              <w:t>rinkos ir praktiškai yra neelastingas</w:t>
            </w:r>
            <w:r>
              <w:t xml:space="preserve"> nekintanti</w:t>
            </w:r>
            <w:r w:rsidRPr="00615E75">
              <w:t xml:space="preserve">. Šiuo metodu išmatuoti kainos </w:t>
            </w:r>
            <w:r>
              <w:t>pokytį geležinkelio įmonės (v</w:t>
            </w:r>
            <w:r w:rsidRPr="00615E75">
              <w:t>ežėjo</w:t>
            </w:r>
            <w:r>
              <w:t>)</w:t>
            </w:r>
            <w:r w:rsidRPr="00615E75">
              <w:t xml:space="preserve"> atžvilgiu yra neįmanoma todėl, kad </w:t>
            </w:r>
            <w:r>
              <w:t xml:space="preserve">geležinkelio įmonės (vežėjo), teikiančio krovinių vežimo geležinkelių transportu paslaugas, </w:t>
            </w:r>
            <w:r w:rsidRPr="00615E75">
              <w:t>kainodara nėra tiesiogiai priklausoma nuo užmokesčio už MPP</w:t>
            </w:r>
            <w:r>
              <w:t xml:space="preserve"> – geležinkelio įmonė (v</w:t>
            </w:r>
            <w:r w:rsidRPr="00615E75">
              <w:t>ežėjas</w:t>
            </w:r>
            <w:r>
              <w:t>)</w:t>
            </w:r>
            <w:r w:rsidRPr="00615E75">
              <w:t xml:space="preserve"> veža krovinius sutartine, o ne </w:t>
            </w:r>
            <w:r w:rsidRPr="00CC7714">
              <w:rPr>
                <w:i/>
                <w:iCs/>
              </w:rPr>
              <w:t>kaštai plius</w:t>
            </w:r>
            <w:r w:rsidRPr="00615E75">
              <w:t xml:space="preserve"> kaina</w:t>
            </w:r>
            <w:r>
              <w:t>.</w:t>
            </w:r>
          </w:p>
          <w:p w14:paraId="77DDE66C" w14:textId="33FE5726" w:rsidR="0068725B" w:rsidRDefault="0068725B" w:rsidP="00CC7714">
            <w:r>
              <w:t>Pirminiais vertinimais, v</w:t>
            </w:r>
            <w:r w:rsidRPr="00615E75">
              <w:t xml:space="preserve">ienas iš patikimiausių būdų nustatyti </w:t>
            </w:r>
            <w:r>
              <w:t>geležinkelio įmonės (v</w:t>
            </w:r>
            <w:r w:rsidRPr="00615E75">
              <w:t>ežėjo</w:t>
            </w:r>
            <w:r>
              <w:t>)</w:t>
            </w:r>
            <w:r w:rsidRPr="00615E75">
              <w:t xml:space="preserve"> galimybę mokėti antkainį yra </w:t>
            </w:r>
            <w:r>
              <w:t>geležinkelio įmonės (v</w:t>
            </w:r>
            <w:r w:rsidRPr="00615E75">
              <w:t>ežėjo</w:t>
            </w:r>
            <w:r>
              <w:t>) veiklos</w:t>
            </w:r>
            <w:r w:rsidRPr="00615E75">
              <w:t xml:space="preserve"> duomenų analizė. Todėl </w:t>
            </w:r>
            <w:r>
              <w:t xml:space="preserve">Nutarimo projekte </w:t>
            </w:r>
            <w:r w:rsidRPr="00615E75">
              <w:t xml:space="preserve">pateikiamos formulės neprieštarauja antkainio nustatymo principui, nes antkainio pozicionavimas pagal krovinio rūšis yra pats pažangiausias. Šis metodas nenaudojamas kitose šalyse dėl to, kad nėra susiformavusi praktika, kad </w:t>
            </w:r>
            <w:r>
              <w:t xml:space="preserve">geležinkelio įmonės (vežėjai) </w:t>
            </w:r>
            <w:r w:rsidRPr="00615E75">
              <w:t xml:space="preserve">atskleistų valdytojams savo </w:t>
            </w:r>
            <w:r>
              <w:t xml:space="preserve">veiklos </w:t>
            </w:r>
            <w:r w:rsidRPr="00615E75">
              <w:t>duomenis, todėl valdytojai neturi galimybių analizuoti krovinių segmentų pelningum</w:t>
            </w:r>
            <w:r>
              <w:t>o.</w:t>
            </w:r>
          </w:p>
          <w:p w14:paraId="1D091ABA" w14:textId="44021D0F" w:rsidR="0068725B" w:rsidRPr="00CC7714" w:rsidRDefault="0068725B" w:rsidP="00CC7714">
            <w:r>
              <w:t xml:space="preserve">Atsižvelgiant į Ryšių reguliavimo tarnybos pateiktus pasiūlymus dėl krovinių ir (ar) keleivių, bagažo, priskirto segmentui, vežimo </w:t>
            </w:r>
            <w:r>
              <w:lastRenderedPageBreak/>
              <w:t xml:space="preserve">įmokos tarifo apskaičiavimo Nutarimo projektu </w:t>
            </w:r>
            <w:r>
              <w:rPr>
                <w:color w:val="000000"/>
                <w:lang w:eastAsia="lt-LT"/>
              </w:rPr>
              <w:t xml:space="preserve">suvienodinti keleivių, bagažo, priskirto segmentui ir krovinių, priskirtų segmentui, įmokos tarifų apskaičiavimo principai ir nustatyta, kad nustatant šiuo tarifus vadovaujamasi faktiniais, o ne planiniais geležinkelio įmonių (vežėjų) veiklos duomenimis. </w:t>
            </w:r>
          </w:p>
        </w:tc>
      </w:tr>
      <w:tr w:rsidR="0068725B" w:rsidRPr="009A66ED" w14:paraId="7E4A4003" w14:textId="77777777" w:rsidTr="0068725B">
        <w:trPr>
          <w:trHeight w:val="418"/>
        </w:trPr>
        <w:tc>
          <w:tcPr>
            <w:tcW w:w="2376" w:type="dxa"/>
            <w:tcBorders>
              <w:top w:val="nil"/>
            </w:tcBorders>
          </w:tcPr>
          <w:p w14:paraId="55E2E646" w14:textId="77777777" w:rsidR="0068725B" w:rsidRPr="009A66ED" w:rsidRDefault="0068725B" w:rsidP="001A3A7D">
            <w:pPr>
              <w:pStyle w:val="Pagrindinistekstas"/>
            </w:pPr>
          </w:p>
        </w:tc>
        <w:tc>
          <w:tcPr>
            <w:tcW w:w="6408" w:type="dxa"/>
          </w:tcPr>
          <w:p w14:paraId="7CA8EB8F" w14:textId="7B84BA7D" w:rsidR="0068725B" w:rsidRDefault="0068725B" w:rsidP="00E708DE">
            <w:pPr>
              <w:pStyle w:val="Betarp"/>
              <w:tabs>
                <w:tab w:val="left" w:pos="1276"/>
              </w:tabs>
              <w:jc w:val="both"/>
              <w:rPr>
                <w:rFonts w:ascii="Times New Roman" w:hAnsi="Times New Roman"/>
                <w:sz w:val="24"/>
                <w:szCs w:val="24"/>
                <w:lang w:eastAsia="ar-SA"/>
              </w:rPr>
            </w:pPr>
            <w:r>
              <w:rPr>
                <w:rFonts w:ascii="Times New Roman" w:hAnsi="Times New Roman"/>
                <w:sz w:val="24"/>
                <w:szCs w:val="24"/>
                <w:lang w:eastAsia="ar-SA"/>
              </w:rPr>
              <w:t>2.4. Nutarimo projekto 2.1.2.1, 2.1.2.4, 2.1.2.6–2.1.2.9 papunkčiuose  nurodytus faktinius duomenis, kuriuos turėtų pateikti geležinkelio įmonės (vežėjai), pilna apimtimi turi arba turimų duomenų pagrindu gali išskaičiuoti valdytojas, todėl reikalavimas šiuos duomenis pateikti geležinkelio įmonėms (vežėjams) yra nepagrįstas ir sukuria papildomą administracinę naštą.</w:t>
            </w:r>
          </w:p>
        </w:tc>
        <w:tc>
          <w:tcPr>
            <w:tcW w:w="6350" w:type="dxa"/>
          </w:tcPr>
          <w:p w14:paraId="4453F4C3" w14:textId="77777777" w:rsidR="0068725B" w:rsidRPr="000C50B2" w:rsidRDefault="0068725B" w:rsidP="001A3A7D">
            <w:pPr>
              <w:pStyle w:val="Pagrindinistekstas"/>
              <w:rPr>
                <w:b/>
                <w:bCs/>
              </w:rPr>
            </w:pPr>
            <w:r w:rsidRPr="000C50B2">
              <w:rPr>
                <w:b/>
                <w:bCs/>
              </w:rPr>
              <w:t>Atsižvelgta iš dalies.</w:t>
            </w:r>
          </w:p>
          <w:p w14:paraId="0DEAAD25" w14:textId="6B80115F" w:rsidR="0068725B" w:rsidRDefault="0068725B" w:rsidP="001A3A7D">
            <w:pPr>
              <w:pStyle w:val="Pagrindinistekstas"/>
            </w:pPr>
            <w:r>
              <w:t xml:space="preserve">Valdytojas Nutarimo projekto </w:t>
            </w:r>
            <w:r>
              <w:rPr>
                <w:lang w:eastAsia="ar-SA"/>
              </w:rPr>
              <w:t xml:space="preserve">2.1.2.4, 2.1.2.6–2.1.2.9 papunkčiuose nurodytų duomenų </w:t>
            </w:r>
            <w:r>
              <w:t xml:space="preserve">nesistemina, todėl neturi ataskaitų ir neturi galimybių apskaičiuoti prašomų duomenų. </w:t>
            </w:r>
          </w:p>
          <w:p w14:paraId="7761CEDF" w14:textId="7F010C86" w:rsidR="0068725B" w:rsidRPr="00647375" w:rsidRDefault="0068725B" w:rsidP="001A3A7D">
            <w:pPr>
              <w:pStyle w:val="Pagrindinistekstas"/>
              <w:rPr>
                <w:b/>
              </w:rPr>
            </w:pPr>
            <w:r>
              <w:t xml:space="preserve">Atsižvelgiant į pastabą atsisakyta Nutarimo projekto </w:t>
            </w:r>
            <w:r>
              <w:rPr>
                <w:lang w:eastAsia="ar-SA"/>
              </w:rPr>
              <w:t>2.1.2.1 papunkčio nuostatų.</w:t>
            </w:r>
          </w:p>
        </w:tc>
      </w:tr>
      <w:tr w:rsidR="00FE1524" w:rsidRPr="009A66ED" w14:paraId="16D17185" w14:textId="77777777" w:rsidTr="00BF292A">
        <w:trPr>
          <w:trHeight w:val="418"/>
        </w:trPr>
        <w:tc>
          <w:tcPr>
            <w:tcW w:w="2376" w:type="dxa"/>
          </w:tcPr>
          <w:p w14:paraId="2D6FA29B" w14:textId="77777777" w:rsidR="00FE1524" w:rsidRPr="009A66ED" w:rsidRDefault="00FE1524" w:rsidP="001A3A7D">
            <w:pPr>
              <w:pStyle w:val="Pagrindinistekstas"/>
            </w:pPr>
            <w:bookmarkStart w:id="1" w:name="_GoBack"/>
            <w:bookmarkEnd w:id="1"/>
          </w:p>
        </w:tc>
        <w:tc>
          <w:tcPr>
            <w:tcW w:w="6408" w:type="dxa"/>
          </w:tcPr>
          <w:p w14:paraId="00455610" w14:textId="59CBAC60" w:rsidR="00FE1524" w:rsidRDefault="00FE1524" w:rsidP="00E708DE">
            <w:pPr>
              <w:pStyle w:val="Betarp"/>
              <w:tabs>
                <w:tab w:val="left" w:pos="1276"/>
              </w:tabs>
              <w:jc w:val="both"/>
              <w:rPr>
                <w:rFonts w:ascii="Times New Roman" w:hAnsi="Times New Roman"/>
                <w:sz w:val="24"/>
                <w:szCs w:val="24"/>
                <w:lang w:eastAsia="ar-SA"/>
              </w:rPr>
            </w:pPr>
            <w:r>
              <w:rPr>
                <w:rFonts w:ascii="Times New Roman" w:hAnsi="Times New Roman"/>
                <w:sz w:val="24"/>
                <w:szCs w:val="24"/>
                <w:lang w:eastAsia="ar-SA"/>
              </w:rPr>
              <w:t xml:space="preserve">2.7.  &lt;...&gt; </w:t>
            </w:r>
            <w:r w:rsidR="00C21E7C">
              <w:rPr>
                <w:rFonts w:ascii="Times New Roman" w:hAnsi="Times New Roman"/>
                <w:sz w:val="24"/>
                <w:szCs w:val="24"/>
                <w:lang w:eastAsia="ar-SA"/>
              </w:rPr>
              <w:t xml:space="preserve"> </w:t>
            </w:r>
            <w:r>
              <w:rPr>
                <w:rFonts w:ascii="Times New Roman" w:hAnsi="Times New Roman"/>
                <w:sz w:val="24"/>
                <w:szCs w:val="24"/>
                <w:lang w:eastAsia="ar-SA"/>
              </w:rPr>
              <w:t>Taisyklių projekto nuostatos, susijusios su  užmokesčio už MPP įmokų tarifų apskaičiavimu, ir jų pagrindu apskaičiuoti nauji užmokesčio už MPP įmokų tarifai, galėtų būti taikome ne anksčiau, nei nuo 2021–2022 m. tarnybinio traukinių tvarkaraščio galiojimo laikotarpio pradžios. Atitinkamai Nutarimo projekto 2.1 papunkčio atsisakytina, o Nutarimo projektas papildytinas nuostata, numatančia vėlesnį Taisyklių projekte įtvirtinamos užmokesčio už MPP įmokų tarifų taikymą, t. y. nuo 2021 –2022 m. tarnybinio traukinių tvarkaraščio galiojimo laikotarpio pra</w:t>
            </w:r>
            <w:r w:rsidR="007D249C">
              <w:rPr>
                <w:rFonts w:ascii="Times New Roman" w:hAnsi="Times New Roman"/>
                <w:sz w:val="24"/>
                <w:szCs w:val="24"/>
                <w:lang w:eastAsia="ar-SA"/>
              </w:rPr>
              <w:t>dž</w:t>
            </w:r>
            <w:r>
              <w:rPr>
                <w:rFonts w:ascii="Times New Roman" w:hAnsi="Times New Roman"/>
                <w:sz w:val="24"/>
                <w:szCs w:val="24"/>
                <w:lang w:eastAsia="ar-SA"/>
              </w:rPr>
              <w:t>ios.</w:t>
            </w:r>
          </w:p>
          <w:p w14:paraId="2EBDE143" w14:textId="57999A3B" w:rsidR="00FE1524" w:rsidRDefault="00FE1524" w:rsidP="00E708DE">
            <w:pPr>
              <w:pStyle w:val="Betarp"/>
              <w:tabs>
                <w:tab w:val="left" w:pos="1276"/>
              </w:tabs>
              <w:jc w:val="both"/>
              <w:rPr>
                <w:rFonts w:ascii="Times New Roman" w:hAnsi="Times New Roman"/>
                <w:sz w:val="24"/>
                <w:szCs w:val="24"/>
                <w:lang w:eastAsia="ar-SA"/>
              </w:rPr>
            </w:pPr>
            <w:r>
              <w:rPr>
                <w:rFonts w:ascii="Times New Roman" w:hAnsi="Times New Roman"/>
                <w:sz w:val="24"/>
                <w:szCs w:val="24"/>
                <w:lang w:eastAsia="ar-SA"/>
              </w:rPr>
              <w:t>Analogiška pastaba taikytina ir Taisyklių projekto nuostatoms, nustatančioms skirtų, tačiau nepanaudotų pajėgumų</w:t>
            </w:r>
            <w:r w:rsidR="001D21A9">
              <w:rPr>
                <w:rFonts w:ascii="Times New Roman" w:hAnsi="Times New Roman"/>
                <w:sz w:val="24"/>
                <w:szCs w:val="24"/>
                <w:lang w:eastAsia="ar-SA"/>
              </w:rPr>
              <w:t>, apmokestinimą.</w:t>
            </w:r>
          </w:p>
        </w:tc>
        <w:tc>
          <w:tcPr>
            <w:tcW w:w="6350" w:type="dxa"/>
          </w:tcPr>
          <w:p w14:paraId="0263359E" w14:textId="77777777" w:rsidR="00FE1524" w:rsidRPr="000C50B2" w:rsidRDefault="00FE1524" w:rsidP="001A3A7D">
            <w:pPr>
              <w:pStyle w:val="Pagrindinistekstas"/>
              <w:rPr>
                <w:b/>
                <w:bCs/>
              </w:rPr>
            </w:pPr>
            <w:r w:rsidRPr="000C50B2">
              <w:rPr>
                <w:b/>
                <w:bCs/>
              </w:rPr>
              <w:t>Atsižvelgta iš dalies.</w:t>
            </w:r>
          </w:p>
          <w:p w14:paraId="2E3D62F2" w14:textId="6745A2ED" w:rsidR="00661FC8" w:rsidRDefault="00E77613" w:rsidP="001A3A7D">
            <w:pPr>
              <w:pStyle w:val="Pagrindinistekstas"/>
            </w:pPr>
            <w:r w:rsidRPr="00E77613">
              <w:t>GTK 25</w:t>
            </w:r>
            <w:r w:rsidRPr="00E77613">
              <w:rPr>
                <w:vertAlign w:val="superscript"/>
              </w:rPr>
              <w:t>2</w:t>
            </w:r>
            <w:r w:rsidRPr="00E77613">
              <w:t xml:space="preserve"> straipsnio nuostatos, nustatančios užmokesčio už skirtus, bet nepanaudotus viešosios geležinkelių infrastruktūros</w:t>
            </w:r>
            <w:r>
              <w:t xml:space="preserve"> pajėgumus</w:t>
            </w:r>
            <w:r w:rsidR="00033598">
              <w:t>, apskaičiavimo</w:t>
            </w:r>
            <w:r w:rsidRPr="00E77613">
              <w:t xml:space="preserve"> principus</w:t>
            </w:r>
            <w:r>
              <w:t xml:space="preserve">, </w:t>
            </w:r>
            <w:r w:rsidRPr="00661FC8">
              <w:rPr>
                <w:u w:val="single"/>
              </w:rPr>
              <w:t xml:space="preserve">buvo priimtos 2018 m. gruodžio </w:t>
            </w:r>
            <w:r w:rsidR="00661FC8" w:rsidRPr="00661FC8">
              <w:rPr>
                <w:u w:val="single"/>
              </w:rPr>
              <w:t>20 d</w:t>
            </w:r>
            <w:r w:rsidRPr="00661FC8">
              <w:rPr>
                <w:u w:val="single"/>
              </w:rPr>
              <w:t>.</w:t>
            </w:r>
            <w:r>
              <w:t xml:space="preserve"> ir įsigaliojo 2019 m. gruodžio 8 d.</w:t>
            </w:r>
            <w:r w:rsidR="00661FC8">
              <w:t xml:space="preserve"> </w:t>
            </w:r>
          </w:p>
          <w:p w14:paraId="2B61E65E" w14:textId="596AAF21" w:rsidR="00E77613" w:rsidRDefault="00661FC8" w:rsidP="001A3A7D">
            <w:pPr>
              <w:pStyle w:val="Pagrindinistekstas"/>
            </w:pPr>
            <w:r>
              <w:t>Taisyklių projekto IV skyriaus nuostatos, detalizuojančios užmokesčio už skirtus, bet nepanaudotus viešosios geležinkelių infrastruktūros pajėgumus, apskaičiavimo ir mokėjimo tvarką būtų taikomo</w:t>
            </w:r>
            <w:r w:rsidR="00033598">
              <w:t>s</w:t>
            </w:r>
            <w:r>
              <w:t xml:space="preserve"> už pareiškėjui 2020–2021 m. tarnybinio traukinių tvarkaraščio ga</w:t>
            </w:r>
            <w:r w:rsidRPr="00661FC8">
              <w:t>liojimo laikotarp</w:t>
            </w:r>
            <w:r w:rsidR="00033598">
              <w:t>iu</w:t>
            </w:r>
            <w:r w:rsidRPr="00661FC8">
              <w:t xml:space="preserve">, kuris prasidės </w:t>
            </w:r>
            <w:r w:rsidRPr="00661FC8">
              <w:rPr>
                <w:u w:val="single"/>
              </w:rPr>
              <w:t>2020 m. gruodžio 12 d.</w:t>
            </w:r>
            <w:r w:rsidR="00144952">
              <w:t>,</w:t>
            </w:r>
            <w:r>
              <w:t xml:space="preserve"> skirtų viešosios geležinkelių infrastruktūros pajėgumų panaudojimą. Pareiškėjui pareiga sumokėti užmokestį už skirtus, bet nepanaudotus viešosios geležinkelių infrastruktūros pajėgumus</w:t>
            </w:r>
            <w:r w:rsidR="00033598">
              <w:t>,</w:t>
            </w:r>
            <w:r>
              <w:t xml:space="preserve"> kiltų tik pasibaigus 2020–2021 m. tarnybiniam traukinių tvarkaraščiui, t. y. </w:t>
            </w:r>
            <w:r w:rsidRPr="00661FC8">
              <w:rPr>
                <w:u w:val="single"/>
              </w:rPr>
              <w:t>2022 m. sausio mėnesį</w:t>
            </w:r>
            <w:r>
              <w:t>.</w:t>
            </w:r>
          </w:p>
          <w:p w14:paraId="45778FB8" w14:textId="5B786888" w:rsidR="00661FC8" w:rsidRPr="00E77613" w:rsidRDefault="00661FC8" w:rsidP="001A3A7D">
            <w:pPr>
              <w:pStyle w:val="Pagrindinistekstas"/>
            </w:pPr>
            <w:r>
              <w:t xml:space="preserve">Atitinkamai manytina, kad </w:t>
            </w:r>
            <w:r w:rsidR="007D249C">
              <w:t>Taisyklių projekto IV skyriaus nuostatas pradėjus taikyti nuo 2020–2021 m. tarnybinio traukinių tvarkaraščio ga</w:t>
            </w:r>
            <w:r w:rsidR="007D249C" w:rsidRPr="00661FC8">
              <w:t xml:space="preserve">liojimo </w:t>
            </w:r>
            <w:r w:rsidR="007D249C">
              <w:t xml:space="preserve">pradžios </w:t>
            </w:r>
            <w:r>
              <w:t>pareiškėjai tur</w:t>
            </w:r>
            <w:r w:rsidR="007D249C">
              <w:t>ės</w:t>
            </w:r>
            <w:r>
              <w:t xml:space="preserve"> pakankamai laiko susipažinti su nauju teisiniu reguliavimu ir teisėti jų lūkesčiai nebus pažeisti</w:t>
            </w:r>
            <w:r w:rsidR="00144952">
              <w:t>, o valstybė galės pradėti taikyti šią viešosios geležinkelių infrastruktūros pajėgumų panaudojimo efektyvumą didinančią priemonę.</w:t>
            </w:r>
          </w:p>
        </w:tc>
      </w:tr>
    </w:tbl>
    <w:p w14:paraId="7ACF690B" w14:textId="1B4F2486" w:rsidR="00A166BC" w:rsidRPr="009A66ED" w:rsidRDefault="00A166BC" w:rsidP="005A145A">
      <w:pPr>
        <w:jc w:val="center"/>
        <w:rPr>
          <w:color w:val="000000"/>
        </w:rPr>
      </w:pPr>
      <w:r w:rsidRPr="009A66ED">
        <w:rPr>
          <w:color w:val="000000"/>
        </w:rPr>
        <w:t>–––––––––––</w:t>
      </w:r>
      <w:r w:rsidR="00191B92">
        <w:rPr>
          <w:color w:val="000000"/>
        </w:rPr>
        <w:t>––––––</w:t>
      </w:r>
    </w:p>
    <w:p w14:paraId="7ACF690C" w14:textId="77777777" w:rsidR="003B5A20" w:rsidRPr="009A66ED" w:rsidRDefault="003B5A20" w:rsidP="008300FE">
      <w:pPr>
        <w:ind w:firstLine="709"/>
        <w:rPr>
          <w:color w:val="000000"/>
        </w:rPr>
      </w:pPr>
    </w:p>
    <w:sectPr w:rsidR="003B5A20" w:rsidRPr="009A66ED" w:rsidSect="007C3404">
      <w:headerReference w:type="even" r:id="rId8"/>
      <w:headerReference w:type="default" r:id="rId9"/>
      <w:pgSz w:w="16838" w:h="11906" w:orient="landscape" w:code="9"/>
      <w:pgMar w:top="851" w:right="678" w:bottom="426"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33154" w14:textId="77777777" w:rsidR="001E2D3E" w:rsidRDefault="001E2D3E">
      <w:r>
        <w:separator/>
      </w:r>
    </w:p>
  </w:endnote>
  <w:endnote w:type="continuationSeparator" w:id="0">
    <w:p w14:paraId="7AA93722" w14:textId="77777777" w:rsidR="001E2D3E" w:rsidRDefault="001E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EE84E" w14:textId="77777777" w:rsidR="001E2D3E" w:rsidRDefault="001E2D3E">
      <w:r>
        <w:separator/>
      </w:r>
    </w:p>
  </w:footnote>
  <w:footnote w:type="continuationSeparator" w:id="0">
    <w:p w14:paraId="57FA7FF8" w14:textId="77777777" w:rsidR="001E2D3E" w:rsidRDefault="001E2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F6911" w14:textId="77777777" w:rsidR="00981FB1" w:rsidRDefault="00981FB1"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CF6912" w14:textId="77777777" w:rsidR="00981FB1" w:rsidRDefault="00981F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F6913" w14:textId="77777777" w:rsidR="00981FB1" w:rsidRDefault="00981FB1"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0230F">
      <w:rPr>
        <w:rStyle w:val="Puslapionumeris"/>
        <w:noProof/>
      </w:rPr>
      <w:t>2</w:t>
    </w:r>
    <w:r>
      <w:rPr>
        <w:rStyle w:val="Puslapionumeris"/>
      </w:rPr>
      <w:fldChar w:fldCharType="end"/>
    </w:r>
  </w:p>
  <w:p w14:paraId="7ACF6914" w14:textId="77777777" w:rsidR="00981FB1" w:rsidRDefault="00981F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38E1F28"/>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3D1B58B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507ED7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41B71E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A1E587B"/>
    <w:multiLevelType w:val="singleLevel"/>
    <w:tmpl w:val="0809000F"/>
    <w:lvl w:ilvl="0">
      <w:start w:val="1"/>
      <w:numFmt w:val="decimal"/>
      <w:lvlText w:val="%1."/>
      <w:lvlJc w:val="left"/>
      <w:pPr>
        <w:tabs>
          <w:tab w:val="num" w:pos="360"/>
        </w:tabs>
        <w:ind w:left="360" w:hanging="360"/>
      </w:pPr>
      <w:rPr>
        <w:rFonts w:hint="default"/>
      </w:rPr>
    </w:lvl>
  </w:abstractNum>
  <w:abstractNum w:abstractNumId="7" w15:restartNumberingAfterBreak="0">
    <w:nsid w:val="0E3F294B"/>
    <w:multiLevelType w:val="hybridMultilevel"/>
    <w:tmpl w:val="B852CEC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0FD16973"/>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10C515EC"/>
    <w:multiLevelType w:val="hybridMultilevel"/>
    <w:tmpl w:val="41581778"/>
    <w:lvl w:ilvl="0" w:tplc="4E5CAF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0D55CD3"/>
    <w:multiLevelType w:val="hybridMultilevel"/>
    <w:tmpl w:val="C9425F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2113A79"/>
    <w:multiLevelType w:val="hybridMultilevel"/>
    <w:tmpl w:val="73E80C34"/>
    <w:lvl w:ilvl="0" w:tplc="51E060EE">
      <w:start w:val="1"/>
      <w:numFmt w:val="decimal"/>
      <w:lvlText w:val="%1."/>
      <w:lvlJc w:val="left"/>
      <w:pPr>
        <w:tabs>
          <w:tab w:val="num" w:pos="1770"/>
        </w:tabs>
        <w:ind w:left="1770" w:hanging="105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121D1A65"/>
    <w:multiLevelType w:val="hybridMultilevel"/>
    <w:tmpl w:val="EB06DB54"/>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13317F20"/>
    <w:multiLevelType w:val="hybridMultilevel"/>
    <w:tmpl w:val="6F160C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13E61572"/>
    <w:multiLevelType w:val="hybridMultilevel"/>
    <w:tmpl w:val="3536AFD2"/>
    <w:lvl w:ilvl="0" w:tplc="7AE62816">
      <w:start w:val="16"/>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16A860BD"/>
    <w:multiLevelType w:val="hybridMultilevel"/>
    <w:tmpl w:val="B638F844"/>
    <w:lvl w:ilvl="0" w:tplc="124676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0B2D45"/>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41576E"/>
    <w:multiLevelType w:val="hybridMultilevel"/>
    <w:tmpl w:val="387AF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E731EC"/>
    <w:multiLevelType w:val="hybridMultilevel"/>
    <w:tmpl w:val="CDE422E4"/>
    <w:lvl w:ilvl="0" w:tplc="C3843D0C">
      <w:start w:val="1"/>
      <w:numFmt w:val="decimal"/>
      <w:lvlText w:val="%1."/>
      <w:lvlJc w:val="left"/>
      <w:pPr>
        <w:tabs>
          <w:tab w:val="num" w:pos="720"/>
        </w:tabs>
        <w:ind w:left="720" w:hanging="360"/>
      </w:pPr>
      <w:rPr>
        <w:rFonts w:hint="default"/>
      </w:rPr>
    </w:lvl>
    <w:lvl w:ilvl="1" w:tplc="5A108E6A" w:tentative="1">
      <w:start w:val="1"/>
      <w:numFmt w:val="lowerLetter"/>
      <w:lvlText w:val="%2."/>
      <w:lvlJc w:val="left"/>
      <w:pPr>
        <w:tabs>
          <w:tab w:val="num" w:pos="1440"/>
        </w:tabs>
        <w:ind w:left="1440" w:hanging="360"/>
      </w:pPr>
    </w:lvl>
    <w:lvl w:ilvl="2" w:tplc="0C929444" w:tentative="1">
      <w:start w:val="1"/>
      <w:numFmt w:val="lowerRoman"/>
      <w:lvlText w:val="%3."/>
      <w:lvlJc w:val="right"/>
      <w:pPr>
        <w:tabs>
          <w:tab w:val="num" w:pos="2160"/>
        </w:tabs>
        <w:ind w:left="2160" w:hanging="180"/>
      </w:pPr>
    </w:lvl>
    <w:lvl w:ilvl="3" w:tplc="6046C874" w:tentative="1">
      <w:start w:val="1"/>
      <w:numFmt w:val="decimal"/>
      <w:lvlText w:val="%4."/>
      <w:lvlJc w:val="left"/>
      <w:pPr>
        <w:tabs>
          <w:tab w:val="num" w:pos="2880"/>
        </w:tabs>
        <w:ind w:left="2880" w:hanging="360"/>
      </w:pPr>
    </w:lvl>
    <w:lvl w:ilvl="4" w:tplc="80547530" w:tentative="1">
      <w:start w:val="1"/>
      <w:numFmt w:val="lowerLetter"/>
      <w:lvlText w:val="%5."/>
      <w:lvlJc w:val="left"/>
      <w:pPr>
        <w:tabs>
          <w:tab w:val="num" w:pos="3600"/>
        </w:tabs>
        <w:ind w:left="3600" w:hanging="360"/>
      </w:pPr>
    </w:lvl>
    <w:lvl w:ilvl="5" w:tplc="4754B54A" w:tentative="1">
      <w:start w:val="1"/>
      <w:numFmt w:val="lowerRoman"/>
      <w:lvlText w:val="%6."/>
      <w:lvlJc w:val="right"/>
      <w:pPr>
        <w:tabs>
          <w:tab w:val="num" w:pos="4320"/>
        </w:tabs>
        <w:ind w:left="4320" w:hanging="180"/>
      </w:pPr>
    </w:lvl>
    <w:lvl w:ilvl="6" w:tplc="60007134" w:tentative="1">
      <w:start w:val="1"/>
      <w:numFmt w:val="decimal"/>
      <w:lvlText w:val="%7."/>
      <w:lvlJc w:val="left"/>
      <w:pPr>
        <w:tabs>
          <w:tab w:val="num" w:pos="5040"/>
        </w:tabs>
        <w:ind w:left="5040" w:hanging="360"/>
      </w:pPr>
    </w:lvl>
    <w:lvl w:ilvl="7" w:tplc="7C6EFB34" w:tentative="1">
      <w:start w:val="1"/>
      <w:numFmt w:val="lowerLetter"/>
      <w:lvlText w:val="%8."/>
      <w:lvlJc w:val="left"/>
      <w:pPr>
        <w:tabs>
          <w:tab w:val="num" w:pos="5760"/>
        </w:tabs>
        <w:ind w:left="5760" w:hanging="360"/>
      </w:pPr>
    </w:lvl>
    <w:lvl w:ilvl="8" w:tplc="B1D6F8C4" w:tentative="1">
      <w:start w:val="1"/>
      <w:numFmt w:val="lowerRoman"/>
      <w:lvlText w:val="%9."/>
      <w:lvlJc w:val="right"/>
      <w:pPr>
        <w:tabs>
          <w:tab w:val="num" w:pos="6480"/>
        </w:tabs>
        <w:ind w:left="6480" w:hanging="180"/>
      </w:pPr>
    </w:lvl>
  </w:abstractNum>
  <w:abstractNum w:abstractNumId="19" w15:restartNumberingAfterBreak="0">
    <w:nsid w:val="24616463"/>
    <w:multiLevelType w:val="hybridMultilevel"/>
    <w:tmpl w:val="7318DDB0"/>
    <w:lvl w:ilvl="0" w:tplc="66C2B32E">
      <w:start w:val="1"/>
      <w:numFmt w:val="decimal"/>
      <w:lvlText w:val="%1."/>
      <w:lvlJc w:val="left"/>
      <w:pPr>
        <w:tabs>
          <w:tab w:val="num" w:pos="252"/>
        </w:tabs>
        <w:ind w:left="252" w:hanging="360"/>
      </w:pPr>
      <w:rPr>
        <w:rFonts w:hint="default"/>
      </w:rPr>
    </w:lvl>
    <w:lvl w:ilvl="1" w:tplc="04270019" w:tentative="1">
      <w:start w:val="1"/>
      <w:numFmt w:val="lowerLetter"/>
      <w:lvlText w:val="%2."/>
      <w:lvlJc w:val="left"/>
      <w:pPr>
        <w:tabs>
          <w:tab w:val="num" w:pos="972"/>
        </w:tabs>
        <w:ind w:left="972" w:hanging="360"/>
      </w:pPr>
    </w:lvl>
    <w:lvl w:ilvl="2" w:tplc="0427001B" w:tentative="1">
      <w:start w:val="1"/>
      <w:numFmt w:val="lowerRoman"/>
      <w:lvlText w:val="%3."/>
      <w:lvlJc w:val="right"/>
      <w:pPr>
        <w:tabs>
          <w:tab w:val="num" w:pos="1692"/>
        </w:tabs>
        <w:ind w:left="1692" w:hanging="180"/>
      </w:pPr>
    </w:lvl>
    <w:lvl w:ilvl="3" w:tplc="0427000F" w:tentative="1">
      <w:start w:val="1"/>
      <w:numFmt w:val="decimal"/>
      <w:lvlText w:val="%4."/>
      <w:lvlJc w:val="left"/>
      <w:pPr>
        <w:tabs>
          <w:tab w:val="num" w:pos="2412"/>
        </w:tabs>
        <w:ind w:left="2412" w:hanging="360"/>
      </w:pPr>
    </w:lvl>
    <w:lvl w:ilvl="4" w:tplc="04270019" w:tentative="1">
      <w:start w:val="1"/>
      <w:numFmt w:val="lowerLetter"/>
      <w:lvlText w:val="%5."/>
      <w:lvlJc w:val="left"/>
      <w:pPr>
        <w:tabs>
          <w:tab w:val="num" w:pos="3132"/>
        </w:tabs>
        <w:ind w:left="3132" w:hanging="360"/>
      </w:pPr>
    </w:lvl>
    <w:lvl w:ilvl="5" w:tplc="0427001B" w:tentative="1">
      <w:start w:val="1"/>
      <w:numFmt w:val="lowerRoman"/>
      <w:lvlText w:val="%6."/>
      <w:lvlJc w:val="right"/>
      <w:pPr>
        <w:tabs>
          <w:tab w:val="num" w:pos="3852"/>
        </w:tabs>
        <w:ind w:left="3852" w:hanging="180"/>
      </w:pPr>
    </w:lvl>
    <w:lvl w:ilvl="6" w:tplc="0427000F" w:tentative="1">
      <w:start w:val="1"/>
      <w:numFmt w:val="decimal"/>
      <w:lvlText w:val="%7."/>
      <w:lvlJc w:val="left"/>
      <w:pPr>
        <w:tabs>
          <w:tab w:val="num" w:pos="4572"/>
        </w:tabs>
        <w:ind w:left="4572" w:hanging="360"/>
      </w:pPr>
    </w:lvl>
    <w:lvl w:ilvl="7" w:tplc="04270019" w:tentative="1">
      <w:start w:val="1"/>
      <w:numFmt w:val="lowerLetter"/>
      <w:lvlText w:val="%8."/>
      <w:lvlJc w:val="left"/>
      <w:pPr>
        <w:tabs>
          <w:tab w:val="num" w:pos="5292"/>
        </w:tabs>
        <w:ind w:left="5292" w:hanging="360"/>
      </w:pPr>
    </w:lvl>
    <w:lvl w:ilvl="8" w:tplc="0427001B" w:tentative="1">
      <w:start w:val="1"/>
      <w:numFmt w:val="lowerRoman"/>
      <w:lvlText w:val="%9."/>
      <w:lvlJc w:val="right"/>
      <w:pPr>
        <w:tabs>
          <w:tab w:val="num" w:pos="6012"/>
        </w:tabs>
        <w:ind w:left="6012" w:hanging="180"/>
      </w:pPr>
    </w:lvl>
  </w:abstractNum>
  <w:abstractNum w:abstractNumId="20" w15:restartNumberingAfterBreak="0">
    <w:nsid w:val="25B67668"/>
    <w:multiLevelType w:val="hybridMultilevel"/>
    <w:tmpl w:val="41ACAE78"/>
    <w:lvl w:ilvl="0" w:tplc="1D1E4E82">
      <w:start w:val="1"/>
      <w:numFmt w:val="decimal"/>
      <w:lvlText w:val="%1."/>
      <w:lvlJc w:val="left"/>
      <w:pPr>
        <w:tabs>
          <w:tab w:val="num" w:pos="1819"/>
        </w:tabs>
        <w:ind w:left="1819" w:hanging="111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1" w15:restartNumberingAfterBreak="0">
    <w:nsid w:val="26110404"/>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72F01A1"/>
    <w:multiLevelType w:val="hybridMultilevel"/>
    <w:tmpl w:val="7632CF30"/>
    <w:lvl w:ilvl="0" w:tplc="CEA4F4C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ACE6768"/>
    <w:multiLevelType w:val="hybridMultilevel"/>
    <w:tmpl w:val="B9DEF27C"/>
    <w:lvl w:ilvl="0" w:tplc="0427000F">
      <w:start w:val="1"/>
      <w:numFmt w:val="decimal"/>
      <w:lvlText w:val="%1."/>
      <w:lvlJc w:val="left"/>
      <w:pPr>
        <w:ind w:left="928"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2C65583C"/>
    <w:multiLevelType w:val="hybridMultilevel"/>
    <w:tmpl w:val="05EC72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A6E5E6A"/>
    <w:multiLevelType w:val="multilevel"/>
    <w:tmpl w:val="7FD21E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BD33F15"/>
    <w:multiLevelType w:val="hybridMultilevel"/>
    <w:tmpl w:val="EC40FFD2"/>
    <w:lvl w:ilvl="0" w:tplc="04270011">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3BFB5997"/>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3E7B3CA2"/>
    <w:multiLevelType w:val="multilevel"/>
    <w:tmpl w:val="B1E4261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B746353"/>
    <w:multiLevelType w:val="hybridMultilevel"/>
    <w:tmpl w:val="404289AA"/>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0" w15:restartNumberingAfterBreak="0">
    <w:nsid w:val="4D5D28BE"/>
    <w:multiLevelType w:val="singleLevel"/>
    <w:tmpl w:val="0809000F"/>
    <w:lvl w:ilvl="0">
      <w:start w:val="1"/>
      <w:numFmt w:val="decimal"/>
      <w:lvlText w:val="%1."/>
      <w:lvlJc w:val="left"/>
      <w:pPr>
        <w:tabs>
          <w:tab w:val="num" w:pos="360"/>
        </w:tabs>
        <w:ind w:left="360" w:hanging="360"/>
      </w:pPr>
      <w:rPr>
        <w:rFonts w:hint="default"/>
      </w:rPr>
    </w:lvl>
  </w:abstractNum>
  <w:abstractNum w:abstractNumId="31" w15:restartNumberingAfterBreak="0">
    <w:nsid w:val="4D935010"/>
    <w:multiLevelType w:val="multilevel"/>
    <w:tmpl w:val="98129A4A"/>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2" w15:restartNumberingAfterBreak="0">
    <w:nsid w:val="4E0B39E4"/>
    <w:multiLevelType w:val="hybridMultilevel"/>
    <w:tmpl w:val="BAD89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0A51A3"/>
    <w:multiLevelType w:val="multilevel"/>
    <w:tmpl w:val="1E029DB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371121"/>
    <w:multiLevelType w:val="multilevel"/>
    <w:tmpl w:val="B1E4261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61671F7"/>
    <w:multiLevelType w:val="hybridMultilevel"/>
    <w:tmpl w:val="0A14ED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F207B8"/>
    <w:multiLevelType w:val="hybridMultilevel"/>
    <w:tmpl w:val="BA6A189A"/>
    <w:lvl w:ilvl="0" w:tplc="66C2B3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8"/>
  </w:num>
  <w:num w:numId="3">
    <w:abstractNumId w:val="27"/>
  </w:num>
  <w:num w:numId="4">
    <w:abstractNumId w:val="30"/>
  </w:num>
  <w:num w:numId="5">
    <w:abstractNumId w:val="6"/>
  </w:num>
  <w:num w:numId="6">
    <w:abstractNumId w:val="25"/>
  </w:num>
  <w:num w:numId="7">
    <w:abstractNumId w:val="34"/>
  </w:num>
  <w:num w:numId="8">
    <w:abstractNumId w:val="28"/>
  </w:num>
  <w:num w:numId="9">
    <w:abstractNumId w:val="32"/>
  </w:num>
  <w:num w:numId="10">
    <w:abstractNumId w:val="19"/>
  </w:num>
  <w:num w:numId="11">
    <w:abstractNumId w:val="36"/>
  </w:num>
  <w:num w:numId="12">
    <w:abstractNumId w:val="12"/>
  </w:num>
  <w:num w:numId="13">
    <w:abstractNumId w:val="26"/>
  </w:num>
  <w:num w:numId="14">
    <w:abstractNumId w:val="11"/>
  </w:num>
  <w:num w:numId="15">
    <w:abstractNumId w:val="14"/>
  </w:num>
  <w:num w:numId="16">
    <w:abstractNumId w:val="20"/>
  </w:num>
  <w:num w:numId="17">
    <w:abstractNumId w:val="10"/>
  </w:num>
  <w:num w:numId="18">
    <w:abstractNumId w:val="23"/>
  </w:num>
  <w:num w:numId="19">
    <w:abstractNumId w:val="13"/>
  </w:num>
  <w:num w:numId="20">
    <w:abstractNumId w:val="7"/>
  </w:num>
  <w:num w:numId="21">
    <w:abstractNumId w:val="29"/>
  </w:num>
  <w:num w:numId="22">
    <w:abstractNumId w:val="9"/>
  </w:num>
  <w:num w:numId="23">
    <w:abstractNumId w:val="17"/>
  </w:num>
  <w:num w:numId="24">
    <w:abstractNumId w:val="33"/>
  </w:num>
  <w:num w:numId="25">
    <w:abstractNumId w:val="16"/>
  </w:num>
  <w:num w:numId="26">
    <w:abstractNumId w:val="21"/>
  </w:num>
  <w:num w:numId="27">
    <w:abstractNumId w:val="15"/>
  </w:num>
  <w:num w:numId="28">
    <w:abstractNumId w:val="0"/>
  </w:num>
  <w:num w:numId="29">
    <w:abstractNumId w:val="1"/>
  </w:num>
  <w:num w:numId="30">
    <w:abstractNumId w:val="2"/>
  </w:num>
  <w:num w:numId="31">
    <w:abstractNumId w:val="3"/>
  </w:num>
  <w:num w:numId="32">
    <w:abstractNumId w:val="4"/>
  </w:num>
  <w:num w:numId="33">
    <w:abstractNumId w:val="5"/>
  </w:num>
  <w:num w:numId="34">
    <w:abstractNumId w:val="31"/>
  </w:num>
  <w:num w:numId="35">
    <w:abstractNumId w:val="35"/>
  </w:num>
  <w:num w:numId="36">
    <w:abstractNumId w:val="24"/>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44"/>
    <w:rsid w:val="00004D6C"/>
    <w:rsid w:val="00005CD1"/>
    <w:rsid w:val="00024F69"/>
    <w:rsid w:val="000265C2"/>
    <w:rsid w:val="00027ACD"/>
    <w:rsid w:val="00033598"/>
    <w:rsid w:val="00037759"/>
    <w:rsid w:val="00044D01"/>
    <w:rsid w:val="00046D91"/>
    <w:rsid w:val="0004733D"/>
    <w:rsid w:val="00061B80"/>
    <w:rsid w:val="00063382"/>
    <w:rsid w:val="0006368F"/>
    <w:rsid w:val="0006701F"/>
    <w:rsid w:val="00067C37"/>
    <w:rsid w:val="00071A94"/>
    <w:rsid w:val="00074792"/>
    <w:rsid w:val="00083A64"/>
    <w:rsid w:val="000862E4"/>
    <w:rsid w:val="0009096E"/>
    <w:rsid w:val="000A2B07"/>
    <w:rsid w:val="000A389C"/>
    <w:rsid w:val="000A506F"/>
    <w:rsid w:val="000A7E1D"/>
    <w:rsid w:val="000B1019"/>
    <w:rsid w:val="000B3F84"/>
    <w:rsid w:val="000C0365"/>
    <w:rsid w:val="000C2766"/>
    <w:rsid w:val="000C4DA4"/>
    <w:rsid w:val="000C50B2"/>
    <w:rsid w:val="000C5252"/>
    <w:rsid w:val="000D21B8"/>
    <w:rsid w:val="000D4268"/>
    <w:rsid w:val="000D68B1"/>
    <w:rsid w:val="000D750F"/>
    <w:rsid w:val="000E0F7E"/>
    <w:rsid w:val="000E1F2A"/>
    <w:rsid w:val="000E4866"/>
    <w:rsid w:val="000F13CF"/>
    <w:rsid w:val="001021C9"/>
    <w:rsid w:val="0011097D"/>
    <w:rsid w:val="001110F4"/>
    <w:rsid w:val="00125819"/>
    <w:rsid w:val="00130284"/>
    <w:rsid w:val="00130EB9"/>
    <w:rsid w:val="00132B68"/>
    <w:rsid w:val="001344E4"/>
    <w:rsid w:val="0013464E"/>
    <w:rsid w:val="00142D89"/>
    <w:rsid w:val="00144952"/>
    <w:rsid w:val="00153459"/>
    <w:rsid w:val="001555B9"/>
    <w:rsid w:val="001635CF"/>
    <w:rsid w:val="001638EF"/>
    <w:rsid w:val="00167063"/>
    <w:rsid w:val="00167465"/>
    <w:rsid w:val="00171199"/>
    <w:rsid w:val="00174D9D"/>
    <w:rsid w:val="00175048"/>
    <w:rsid w:val="0017534E"/>
    <w:rsid w:val="00187EA9"/>
    <w:rsid w:val="00190F93"/>
    <w:rsid w:val="00191B92"/>
    <w:rsid w:val="00194F30"/>
    <w:rsid w:val="0019565A"/>
    <w:rsid w:val="001A1B4E"/>
    <w:rsid w:val="001A3A7D"/>
    <w:rsid w:val="001A3B52"/>
    <w:rsid w:val="001A4A99"/>
    <w:rsid w:val="001A4F49"/>
    <w:rsid w:val="001A5F3C"/>
    <w:rsid w:val="001B16D9"/>
    <w:rsid w:val="001B6A1E"/>
    <w:rsid w:val="001B6A8F"/>
    <w:rsid w:val="001C0CCE"/>
    <w:rsid w:val="001C5C94"/>
    <w:rsid w:val="001D0754"/>
    <w:rsid w:val="001D08AD"/>
    <w:rsid w:val="001D21A9"/>
    <w:rsid w:val="001D2481"/>
    <w:rsid w:val="001E0163"/>
    <w:rsid w:val="001E10CA"/>
    <w:rsid w:val="001E2D3E"/>
    <w:rsid w:val="001E2F1F"/>
    <w:rsid w:val="001E3346"/>
    <w:rsid w:val="001E4DD5"/>
    <w:rsid w:val="001F2E10"/>
    <w:rsid w:val="00200C60"/>
    <w:rsid w:val="00215C38"/>
    <w:rsid w:val="00216734"/>
    <w:rsid w:val="00224505"/>
    <w:rsid w:val="00224D54"/>
    <w:rsid w:val="00224E2B"/>
    <w:rsid w:val="00231434"/>
    <w:rsid w:val="00234FC7"/>
    <w:rsid w:val="00242E16"/>
    <w:rsid w:val="00250CDB"/>
    <w:rsid w:val="0025224A"/>
    <w:rsid w:val="002543CC"/>
    <w:rsid w:val="002633BF"/>
    <w:rsid w:val="00264453"/>
    <w:rsid w:val="00266D65"/>
    <w:rsid w:val="002804C5"/>
    <w:rsid w:val="0028188B"/>
    <w:rsid w:val="00292C13"/>
    <w:rsid w:val="002A5465"/>
    <w:rsid w:val="002C247C"/>
    <w:rsid w:val="002C69D8"/>
    <w:rsid w:val="002C6E44"/>
    <w:rsid w:val="002D6369"/>
    <w:rsid w:val="002D7852"/>
    <w:rsid w:val="002E0CCE"/>
    <w:rsid w:val="002E0DBF"/>
    <w:rsid w:val="00300E4A"/>
    <w:rsid w:val="0030269B"/>
    <w:rsid w:val="003026B8"/>
    <w:rsid w:val="00304EAB"/>
    <w:rsid w:val="0030560E"/>
    <w:rsid w:val="00313693"/>
    <w:rsid w:val="003147A5"/>
    <w:rsid w:val="00320919"/>
    <w:rsid w:val="00320AD8"/>
    <w:rsid w:val="00324E7C"/>
    <w:rsid w:val="00326021"/>
    <w:rsid w:val="003276DE"/>
    <w:rsid w:val="00330378"/>
    <w:rsid w:val="00346908"/>
    <w:rsid w:val="003503CF"/>
    <w:rsid w:val="00364EFF"/>
    <w:rsid w:val="00366809"/>
    <w:rsid w:val="003669FD"/>
    <w:rsid w:val="00376462"/>
    <w:rsid w:val="003803B1"/>
    <w:rsid w:val="00382E49"/>
    <w:rsid w:val="00387BE2"/>
    <w:rsid w:val="00387F30"/>
    <w:rsid w:val="00393F53"/>
    <w:rsid w:val="003A0C4B"/>
    <w:rsid w:val="003A20EC"/>
    <w:rsid w:val="003A3E20"/>
    <w:rsid w:val="003B5A20"/>
    <w:rsid w:val="003D4CF0"/>
    <w:rsid w:val="003D5651"/>
    <w:rsid w:val="003D7817"/>
    <w:rsid w:val="003E527D"/>
    <w:rsid w:val="003E6461"/>
    <w:rsid w:val="003F12FB"/>
    <w:rsid w:val="003F174F"/>
    <w:rsid w:val="003F3F89"/>
    <w:rsid w:val="003F5354"/>
    <w:rsid w:val="004107AB"/>
    <w:rsid w:val="00410FF9"/>
    <w:rsid w:val="00413138"/>
    <w:rsid w:val="0041366D"/>
    <w:rsid w:val="0041631D"/>
    <w:rsid w:val="0041719F"/>
    <w:rsid w:val="00437F20"/>
    <w:rsid w:val="004447B5"/>
    <w:rsid w:val="00451DC1"/>
    <w:rsid w:val="00452BAE"/>
    <w:rsid w:val="004601A1"/>
    <w:rsid w:val="00460B0C"/>
    <w:rsid w:val="0047489D"/>
    <w:rsid w:val="00492F41"/>
    <w:rsid w:val="00494A16"/>
    <w:rsid w:val="004978EF"/>
    <w:rsid w:val="004A1E16"/>
    <w:rsid w:val="004A5235"/>
    <w:rsid w:val="004A6ADD"/>
    <w:rsid w:val="004A71A7"/>
    <w:rsid w:val="004B4F31"/>
    <w:rsid w:val="004C17EC"/>
    <w:rsid w:val="004C62A0"/>
    <w:rsid w:val="004C7A4A"/>
    <w:rsid w:val="004E68E1"/>
    <w:rsid w:val="004F1536"/>
    <w:rsid w:val="00500379"/>
    <w:rsid w:val="00504A44"/>
    <w:rsid w:val="00510B57"/>
    <w:rsid w:val="00515F8A"/>
    <w:rsid w:val="00516615"/>
    <w:rsid w:val="00526205"/>
    <w:rsid w:val="00545768"/>
    <w:rsid w:val="00546080"/>
    <w:rsid w:val="005528D7"/>
    <w:rsid w:val="005613DD"/>
    <w:rsid w:val="00566BE8"/>
    <w:rsid w:val="005711F4"/>
    <w:rsid w:val="00573E43"/>
    <w:rsid w:val="00580864"/>
    <w:rsid w:val="00586BF1"/>
    <w:rsid w:val="00590B1E"/>
    <w:rsid w:val="00593BA6"/>
    <w:rsid w:val="005A145A"/>
    <w:rsid w:val="005A2C96"/>
    <w:rsid w:val="005A2EE7"/>
    <w:rsid w:val="005A76E9"/>
    <w:rsid w:val="005A7D0C"/>
    <w:rsid w:val="005B44DC"/>
    <w:rsid w:val="005B45CB"/>
    <w:rsid w:val="005B6C01"/>
    <w:rsid w:val="005C1A43"/>
    <w:rsid w:val="005C48F7"/>
    <w:rsid w:val="005E5C17"/>
    <w:rsid w:val="005E68FF"/>
    <w:rsid w:val="005F527D"/>
    <w:rsid w:val="005F7F45"/>
    <w:rsid w:val="00601DF3"/>
    <w:rsid w:val="00604C6E"/>
    <w:rsid w:val="00611C68"/>
    <w:rsid w:val="00611DCE"/>
    <w:rsid w:val="00613ACF"/>
    <w:rsid w:val="00614E0A"/>
    <w:rsid w:val="006239CC"/>
    <w:rsid w:val="00625121"/>
    <w:rsid w:val="00627629"/>
    <w:rsid w:val="006312B0"/>
    <w:rsid w:val="006328EE"/>
    <w:rsid w:val="00633D9F"/>
    <w:rsid w:val="006359F4"/>
    <w:rsid w:val="00647375"/>
    <w:rsid w:val="00653370"/>
    <w:rsid w:val="00661FC8"/>
    <w:rsid w:val="00664715"/>
    <w:rsid w:val="00664918"/>
    <w:rsid w:val="00666C05"/>
    <w:rsid w:val="00672ADD"/>
    <w:rsid w:val="00675F41"/>
    <w:rsid w:val="006769DA"/>
    <w:rsid w:val="0068261D"/>
    <w:rsid w:val="00683CDC"/>
    <w:rsid w:val="0068725B"/>
    <w:rsid w:val="0069206C"/>
    <w:rsid w:val="006926C0"/>
    <w:rsid w:val="00694605"/>
    <w:rsid w:val="00694E27"/>
    <w:rsid w:val="00695291"/>
    <w:rsid w:val="00695CFB"/>
    <w:rsid w:val="0069750A"/>
    <w:rsid w:val="006A11EF"/>
    <w:rsid w:val="006A2D34"/>
    <w:rsid w:val="006A6037"/>
    <w:rsid w:val="006B204C"/>
    <w:rsid w:val="006C2A7A"/>
    <w:rsid w:val="006C455B"/>
    <w:rsid w:val="006C516C"/>
    <w:rsid w:val="006D158A"/>
    <w:rsid w:val="006D19D6"/>
    <w:rsid w:val="006D66CF"/>
    <w:rsid w:val="006E4493"/>
    <w:rsid w:val="006E75F3"/>
    <w:rsid w:val="006E7844"/>
    <w:rsid w:val="006F7C21"/>
    <w:rsid w:val="00701E42"/>
    <w:rsid w:val="00702705"/>
    <w:rsid w:val="00704AD4"/>
    <w:rsid w:val="00714025"/>
    <w:rsid w:val="00721BCD"/>
    <w:rsid w:val="007221FE"/>
    <w:rsid w:val="00726541"/>
    <w:rsid w:val="007303DB"/>
    <w:rsid w:val="007443CD"/>
    <w:rsid w:val="00747C3D"/>
    <w:rsid w:val="007534F1"/>
    <w:rsid w:val="0076017B"/>
    <w:rsid w:val="007610BE"/>
    <w:rsid w:val="007731A7"/>
    <w:rsid w:val="00780514"/>
    <w:rsid w:val="007820E1"/>
    <w:rsid w:val="00786E79"/>
    <w:rsid w:val="00791A09"/>
    <w:rsid w:val="00792611"/>
    <w:rsid w:val="00793168"/>
    <w:rsid w:val="0079518D"/>
    <w:rsid w:val="00795CA3"/>
    <w:rsid w:val="00796C3C"/>
    <w:rsid w:val="007A1CFA"/>
    <w:rsid w:val="007A3DB4"/>
    <w:rsid w:val="007A4734"/>
    <w:rsid w:val="007B0C4E"/>
    <w:rsid w:val="007B10B5"/>
    <w:rsid w:val="007B319E"/>
    <w:rsid w:val="007B421E"/>
    <w:rsid w:val="007B576E"/>
    <w:rsid w:val="007B58BF"/>
    <w:rsid w:val="007C2026"/>
    <w:rsid w:val="007C3404"/>
    <w:rsid w:val="007C6EB3"/>
    <w:rsid w:val="007D10C6"/>
    <w:rsid w:val="007D249C"/>
    <w:rsid w:val="007D3C56"/>
    <w:rsid w:val="007D5815"/>
    <w:rsid w:val="007E25DF"/>
    <w:rsid w:val="007E2D61"/>
    <w:rsid w:val="007E4497"/>
    <w:rsid w:val="007E4DD4"/>
    <w:rsid w:val="007F1602"/>
    <w:rsid w:val="007F52D9"/>
    <w:rsid w:val="007F5F6A"/>
    <w:rsid w:val="00801A75"/>
    <w:rsid w:val="00803FB0"/>
    <w:rsid w:val="0080656B"/>
    <w:rsid w:val="00807A82"/>
    <w:rsid w:val="00807F98"/>
    <w:rsid w:val="00813DF1"/>
    <w:rsid w:val="008176AA"/>
    <w:rsid w:val="008300FE"/>
    <w:rsid w:val="00831C17"/>
    <w:rsid w:val="00833F92"/>
    <w:rsid w:val="00853AA3"/>
    <w:rsid w:val="0086169A"/>
    <w:rsid w:val="00861883"/>
    <w:rsid w:val="00861FDA"/>
    <w:rsid w:val="00862F4E"/>
    <w:rsid w:val="00865297"/>
    <w:rsid w:val="00866C0F"/>
    <w:rsid w:val="008673C6"/>
    <w:rsid w:val="00877EA6"/>
    <w:rsid w:val="008812F1"/>
    <w:rsid w:val="0088290B"/>
    <w:rsid w:val="0088607C"/>
    <w:rsid w:val="00887820"/>
    <w:rsid w:val="00890903"/>
    <w:rsid w:val="00893E97"/>
    <w:rsid w:val="008A3D69"/>
    <w:rsid w:val="008A6F68"/>
    <w:rsid w:val="008B372F"/>
    <w:rsid w:val="008C2582"/>
    <w:rsid w:val="008C2E2D"/>
    <w:rsid w:val="008C4E9E"/>
    <w:rsid w:val="008C6DCE"/>
    <w:rsid w:val="008D30CF"/>
    <w:rsid w:val="008D7977"/>
    <w:rsid w:val="008E065E"/>
    <w:rsid w:val="008E34FD"/>
    <w:rsid w:val="008E5687"/>
    <w:rsid w:val="008E7F94"/>
    <w:rsid w:val="008F131F"/>
    <w:rsid w:val="00903162"/>
    <w:rsid w:val="009042C4"/>
    <w:rsid w:val="00905574"/>
    <w:rsid w:val="00905AFD"/>
    <w:rsid w:val="009109CB"/>
    <w:rsid w:val="00911ED8"/>
    <w:rsid w:val="00922B2F"/>
    <w:rsid w:val="0093268D"/>
    <w:rsid w:val="009433B1"/>
    <w:rsid w:val="00950F01"/>
    <w:rsid w:val="00956FC3"/>
    <w:rsid w:val="009577FB"/>
    <w:rsid w:val="0096388F"/>
    <w:rsid w:val="00963B50"/>
    <w:rsid w:val="0096468E"/>
    <w:rsid w:val="00971AF6"/>
    <w:rsid w:val="00972A36"/>
    <w:rsid w:val="00973FDE"/>
    <w:rsid w:val="00981FB1"/>
    <w:rsid w:val="00993670"/>
    <w:rsid w:val="00994B68"/>
    <w:rsid w:val="00995FAE"/>
    <w:rsid w:val="009A5A2F"/>
    <w:rsid w:val="009A66ED"/>
    <w:rsid w:val="009B5526"/>
    <w:rsid w:val="009B617C"/>
    <w:rsid w:val="009B694A"/>
    <w:rsid w:val="009B7A42"/>
    <w:rsid w:val="009D0C11"/>
    <w:rsid w:val="009D1C4A"/>
    <w:rsid w:val="009D35D5"/>
    <w:rsid w:val="009D3A69"/>
    <w:rsid w:val="009D6305"/>
    <w:rsid w:val="009E1F93"/>
    <w:rsid w:val="009F14C0"/>
    <w:rsid w:val="009F2EA4"/>
    <w:rsid w:val="009F54AA"/>
    <w:rsid w:val="00A057CD"/>
    <w:rsid w:val="00A1550B"/>
    <w:rsid w:val="00A166BC"/>
    <w:rsid w:val="00A24EB9"/>
    <w:rsid w:val="00A268B5"/>
    <w:rsid w:val="00A305A9"/>
    <w:rsid w:val="00A31EFB"/>
    <w:rsid w:val="00A47109"/>
    <w:rsid w:val="00A47953"/>
    <w:rsid w:val="00A50F09"/>
    <w:rsid w:val="00A51696"/>
    <w:rsid w:val="00A52582"/>
    <w:rsid w:val="00A56ED7"/>
    <w:rsid w:val="00A61DEF"/>
    <w:rsid w:val="00A64A50"/>
    <w:rsid w:val="00A66A39"/>
    <w:rsid w:val="00A75A3F"/>
    <w:rsid w:val="00A84132"/>
    <w:rsid w:val="00A87F2F"/>
    <w:rsid w:val="00A92639"/>
    <w:rsid w:val="00A93725"/>
    <w:rsid w:val="00A96D13"/>
    <w:rsid w:val="00AA0DC5"/>
    <w:rsid w:val="00AA6ABD"/>
    <w:rsid w:val="00AB2197"/>
    <w:rsid w:val="00AB2BE3"/>
    <w:rsid w:val="00AB3C6A"/>
    <w:rsid w:val="00AB4373"/>
    <w:rsid w:val="00AB4577"/>
    <w:rsid w:val="00AC2D32"/>
    <w:rsid w:val="00AC32FF"/>
    <w:rsid w:val="00AC35D5"/>
    <w:rsid w:val="00AD5C4C"/>
    <w:rsid w:val="00AE236E"/>
    <w:rsid w:val="00AE3488"/>
    <w:rsid w:val="00AF28FB"/>
    <w:rsid w:val="00AF3E79"/>
    <w:rsid w:val="00AF4364"/>
    <w:rsid w:val="00AF5225"/>
    <w:rsid w:val="00B057D7"/>
    <w:rsid w:val="00B05BF8"/>
    <w:rsid w:val="00B063DB"/>
    <w:rsid w:val="00B07103"/>
    <w:rsid w:val="00B1325B"/>
    <w:rsid w:val="00B15063"/>
    <w:rsid w:val="00B152D4"/>
    <w:rsid w:val="00B1754C"/>
    <w:rsid w:val="00B23BB6"/>
    <w:rsid w:val="00B32529"/>
    <w:rsid w:val="00B34C5D"/>
    <w:rsid w:val="00B351BD"/>
    <w:rsid w:val="00B401A7"/>
    <w:rsid w:val="00B5051B"/>
    <w:rsid w:val="00B62259"/>
    <w:rsid w:val="00B6441D"/>
    <w:rsid w:val="00B65616"/>
    <w:rsid w:val="00B77592"/>
    <w:rsid w:val="00B846C1"/>
    <w:rsid w:val="00B908A3"/>
    <w:rsid w:val="00B95EC9"/>
    <w:rsid w:val="00BA18F1"/>
    <w:rsid w:val="00BA3736"/>
    <w:rsid w:val="00BA4D62"/>
    <w:rsid w:val="00BA61CF"/>
    <w:rsid w:val="00BA6ED8"/>
    <w:rsid w:val="00BB03CD"/>
    <w:rsid w:val="00BB3ABF"/>
    <w:rsid w:val="00BB3C5F"/>
    <w:rsid w:val="00BC028E"/>
    <w:rsid w:val="00BC68FC"/>
    <w:rsid w:val="00BC69E3"/>
    <w:rsid w:val="00BD74A5"/>
    <w:rsid w:val="00BD7C59"/>
    <w:rsid w:val="00BE66FB"/>
    <w:rsid w:val="00BF292A"/>
    <w:rsid w:val="00BF4A25"/>
    <w:rsid w:val="00BF67DB"/>
    <w:rsid w:val="00C013BF"/>
    <w:rsid w:val="00C0230F"/>
    <w:rsid w:val="00C0329E"/>
    <w:rsid w:val="00C059E5"/>
    <w:rsid w:val="00C105F1"/>
    <w:rsid w:val="00C174CB"/>
    <w:rsid w:val="00C2021E"/>
    <w:rsid w:val="00C21E7C"/>
    <w:rsid w:val="00C25C84"/>
    <w:rsid w:val="00C31652"/>
    <w:rsid w:val="00C33530"/>
    <w:rsid w:val="00C34563"/>
    <w:rsid w:val="00C37BC3"/>
    <w:rsid w:val="00C57E2C"/>
    <w:rsid w:val="00C623BB"/>
    <w:rsid w:val="00C62BDC"/>
    <w:rsid w:val="00C644B4"/>
    <w:rsid w:val="00C766B5"/>
    <w:rsid w:val="00C77251"/>
    <w:rsid w:val="00C813EB"/>
    <w:rsid w:val="00C87DEC"/>
    <w:rsid w:val="00C92A6B"/>
    <w:rsid w:val="00C95809"/>
    <w:rsid w:val="00C96BC9"/>
    <w:rsid w:val="00CA1235"/>
    <w:rsid w:val="00CA1CBA"/>
    <w:rsid w:val="00CA2375"/>
    <w:rsid w:val="00CB5CAF"/>
    <w:rsid w:val="00CC01BA"/>
    <w:rsid w:val="00CC4234"/>
    <w:rsid w:val="00CC7714"/>
    <w:rsid w:val="00CD0C23"/>
    <w:rsid w:val="00CD4AFC"/>
    <w:rsid w:val="00CD69BE"/>
    <w:rsid w:val="00CD6DC5"/>
    <w:rsid w:val="00CE591F"/>
    <w:rsid w:val="00CF0F58"/>
    <w:rsid w:val="00CF43D5"/>
    <w:rsid w:val="00CF7349"/>
    <w:rsid w:val="00CF74DB"/>
    <w:rsid w:val="00D01C2D"/>
    <w:rsid w:val="00D14E20"/>
    <w:rsid w:val="00D177F0"/>
    <w:rsid w:val="00D23398"/>
    <w:rsid w:val="00D33996"/>
    <w:rsid w:val="00D413F1"/>
    <w:rsid w:val="00D41508"/>
    <w:rsid w:val="00D43561"/>
    <w:rsid w:val="00D5210F"/>
    <w:rsid w:val="00D6022E"/>
    <w:rsid w:val="00D6462F"/>
    <w:rsid w:val="00D64CD9"/>
    <w:rsid w:val="00D66412"/>
    <w:rsid w:val="00D674F2"/>
    <w:rsid w:val="00D71731"/>
    <w:rsid w:val="00D77053"/>
    <w:rsid w:val="00D81FF0"/>
    <w:rsid w:val="00D83CBB"/>
    <w:rsid w:val="00D86CD5"/>
    <w:rsid w:val="00D91517"/>
    <w:rsid w:val="00D965DD"/>
    <w:rsid w:val="00D974C3"/>
    <w:rsid w:val="00DA0B12"/>
    <w:rsid w:val="00DA339A"/>
    <w:rsid w:val="00DA5C61"/>
    <w:rsid w:val="00DB3CF8"/>
    <w:rsid w:val="00DB65A5"/>
    <w:rsid w:val="00DB7A33"/>
    <w:rsid w:val="00DC0CD9"/>
    <w:rsid w:val="00DC4E10"/>
    <w:rsid w:val="00DC550C"/>
    <w:rsid w:val="00DD04ED"/>
    <w:rsid w:val="00DD3C50"/>
    <w:rsid w:val="00DE0109"/>
    <w:rsid w:val="00DE16FB"/>
    <w:rsid w:val="00DF2062"/>
    <w:rsid w:val="00DF38DB"/>
    <w:rsid w:val="00DF5AA6"/>
    <w:rsid w:val="00E00D2B"/>
    <w:rsid w:val="00E04D27"/>
    <w:rsid w:val="00E07958"/>
    <w:rsid w:val="00E34987"/>
    <w:rsid w:val="00E35F8F"/>
    <w:rsid w:val="00E36D4D"/>
    <w:rsid w:val="00E37EB2"/>
    <w:rsid w:val="00E37F92"/>
    <w:rsid w:val="00E41E13"/>
    <w:rsid w:val="00E41F0C"/>
    <w:rsid w:val="00E424E3"/>
    <w:rsid w:val="00E50363"/>
    <w:rsid w:val="00E51B7A"/>
    <w:rsid w:val="00E6085D"/>
    <w:rsid w:val="00E623BC"/>
    <w:rsid w:val="00E629C2"/>
    <w:rsid w:val="00E708DE"/>
    <w:rsid w:val="00E71DEE"/>
    <w:rsid w:val="00E73425"/>
    <w:rsid w:val="00E77613"/>
    <w:rsid w:val="00E8749F"/>
    <w:rsid w:val="00E9143E"/>
    <w:rsid w:val="00E915CA"/>
    <w:rsid w:val="00E93933"/>
    <w:rsid w:val="00E93A68"/>
    <w:rsid w:val="00E96E87"/>
    <w:rsid w:val="00EA1F21"/>
    <w:rsid w:val="00EA6F03"/>
    <w:rsid w:val="00EB3368"/>
    <w:rsid w:val="00EB3859"/>
    <w:rsid w:val="00ED0C64"/>
    <w:rsid w:val="00ED769C"/>
    <w:rsid w:val="00EE1EC2"/>
    <w:rsid w:val="00EE3F34"/>
    <w:rsid w:val="00EF0E3F"/>
    <w:rsid w:val="00EF1063"/>
    <w:rsid w:val="00EF171D"/>
    <w:rsid w:val="00EF41B3"/>
    <w:rsid w:val="00EF65B7"/>
    <w:rsid w:val="00EF7B0B"/>
    <w:rsid w:val="00F0221D"/>
    <w:rsid w:val="00F03179"/>
    <w:rsid w:val="00F0463F"/>
    <w:rsid w:val="00F05CE7"/>
    <w:rsid w:val="00F0689B"/>
    <w:rsid w:val="00F10F1F"/>
    <w:rsid w:val="00F11073"/>
    <w:rsid w:val="00F1251F"/>
    <w:rsid w:val="00F21D4F"/>
    <w:rsid w:val="00F21DC1"/>
    <w:rsid w:val="00F22977"/>
    <w:rsid w:val="00F23084"/>
    <w:rsid w:val="00F232F8"/>
    <w:rsid w:val="00F25098"/>
    <w:rsid w:val="00F32F2C"/>
    <w:rsid w:val="00F42B7F"/>
    <w:rsid w:val="00F445D8"/>
    <w:rsid w:val="00F44D65"/>
    <w:rsid w:val="00F45654"/>
    <w:rsid w:val="00F46BBA"/>
    <w:rsid w:val="00F54F79"/>
    <w:rsid w:val="00F553F2"/>
    <w:rsid w:val="00F640BB"/>
    <w:rsid w:val="00F65035"/>
    <w:rsid w:val="00F70A66"/>
    <w:rsid w:val="00F72319"/>
    <w:rsid w:val="00F75F25"/>
    <w:rsid w:val="00F765AE"/>
    <w:rsid w:val="00FA20DF"/>
    <w:rsid w:val="00FA2F1E"/>
    <w:rsid w:val="00FB1AF5"/>
    <w:rsid w:val="00FB5469"/>
    <w:rsid w:val="00FB7276"/>
    <w:rsid w:val="00FB74D7"/>
    <w:rsid w:val="00FC0A99"/>
    <w:rsid w:val="00FC356D"/>
    <w:rsid w:val="00FC5911"/>
    <w:rsid w:val="00FC6DC4"/>
    <w:rsid w:val="00FC6F05"/>
    <w:rsid w:val="00FD110E"/>
    <w:rsid w:val="00FE1524"/>
    <w:rsid w:val="00FE4AA1"/>
    <w:rsid w:val="00FE7DBC"/>
    <w:rsid w:val="00FF28CA"/>
    <w:rsid w:val="00FF43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F68FC"/>
  <w15:chartTrackingRefBased/>
  <w15:docId w15:val="{ADF82E84-2A01-45A1-BDD4-755B66F6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jc w:val="both"/>
    </w:pPr>
    <w:rPr>
      <w:sz w:val="24"/>
      <w:szCs w:val="24"/>
      <w:lang w:eastAsia="en-US"/>
    </w:rPr>
  </w:style>
  <w:style w:type="paragraph" w:styleId="Antrat2">
    <w:name w:val="heading 2"/>
    <w:basedOn w:val="prastasis"/>
    <w:link w:val="Antrat2Diagrama"/>
    <w:uiPriority w:val="9"/>
    <w:qFormat/>
    <w:rsid w:val="009042C4"/>
    <w:pPr>
      <w:spacing w:before="100" w:beforeAutospacing="1" w:after="100" w:afterAutospacing="1"/>
      <w:jc w:val="center"/>
      <w:outlineLvl w:val="1"/>
    </w:pPr>
    <w:rPr>
      <w:rFonts w:ascii="Tahoma" w:hAnsi="Tahoma" w:cs="Tahoma"/>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1A3A7D"/>
    <w:pPr>
      <w:tabs>
        <w:tab w:val="left" w:pos="-9708"/>
        <w:tab w:val="left" w:pos="-9588"/>
      </w:tabs>
    </w:pPr>
    <w:rPr>
      <w:color w:val="000000"/>
    </w:rPr>
  </w:style>
  <w:style w:type="paragraph" w:customStyle="1" w:styleId="Tekstas">
    <w:name w:val="Tekstas"/>
    <w:basedOn w:val="prastasis"/>
    <w:rsid w:val="006239CC"/>
    <w:pPr>
      <w:spacing w:before="40" w:after="40"/>
      <w:ind w:right="40" w:firstLine="1247"/>
    </w:pPr>
  </w:style>
  <w:style w:type="character" w:styleId="Hipersaitas">
    <w:name w:val="Hyperlink"/>
    <w:rsid w:val="006A6037"/>
    <w:rPr>
      <w:color w:val="0000FF"/>
      <w:u w:val="single"/>
    </w:rPr>
  </w:style>
  <w:style w:type="paragraph" w:styleId="Pagrindiniotekstotrauka">
    <w:name w:val="Body Text Indent"/>
    <w:basedOn w:val="prastasis"/>
    <w:rsid w:val="00FD110E"/>
    <w:pPr>
      <w:spacing w:after="120"/>
      <w:ind w:left="283"/>
    </w:pPr>
  </w:style>
  <w:style w:type="paragraph" w:styleId="Antrats">
    <w:name w:val="header"/>
    <w:basedOn w:val="prastasis"/>
    <w:link w:val="AntratsDiagrama"/>
    <w:rsid w:val="00981FB1"/>
    <w:pPr>
      <w:tabs>
        <w:tab w:val="center" w:pos="4819"/>
        <w:tab w:val="right" w:pos="9638"/>
      </w:tabs>
    </w:pPr>
  </w:style>
  <w:style w:type="character" w:styleId="Puslapionumeris">
    <w:name w:val="page number"/>
    <w:basedOn w:val="Numatytasispastraiposriftas"/>
    <w:rsid w:val="00981FB1"/>
  </w:style>
  <w:style w:type="paragraph" w:customStyle="1" w:styleId="CharCharChar">
    <w:name w:val="Char Char Char"/>
    <w:aliases w:val="Zchn Zchn Char"/>
    <w:basedOn w:val="prastasis"/>
    <w:next w:val="prastasis"/>
    <w:rsid w:val="00510B57"/>
    <w:pPr>
      <w:spacing w:before="120" w:after="120"/>
      <w:jc w:val="center"/>
    </w:pPr>
    <w:rPr>
      <w:b/>
      <w:bCs/>
      <w:snapToGrid w:val="0"/>
      <w:u w:val="single"/>
      <w:lang w:eastAsia="en-GB"/>
    </w:rPr>
  </w:style>
  <w:style w:type="character" w:customStyle="1" w:styleId="StyleBodyTextItalicChar">
    <w:name w:val="Style Body Text + Italic Char"/>
    <w:rsid w:val="00E93933"/>
    <w:rPr>
      <w:i/>
      <w:iCs/>
      <w:noProof w:val="0"/>
      <w:sz w:val="22"/>
      <w:lang w:val="lt-LT" w:eastAsia="en-US" w:bidi="ar-SA"/>
    </w:rPr>
  </w:style>
  <w:style w:type="paragraph" w:styleId="Porat">
    <w:name w:val="footer"/>
    <w:basedOn w:val="prastasis"/>
    <w:link w:val="PoratDiagrama"/>
    <w:uiPriority w:val="99"/>
    <w:semiHidden/>
    <w:unhideWhenUsed/>
    <w:rsid w:val="00410FF9"/>
    <w:pPr>
      <w:tabs>
        <w:tab w:val="center" w:pos="4819"/>
        <w:tab w:val="right" w:pos="9638"/>
      </w:tabs>
    </w:pPr>
  </w:style>
  <w:style w:type="character" w:customStyle="1" w:styleId="PoratDiagrama">
    <w:name w:val="Poraštė Diagrama"/>
    <w:link w:val="Porat"/>
    <w:uiPriority w:val="99"/>
    <w:semiHidden/>
    <w:rsid w:val="00410FF9"/>
    <w:rPr>
      <w:sz w:val="24"/>
      <w:szCs w:val="24"/>
      <w:lang w:eastAsia="en-US"/>
    </w:rPr>
  </w:style>
  <w:style w:type="character" w:customStyle="1" w:styleId="AntratsDiagrama">
    <w:name w:val="Antraštės Diagrama"/>
    <w:link w:val="Antrats"/>
    <w:uiPriority w:val="99"/>
    <w:rsid w:val="00300E4A"/>
    <w:rPr>
      <w:sz w:val="24"/>
      <w:szCs w:val="24"/>
      <w:lang w:eastAsia="en-US"/>
    </w:rPr>
  </w:style>
  <w:style w:type="paragraph" w:styleId="Pagrindiniotekstotrauka2">
    <w:name w:val="Body Text Indent 2"/>
    <w:basedOn w:val="prastasis"/>
    <w:link w:val="Pagrindiniotekstotrauka2Diagrama"/>
    <w:uiPriority w:val="99"/>
    <w:unhideWhenUsed/>
    <w:rsid w:val="00F0221D"/>
    <w:pPr>
      <w:spacing w:after="120" w:line="480" w:lineRule="auto"/>
      <w:ind w:left="283"/>
    </w:pPr>
  </w:style>
  <w:style w:type="character" w:customStyle="1" w:styleId="Pagrindiniotekstotrauka2Diagrama">
    <w:name w:val="Pagrindinio teksto įtrauka 2 Diagrama"/>
    <w:link w:val="Pagrindiniotekstotrauka2"/>
    <w:uiPriority w:val="99"/>
    <w:rsid w:val="00F0221D"/>
    <w:rPr>
      <w:sz w:val="24"/>
      <w:szCs w:val="24"/>
      <w:lang w:eastAsia="en-US"/>
    </w:rPr>
  </w:style>
  <w:style w:type="character" w:customStyle="1" w:styleId="Antrat2Diagrama">
    <w:name w:val="Antraštė 2 Diagrama"/>
    <w:link w:val="Antrat2"/>
    <w:uiPriority w:val="9"/>
    <w:rsid w:val="009042C4"/>
    <w:rPr>
      <w:rFonts w:ascii="Tahoma" w:hAnsi="Tahoma" w:cs="Tahoma"/>
      <w:b/>
      <w:bCs/>
      <w:sz w:val="28"/>
      <w:szCs w:val="28"/>
    </w:rPr>
  </w:style>
  <w:style w:type="paragraph" w:customStyle="1" w:styleId="Kopija">
    <w:name w:val="Kopija"/>
    <w:basedOn w:val="prastasis"/>
    <w:rsid w:val="007E2D61"/>
    <w:pPr>
      <w:ind w:right="3999"/>
      <w:jc w:val="left"/>
    </w:pPr>
  </w:style>
  <w:style w:type="character" w:customStyle="1" w:styleId="CharStyle3">
    <w:name w:val="Char Style 3"/>
    <w:link w:val="Style2"/>
    <w:uiPriority w:val="99"/>
    <w:rsid w:val="00D91517"/>
    <w:rPr>
      <w:rFonts w:ascii="Arial" w:hAnsi="Arial" w:cs="Arial"/>
      <w:b/>
      <w:bCs/>
      <w:sz w:val="19"/>
      <w:szCs w:val="19"/>
      <w:shd w:val="clear" w:color="auto" w:fill="FFFFFF"/>
    </w:rPr>
  </w:style>
  <w:style w:type="character" w:customStyle="1" w:styleId="CharStyle32">
    <w:name w:val="Char Style 32"/>
    <w:uiPriority w:val="99"/>
    <w:rsid w:val="00D91517"/>
    <w:rPr>
      <w:rFonts w:ascii="Arial" w:hAnsi="Arial" w:cs="Arial"/>
      <w:i/>
      <w:iCs/>
      <w:spacing w:val="0"/>
      <w:sz w:val="19"/>
      <w:szCs w:val="19"/>
      <w:shd w:val="clear" w:color="auto" w:fill="FFFFFF"/>
    </w:rPr>
  </w:style>
  <w:style w:type="character" w:customStyle="1" w:styleId="CharStyle33">
    <w:name w:val="Char Style 33"/>
    <w:uiPriority w:val="99"/>
    <w:rsid w:val="00D91517"/>
    <w:rPr>
      <w:rFonts w:ascii="Arial" w:hAnsi="Arial" w:cs="Arial"/>
      <w:spacing w:val="0"/>
      <w:sz w:val="19"/>
      <w:szCs w:val="19"/>
      <w:u w:val="single"/>
      <w:shd w:val="clear" w:color="auto" w:fill="FFFFFF"/>
    </w:rPr>
  </w:style>
  <w:style w:type="character" w:customStyle="1" w:styleId="CharStyle34">
    <w:name w:val="Char Style 34"/>
    <w:uiPriority w:val="99"/>
    <w:rsid w:val="00D91517"/>
    <w:rPr>
      <w:rFonts w:ascii="Arial" w:hAnsi="Arial" w:cs="Arial"/>
      <w:b/>
      <w:bCs/>
      <w:spacing w:val="0"/>
      <w:sz w:val="19"/>
      <w:szCs w:val="19"/>
      <w:u w:val="single"/>
      <w:shd w:val="clear" w:color="auto" w:fill="FFFFFF"/>
    </w:rPr>
  </w:style>
  <w:style w:type="paragraph" w:customStyle="1" w:styleId="Style2">
    <w:name w:val="Style 2"/>
    <w:basedOn w:val="prastasis"/>
    <w:link w:val="CharStyle3"/>
    <w:uiPriority w:val="99"/>
    <w:rsid w:val="00D91517"/>
    <w:pPr>
      <w:widowControl w:val="0"/>
      <w:shd w:val="clear" w:color="auto" w:fill="FFFFFF"/>
      <w:spacing w:before="900" w:after="600" w:line="374" w:lineRule="exact"/>
      <w:jc w:val="left"/>
      <w:outlineLvl w:val="1"/>
    </w:pPr>
    <w:rPr>
      <w:rFonts w:ascii="Arial" w:hAnsi="Arial" w:cs="Arial"/>
      <w:b/>
      <w:bCs/>
      <w:sz w:val="19"/>
      <w:szCs w:val="19"/>
      <w:lang w:eastAsia="lt-LT"/>
    </w:rPr>
  </w:style>
  <w:style w:type="character" w:customStyle="1" w:styleId="CharStyle8">
    <w:name w:val="Char Style 8"/>
    <w:link w:val="Style7"/>
    <w:uiPriority w:val="99"/>
    <w:rsid w:val="00027ACD"/>
    <w:rPr>
      <w:sz w:val="21"/>
      <w:szCs w:val="21"/>
      <w:shd w:val="clear" w:color="auto" w:fill="FFFFFF"/>
    </w:rPr>
  </w:style>
  <w:style w:type="paragraph" w:customStyle="1" w:styleId="Style7">
    <w:name w:val="Style 7"/>
    <w:basedOn w:val="prastasis"/>
    <w:link w:val="CharStyle8"/>
    <w:uiPriority w:val="99"/>
    <w:rsid w:val="00027ACD"/>
    <w:pPr>
      <w:widowControl w:val="0"/>
      <w:shd w:val="clear" w:color="auto" w:fill="FFFFFF"/>
      <w:spacing w:after="240" w:line="252" w:lineRule="exact"/>
      <w:jc w:val="left"/>
    </w:pPr>
    <w:rPr>
      <w:sz w:val="21"/>
      <w:szCs w:val="21"/>
      <w:lang w:eastAsia="lt-LT"/>
    </w:rPr>
  </w:style>
  <w:style w:type="character" w:customStyle="1" w:styleId="CharStyle13">
    <w:name w:val="Char Style 13"/>
    <w:uiPriority w:val="99"/>
    <w:rsid w:val="00A1550B"/>
    <w:rPr>
      <w:i/>
      <w:iCs/>
      <w:sz w:val="21"/>
      <w:szCs w:val="21"/>
      <w:shd w:val="clear" w:color="auto" w:fill="FFFFFF"/>
    </w:rPr>
  </w:style>
  <w:style w:type="paragraph" w:styleId="Sraopastraipa">
    <w:name w:val="List Paragraph"/>
    <w:basedOn w:val="prastasis"/>
    <w:uiPriority w:val="34"/>
    <w:qFormat/>
    <w:rsid w:val="00704AD4"/>
    <w:pPr>
      <w:spacing w:after="200" w:line="276" w:lineRule="auto"/>
      <w:ind w:left="720"/>
      <w:contextualSpacing/>
      <w:jc w:val="left"/>
    </w:pPr>
    <w:rPr>
      <w:rFonts w:ascii="Calibri" w:eastAsia="Calibri" w:hAnsi="Calibri"/>
      <w:sz w:val="22"/>
      <w:szCs w:val="22"/>
      <w:lang w:val="en-US"/>
    </w:rPr>
  </w:style>
  <w:style w:type="character" w:customStyle="1" w:styleId="Bodytext">
    <w:name w:val="Body text_"/>
    <w:link w:val="BodyText1"/>
    <w:rsid w:val="0030269B"/>
    <w:rPr>
      <w:sz w:val="23"/>
      <w:szCs w:val="23"/>
      <w:shd w:val="clear" w:color="auto" w:fill="FFFFFF"/>
    </w:rPr>
  </w:style>
  <w:style w:type="character" w:customStyle="1" w:styleId="Bodytext3">
    <w:name w:val="Body text (3)_"/>
    <w:link w:val="Bodytext30"/>
    <w:rsid w:val="0030269B"/>
    <w:rPr>
      <w:sz w:val="23"/>
      <w:szCs w:val="23"/>
      <w:shd w:val="clear" w:color="auto" w:fill="FFFFFF"/>
    </w:rPr>
  </w:style>
  <w:style w:type="paragraph" w:customStyle="1" w:styleId="BodyText1">
    <w:name w:val="Body Text1"/>
    <w:basedOn w:val="prastasis"/>
    <w:link w:val="Bodytext"/>
    <w:rsid w:val="0030269B"/>
    <w:pPr>
      <w:shd w:val="clear" w:color="auto" w:fill="FFFFFF"/>
      <w:spacing w:before="540" w:after="60" w:line="0" w:lineRule="atLeast"/>
      <w:jc w:val="left"/>
    </w:pPr>
    <w:rPr>
      <w:sz w:val="23"/>
      <w:szCs w:val="23"/>
      <w:lang w:val="en-US"/>
    </w:rPr>
  </w:style>
  <w:style w:type="paragraph" w:customStyle="1" w:styleId="Bodytext30">
    <w:name w:val="Body text (3)"/>
    <w:basedOn w:val="prastasis"/>
    <w:link w:val="Bodytext3"/>
    <w:rsid w:val="0030269B"/>
    <w:pPr>
      <w:shd w:val="clear" w:color="auto" w:fill="FFFFFF"/>
      <w:spacing w:before="240" w:line="274" w:lineRule="exact"/>
      <w:ind w:firstLine="720"/>
    </w:pPr>
    <w:rPr>
      <w:sz w:val="23"/>
      <w:szCs w:val="23"/>
      <w:lang w:val="en-US"/>
    </w:rPr>
  </w:style>
  <w:style w:type="character" w:customStyle="1" w:styleId="BodytextItalic">
    <w:name w:val="Body text + Italic"/>
    <w:rsid w:val="00024F6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2">
    <w:name w:val="Body Text2"/>
    <w:rsid w:val="00175048"/>
    <w:rPr>
      <w:rFonts w:ascii="Calibri" w:eastAsia="Calibri" w:hAnsi="Calibri" w:cs="Calibri"/>
      <w:b w:val="0"/>
      <w:bCs w:val="0"/>
      <w:i w:val="0"/>
      <w:iCs w:val="0"/>
      <w:smallCaps w:val="0"/>
      <w:strike w:val="0"/>
      <w:spacing w:val="0"/>
      <w:sz w:val="22"/>
      <w:szCs w:val="22"/>
      <w:shd w:val="clear" w:color="auto" w:fill="FFFFFF"/>
    </w:rPr>
  </w:style>
  <w:style w:type="paragraph" w:customStyle="1" w:styleId="BodyText4">
    <w:name w:val="Body Text4"/>
    <w:basedOn w:val="prastasis"/>
    <w:rsid w:val="00175048"/>
    <w:pPr>
      <w:shd w:val="clear" w:color="auto" w:fill="FFFFFF"/>
      <w:spacing w:line="293" w:lineRule="exact"/>
      <w:jc w:val="left"/>
    </w:pPr>
    <w:rPr>
      <w:rFonts w:ascii="Calibri" w:eastAsia="Calibri" w:hAnsi="Calibri" w:cs="Calibri"/>
      <w:color w:val="000000"/>
      <w:sz w:val="22"/>
      <w:szCs w:val="22"/>
      <w:lang w:val="lt" w:eastAsia="lt-LT"/>
    </w:rPr>
  </w:style>
  <w:style w:type="character" w:customStyle="1" w:styleId="Heading2">
    <w:name w:val="Heading #2_"/>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Heading20">
    <w:name w:val="Heading #2"/>
    <w:rsid w:val="00175048"/>
  </w:style>
  <w:style w:type="character" w:customStyle="1" w:styleId="Heading2Spacing0pt">
    <w:name w:val="Heading #2 + Spacing 0 pt"/>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Bodytext20">
    <w:name w:val="Body text (2)_"/>
    <w:rsid w:val="00175048"/>
    <w:rPr>
      <w:rFonts w:ascii="Calibri" w:eastAsia="Calibri" w:hAnsi="Calibri" w:cs="Calibri"/>
      <w:b w:val="0"/>
      <w:bCs w:val="0"/>
      <w:i w:val="0"/>
      <w:iCs w:val="0"/>
      <w:smallCaps w:val="0"/>
      <w:strike w:val="0"/>
      <w:spacing w:val="0"/>
      <w:sz w:val="22"/>
      <w:szCs w:val="22"/>
    </w:rPr>
  </w:style>
  <w:style w:type="character" w:customStyle="1" w:styleId="Bodytext21">
    <w:name w:val="Body text (2)"/>
    <w:rsid w:val="00175048"/>
  </w:style>
  <w:style w:type="character" w:customStyle="1" w:styleId="Bodytext2NotItalic">
    <w:name w:val="Body text (2) + Not Italic"/>
    <w:rsid w:val="00175048"/>
    <w:rPr>
      <w:rFonts w:ascii="Calibri" w:eastAsia="Calibri" w:hAnsi="Calibri" w:cs="Calibri"/>
      <w:b w:val="0"/>
      <w:bCs w:val="0"/>
      <w:i/>
      <w:iCs/>
      <w:smallCaps w:val="0"/>
      <w:strike w:val="0"/>
      <w:spacing w:val="0"/>
      <w:sz w:val="22"/>
      <w:szCs w:val="22"/>
    </w:rPr>
  </w:style>
  <w:style w:type="character" w:customStyle="1" w:styleId="BodyText31">
    <w:name w:val="Body Text3"/>
    <w:rsid w:val="00BB3ABF"/>
    <w:rPr>
      <w:rFonts w:ascii="Calibri" w:eastAsia="Calibri" w:hAnsi="Calibri" w:cs="Calibri"/>
      <w:b w:val="0"/>
      <w:bCs w:val="0"/>
      <w:i w:val="0"/>
      <w:iCs w:val="0"/>
      <w:smallCaps w:val="0"/>
      <w:strike w:val="0"/>
      <w:spacing w:val="0"/>
      <w:sz w:val="22"/>
      <w:szCs w:val="22"/>
      <w:shd w:val="clear" w:color="auto" w:fill="FFFFFF"/>
    </w:rPr>
  </w:style>
  <w:style w:type="character" w:styleId="Komentaronuoroda">
    <w:name w:val="annotation reference"/>
    <w:semiHidden/>
    <w:unhideWhenUsed/>
    <w:rsid w:val="007A1CFA"/>
    <w:rPr>
      <w:sz w:val="16"/>
      <w:szCs w:val="16"/>
    </w:rPr>
  </w:style>
  <w:style w:type="paragraph" w:styleId="Komentarotekstas">
    <w:name w:val="annotation text"/>
    <w:basedOn w:val="prastasis"/>
    <w:link w:val="KomentarotekstasDiagrama"/>
    <w:unhideWhenUsed/>
    <w:rsid w:val="007A1CFA"/>
    <w:rPr>
      <w:sz w:val="20"/>
      <w:szCs w:val="20"/>
    </w:rPr>
  </w:style>
  <w:style w:type="character" w:customStyle="1" w:styleId="KomentarotekstasDiagrama">
    <w:name w:val="Komentaro tekstas Diagrama"/>
    <w:link w:val="Komentarotekstas"/>
    <w:rsid w:val="007A1CFA"/>
    <w:rPr>
      <w:lang w:eastAsia="en-US"/>
    </w:rPr>
  </w:style>
  <w:style w:type="paragraph" w:styleId="Komentarotema">
    <w:name w:val="annotation subject"/>
    <w:basedOn w:val="Komentarotekstas"/>
    <w:next w:val="Komentarotekstas"/>
    <w:link w:val="KomentarotemaDiagrama"/>
    <w:uiPriority w:val="99"/>
    <w:semiHidden/>
    <w:unhideWhenUsed/>
    <w:rsid w:val="007A1CFA"/>
    <w:rPr>
      <w:b/>
      <w:bCs/>
    </w:rPr>
  </w:style>
  <w:style w:type="character" w:customStyle="1" w:styleId="KomentarotemaDiagrama">
    <w:name w:val="Komentaro tema Diagrama"/>
    <w:link w:val="Komentarotema"/>
    <w:uiPriority w:val="99"/>
    <w:semiHidden/>
    <w:rsid w:val="007A1CFA"/>
    <w:rPr>
      <w:b/>
      <w:bCs/>
      <w:lang w:eastAsia="en-US"/>
    </w:rPr>
  </w:style>
  <w:style w:type="paragraph" w:styleId="Debesliotekstas">
    <w:name w:val="Balloon Text"/>
    <w:basedOn w:val="prastasis"/>
    <w:link w:val="DebesliotekstasDiagrama"/>
    <w:uiPriority w:val="99"/>
    <w:semiHidden/>
    <w:unhideWhenUsed/>
    <w:rsid w:val="007A1CFA"/>
    <w:rPr>
      <w:rFonts w:ascii="Tahoma" w:hAnsi="Tahoma" w:cs="Tahoma"/>
      <w:sz w:val="16"/>
      <w:szCs w:val="16"/>
    </w:rPr>
  </w:style>
  <w:style w:type="character" w:customStyle="1" w:styleId="DebesliotekstasDiagrama">
    <w:name w:val="Debesėlio tekstas Diagrama"/>
    <w:link w:val="Debesliotekstas"/>
    <w:uiPriority w:val="99"/>
    <w:semiHidden/>
    <w:rsid w:val="007A1CFA"/>
    <w:rPr>
      <w:rFonts w:ascii="Tahoma" w:hAnsi="Tahoma" w:cs="Tahoma"/>
      <w:sz w:val="16"/>
      <w:szCs w:val="16"/>
      <w:lang w:eastAsia="en-US"/>
    </w:rPr>
  </w:style>
  <w:style w:type="paragraph" w:styleId="prastasiniatinklio">
    <w:name w:val="Normal (Web)"/>
    <w:basedOn w:val="prastasis"/>
    <w:uiPriority w:val="99"/>
    <w:unhideWhenUsed/>
    <w:rsid w:val="007E4497"/>
    <w:pPr>
      <w:spacing w:before="100" w:beforeAutospacing="1" w:after="100" w:afterAutospacing="1"/>
      <w:jc w:val="left"/>
    </w:pPr>
    <w:rPr>
      <w:lang w:eastAsia="lt-LT"/>
    </w:rPr>
  </w:style>
  <w:style w:type="paragraph" w:styleId="Puslapioinaostekstas">
    <w:name w:val="footnote text"/>
    <w:basedOn w:val="prastasis"/>
    <w:link w:val="PuslapioinaostekstasDiagrama"/>
    <w:uiPriority w:val="99"/>
    <w:semiHidden/>
    <w:unhideWhenUsed/>
    <w:rsid w:val="00AF3E79"/>
    <w:rPr>
      <w:sz w:val="20"/>
      <w:szCs w:val="20"/>
    </w:rPr>
  </w:style>
  <w:style w:type="character" w:customStyle="1" w:styleId="PuslapioinaostekstasDiagrama">
    <w:name w:val="Puslapio išnašos tekstas Diagrama"/>
    <w:link w:val="Puslapioinaostekstas"/>
    <w:uiPriority w:val="99"/>
    <w:semiHidden/>
    <w:rsid w:val="00AF3E79"/>
    <w:rPr>
      <w:lang w:eastAsia="en-US"/>
    </w:rPr>
  </w:style>
  <w:style w:type="character" w:styleId="Puslapioinaosnuoroda">
    <w:name w:val="footnote reference"/>
    <w:uiPriority w:val="99"/>
    <w:semiHidden/>
    <w:unhideWhenUsed/>
    <w:rsid w:val="00AF3E79"/>
    <w:rPr>
      <w:vertAlign w:val="superscript"/>
    </w:rPr>
  </w:style>
  <w:style w:type="paragraph" w:styleId="Betarp">
    <w:name w:val="No Spacing"/>
    <w:uiPriority w:val="1"/>
    <w:qFormat/>
    <w:rsid w:val="00292C1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213235">
      <w:bodyDiv w:val="1"/>
      <w:marLeft w:val="0"/>
      <w:marRight w:val="0"/>
      <w:marTop w:val="0"/>
      <w:marBottom w:val="0"/>
      <w:divBdr>
        <w:top w:val="none" w:sz="0" w:space="0" w:color="auto"/>
        <w:left w:val="none" w:sz="0" w:space="0" w:color="auto"/>
        <w:bottom w:val="none" w:sz="0" w:space="0" w:color="auto"/>
        <w:right w:val="none" w:sz="0" w:space="0" w:color="auto"/>
      </w:divBdr>
    </w:div>
    <w:div w:id="391121190">
      <w:bodyDiv w:val="1"/>
      <w:marLeft w:val="225"/>
      <w:marRight w:val="225"/>
      <w:marTop w:val="0"/>
      <w:marBottom w:val="0"/>
      <w:divBdr>
        <w:top w:val="none" w:sz="0" w:space="0" w:color="auto"/>
        <w:left w:val="none" w:sz="0" w:space="0" w:color="auto"/>
        <w:bottom w:val="none" w:sz="0" w:space="0" w:color="auto"/>
        <w:right w:val="none" w:sz="0" w:space="0" w:color="auto"/>
      </w:divBdr>
      <w:divsChild>
        <w:div w:id="646252161">
          <w:marLeft w:val="0"/>
          <w:marRight w:val="0"/>
          <w:marTop w:val="0"/>
          <w:marBottom w:val="0"/>
          <w:divBdr>
            <w:top w:val="none" w:sz="0" w:space="0" w:color="auto"/>
            <w:left w:val="none" w:sz="0" w:space="0" w:color="auto"/>
            <w:bottom w:val="none" w:sz="0" w:space="0" w:color="auto"/>
            <w:right w:val="none" w:sz="0" w:space="0" w:color="auto"/>
          </w:divBdr>
        </w:div>
      </w:divsChild>
    </w:div>
    <w:div w:id="515966122">
      <w:bodyDiv w:val="1"/>
      <w:marLeft w:val="225"/>
      <w:marRight w:val="225"/>
      <w:marTop w:val="0"/>
      <w:marBottom w:val="0"/>
      <w:divBdr>
        <w:top w:val="none" w:sz="0" w:space="0" w:color="auto"/>
        <w:left w:val="none" w:sz="0" w:space="0" w:color="auto"/>
        <w:bottom w:val="none" w:sz="0" w:space="0" w:color="auto"/>
        <w:right w:val="none" w:sz="0" w:space="0" w:color="auto"/>
      </w:divBdr>
      <w:divsChild>
        <w:div w:id="1267082650">
          <w:marLeft w:val="0"/>
          <w:marRight w:val="0"/>
          <w:marTop w:val="0"/>
          <w:marBottom w:val="0"/>
          <w:divBdr>
            <w:top w:val="none" w:sz="0" w:space="0" w:color="auto"/>
            <w:left w:val="none" w:sz="0" w:space="0" w:color="auto"/>
            <w:bottom w:val="none" w:sz="0" w:space="0" w:color="auto"/>
            <w:right w:val="none" w:sz="0" w:space="0" w:color="auto"/>
          </w:divBdr>
        </w:div>
      </w:divsChild>
    </w:div>
    <w:div w:id="569584676">
      <w:bodyDiv w:val="1"/>
      <w:marLeft w:val="225"/>
      <w:marRight w:val="225"/>
      <w:marTop w:val="0"/>
      <w:marBottom w:val="0"/>
      <w:divBdr>
        <w:top w:val="none" w:sz="0" w:space="0" w:color="auto"/>
        <w:left w:val="none" w:sz="0" w:space="0" w:color="auto"/>
        <w:bottom w:val="none" w:sz="0" w:space="0" w:color="auto"/>
        <w:right w:val="none" w:sz="0" w:space="0" w:color="auto"/>
      </w:divBdr>
      <w:divsChild>
        <w:div w:id="522593480">
          <w:marLeft w:val="0"/>
          <w:marRight w:val="0"/>
          <w:marTop w:val="0"/>
          <w:marBottom w:val="0"/>
          <w:divBdr>
            <w:top w:val="none" w:sz="0" w:space="0" w:color="auto"/>
            <w:left w:val="none" w:sz="0" w:space="0" w:color="auto"/>
            <w:bottom w:val="none" w:sz="0" w:space="0" w:color="auto"/>
            <w:right w:val="none" w:sz="0" w:space="0" w:color="auto"/>
          </w:divBdr>
        </w:div>
      </w:divsChild>
    </w:div>
    <w:div w:id="674498468">
      <w:bodyDiv w:val="1"/>
      <w:marLeft w:val="0"/>
      <w:marRight w:val="0"/>
      <w:marTop w:val="0"/>
      <w:marBottom w:val="0"/>
      <w:divBdr>
        <w:top w:val="none" w:sz="0" w:space="0" w:color="auto"/>
        <w:left w:val="none" w:sz="0" w:space="0" w:color="auto"/>
        <w:bottom w:val="none" w:sz="0" w:space="0" w:color="auto"/>
        <w:right w:val="none" w:sz="0" w:space="0" w:color="auto"/>
      </w:divBdr>
    </w:div>
    <w:div w:id="911231614">
      <w:bodyDiv w:val="1"/>
      <w:marLeft w:val="225"/>
      <w:marRight w:val="225"/>
      <w:marTop w:val="0"/>
      <w:marBottom w:val="0"/>
      <w:divBdr>
        <w:top w:val="none" w:sz="0" w:space="0" w:color="auto"/>
        <w:left w:val="none" w:sz="0" w:space="0" w:color="auto"/>
        <w:bottom w:val="none" w:sz="0" w:space="0" w:color="auto"/>
        <w:right w:val="none" w:sz="0" w:space="0" w:color="auto"/>
      </w:divBdr>
      <w:divsChild>
        <w:div w:id="584731928">
          <w:marLeft w:val="0"/>
          <w:marRight w:val="0"/>
          <w:marTop w:val="0"/>
          <w:marBottom w:val="0"/>
          <w:divBdr>
            <w:top w:val="none" w:sz="0" w:space="0" w:color="auto"/>
            <w:left w:val="none" w:sz="0" w:space="0" w:color="auto"/>
            <w:bottom w:val="none" w:sz="0" w:space="0" w:color="auto"/>
            <w:right w:val="none" w:sz="0" w:space="0" w:color="auto"/>
          </w:divBdr>
        </w:div>
      </w:divsChild>
    </w:div>
    <w:div w:id="1402175292">
      <w:bodyDiv w:val="1"/>
      <w:marLeft w:val="300"/>
      <w:marRight w:val="300"/>
      <w:marTop w:val="0"/>
      <w:marBottom w:val="0"/>
      <w:divBdr>
        <w:top w:val="none" w:sz="0" w:space="0" w:color="auto"/>
        <w:left w:val="none" w:sz="0" w:space="0" w:color="auto"/>
        <w:bottom w:val="none" w:sz="0" w:space="0" w:color="auto"/>
        <w:right w:val="none" w:sz="0" w:space="0" w:color="auto"/>
      </w:divBdr>
      <w:divsChild>
        <w:div w:id="1885678480">
          <w:marLeft w:val="0"/>
          <w:marRight w:val="0"/>
          <w:marTop w:val="0"/>
          <w:marBottom w:val="0"/>
          <w:divBdr>
            <w:top w:val="none" w:sz="0" w:space="0" w:color="auto"/>
            <w:left w:val="none" w:sz="0" w:space="0" w:color="auto"/>
            <w:bottom w:val="none" w:sz="0" w:space="0" w:color="auto"/>
            <w:right w:val="none" w:sz="0" w:space="0" w:color="auto"/>
          </w:divBdr>
        </w:div>
      </w:divsChild>
    </w:div>
    <w:div w:id="2070687821">
      <w:bodyDiv w:val="1"/>
      <w:marLeft w:val="225"/>
      <w:marRight w:val="225"/>
      <w:marTop w:val="0"/>
      <w:marBottom w:val="0"/>
      <w:divBdr>
        <w:top w:val="none" w:sz="0" w:space="0" w:color="auto"/>
        <w:left w:val="none" w:sz="0" w:space="0" w:color="auto"/>
        <w:bottom w:val="none" w:sz="0" w:space="0" w:color="auto"/>
        <w:right w:val="none" w:sz="0" w:space="0" w:color="auto"/>
      </w:divBdr>
      <w:divsChild>
        <w:div w:id="9138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20C1B-3058-40E2-88D2-E6C5B31D9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7378</Words>
  <Characters>4206</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Derinimo pažyma</vt:lpstr>
      <vt:lpstr>Derinimo pažyma</vt:lpstr>
    </vt:vector>
  </TitlesOfParts>
  <Company>LRSM</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2020-01-27T07:10:00Z</dcterms:created>
  <dc:creator>Ruta Atociunaite</dc:creator>
  <cp:lastModifiedBy>Jurgita Norkienė</cp:lastModifiedBy>
  <cp:lastPrinted>2012-07-24T07:42:00Z</cp:lastPrinted>
  <dcterms:modified xsi:type="dcterms:W3CDTF">2020-02-05T11:25:00Z</dcterms:modified>
  <cp:revision>8</cp:revision>
  <dc:title>Derinimo pažyma</dc:title>
</cp:coreProperties>
</file>