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5496" w14:textId="77777777" w:rsidR="00735F6A" w:rsidRPr="008D6FD1" w:rsidRDefault="00735F6A" w:rsidP="00735F6A">
      <w:pPr>
        <w:spacing w:after="0"/>
        <w:jc w:val="center"/>
        <w:rPr>
          <w:rFonts w:ascii="Times New Roman" w:hAnsi="Times New Roman"/>
          <w:b/>
          <w:color w:val="000000"/>
          <w:sz w:val="24"/>
          <w:szCs w:val="24"/>
        </w:rPr>
      </w:pPr>
      <w:r w:rsidRPr="008D6FD1">
        <w:rPr>
          <w:rFonts w:ascii="Times New Roman" w:hAnsi="Times New Roman"/>
          <w:b/>
          <w:color w:val="000000"/>
          <w:sz w:val="24"/>
          <w:szCs w:val="24"/>
        </w:rPr>
        <w:t>NUMATOMO TEISINIO REGULIAVIMO POVEIKIO VERTINIMO PAŽYMA</w:t>
      </w:r>
    </w:p>
    <w:p w14:paraId="5ED25497" w14:textId="77777777" w:rsidR="0005529F" w:rsidRPr="008D6FD1" w:rsidRDefault="0005529F" w:rsidP="00B9167D">
      <w:pPr>
        <w:spacing w:after="0"/>
        <w:jc w:val="center"/>
        <w:rPr>
          <w:rFonts w:ascii="Times New Roman" w:hAnsi="Times New Roman"/>
          <w:b/>
          <w:color w:val="000000"/>
          <w:sz w:val="24"/>
          <w:szCs w:val="24"/>
        </w:rPr>
      </w:pPr>
    </w:p>
    <w:tbl>
      <w:tblPr>
        <w:tblW w:w="9781" w:type="dxa"/>
        <w:jc w:val="center"/>
        <w:tblLook w:val="00A0" w:firstRow="1" w:lastRow="0" w:firstColumn="1" w:lastColumn="0" w:noHBand="0" w:noVBand="0"/>
      </w:tblPr>
      <w:tblGrid>
        <w:gridCol w:w="2268"/>
        <w:gridCol w:w="7513"/>
      </w:tblGrid>
      <w:tr w:rsidR="00C15ADA" w:rsidRPr="007A2F19" w14:paraId="5ED2549A" w14:textId="77777777" w:rsidTr="00F81AAB">
        <w:trPr>
          <w:jc w:val="center"/>
        </w:trPr>
        <w:tc>
          <w:tcPr>
            <w:tcW w:w="2268" w:type="dxa"/>
            <w:shd w:val="clear" w:color="auto" w:fill="auto"/>
            <w:hideMark/>
          </w:tcPr>
          <w:p w14:paraId="5ED25498" w14:textId="77777777" w:rsidR="00C15ADA" w:rsidRPr="007A2F19" w:rsidRDefault="00C15ADA" w:rsidP="00040982">
            <w:pPr>
              <w:spacing w:after="0"/>
              <w:rPr>
                <w:rFonts w:ascii="Times New Roman" w:hAnsi="Times New Roman"/>
                <w:sz w:val="24"/>
                <w:szCs w:val="24"/>
                <w:shd w:val="clear" w:color="auto" w:fill="DBE5F1"/>
              </w:rPr>
            </w:pPr>
            <w:r w:rsidRPr="007A2F19">
              <w:rPr>
                <w:rFonts w:ascii="Times New Roman" w:hAnsi="Times New Roman"/>
                <w:b/>
                <w:sz w:val="24"/>
                <w:szCs w:val="24"/>
              </w:rPr>
              <w:t>Projekto</w:t>
            </w:r>
            <w:r w:rsidRPr="007A2F19">
              <w:rPr>
                <w:rFonts w:ascii="Times New Roman" w:hAnsi="Times New Roman"/>
                <w:b/>
                <w:sz w:val="24"/>
                <w:szCs w:val="24"/>
                <w:shd w:val="clear" w:color="auto" w:fill="DBE5F1"/>
              </w:rPr>
              <w:t xml:space="preserve"> </w:t>
            </w:r>
            <w:r w:rsidRPr="007A2F19">
              <w:rPr>
                <w:rFonts w:ascii="Times New Roman" w:hAnsi="Times New Roman"/>
                <w:b/>
                <w:sz w:val="24"/>
                <w:szCs w:val="24"/>
              </w:rPr>
              <w:t>pavadinimas</w:t>
            </w:r>
          </w:p>
        </w:tc>
        <w:tc>
          <w:tcPr>
            <w:tcW w:w="7513" w:type="dxa"/>
            <w:shd w:val="clear" w:color="auto" w:fill="auto"/>
          </w:tcPr>
          <w:p w14:paraId="5ED25499" w14:textId="77777777" w:rsidR="00664346" w:rsidRPr="007A2F19" w:rsidRDefault="007A408D" w:rsidP="00040982">
            <w:pPr>
              <w:spacing w:after="0"/>
              <w:jc w:val="both"/>
              <w:rPr>
                <w:rFonts w:ascii="Times New Roman" w:hAnsi="Times New Roman"/>
                <w:sz w:val="24"/>
                <w:szCs w:val="24"/>
              </w:rPr>
            </w:pPr>
            <w:r w:rsidRPr="007A2F19">
              <w:rPr>
                <w:rFonts w:ascii="Times New Roman" w:hAnsi="Times New Roman"/>
                <w:color w:val="000000"/>
                <w:sz w:val="24"/>
                <w:szCs w:val="24"/>
              </w:rPr>
              <w:t xml:space="preserve">Lietuvos Respublikos Vyriausybės nutarimo „Dėl </w:t>
            </w:r>
            <w:r w:rsidR="00F00896" w:rsidRPr="007A2F19">
              <w:rPr>
                <w:rFonts w:ascii="Times New Roman" w:hAnsi="Times New Roman"/>
                <w:color w:val="000000"/>
                <w:sz w:val="24"/>
                <w:szCs w:val="24"/>
              </w:rPr>
              <w:t xml:space="preserve">Lietuvos Respublikos </w:t>
            </w:r>
            <w:r w:rsidRPr="007A2F19">
              <w:rPr>
                <w:rFonts w:ascii="Times New Roman" w:hAnsi="Times New Roman"/>
                <w:color w:val="000000"/>
                <w:sz w:val="24"/>
                <w:szCs w:val="24"/>
              </w:rPr>
              <w:t xml:space="preserve">Vyriausybės 2005 m. balandžio 21 d. nutarimo Nr. 447 „Dėl Lietuvos Respublikos kelių priežiūros ir plėtros programos finansavimo įstatymo įgyvendinimo“ pakeitimo“ projektas (toliau – nutarimo projektas). </w:t>
            </w:r>
          </w:p>
        </w:tc>
      </w:tr>
    </w:tbl>
    <w:p w14:paraId="5ED2549B" w14:textId="77777777" w:rsidR="00C15ADA" w:rsidRPr="00040982" w:rsidRDefault="00C15ADA" w:rsidP="00040982">
      <w:pPr>
        <w:shd w:val="clear" w:color="auto" w:fill="FFFFFF"/>
        <w:spacing w:after="0"/>
        <w:rPr>
          <w:rFonts w:ascii="Times New Roman" w:hAnsi="Times New Roman"/>
          <w:sz w:val="16"/>
          <w:szCs w:val="16"/>
        </w:rPr>
      </w:pPr>
    </w:p>
    <w:tbl>
      <w:tblPr>
        <w:tblW w:w="9781" w:type="dxa"/>
        <w:jc w:val="center"/>
        <w:tblLook w:val="00A0" w:firstRow="1" w:lastRow="0" w:firstColumn="1" w:lastColumn="0" w:noHBand="0" w:noVBand="0"/>
      </w:tblPr>
      <w:tblGrid>
        <w:gridCol w:w="2268"/>
        <w:gridCol w:w="7513"/>
      </w:tblGrid>
      <w:tr w:rsidR="00C15ADA" w:rsidRPr="007A2F19" w14:paraId="5ED2549E" w14:textId="77777777" w:rsidTr="00F81AAB">
        <w:trPr>
          <w:jc w:val="center"/>
        </w:trPr>
        <w:tc>
          <w:tcPr>
            <w:tcW w:w="2268" w:type="dxa"/>
            <w:shd w:val="clear" w:color="auto" w:fill="auto"/>
            <w:hideMark/>
          </w:tcPr>
          <w:p w14:paraId="5ED2549C" w14:textId="77777777" w:rsidR="00C15ADA" w:rsidRPr="007A2F19" w:rsidRDefault="00C15ADA" w:rsidP="00040982">
            <w:pPr>
              <w:shd w:val="clear" w:color="auto" w:fill="FFFFFF"/>
              <w:spacing w:after="0"/>
              <w:rPr>
                <w:rFonts w:ascii="Times New Roman" w:hAnsi="Times New Roman"/>
                <w:sz w:val="24"/>
                <w:szCs w:val="24"/>
              </w:rPr>
            </w:pPr>
            <w:r w:rsidRPr="007A2F19">
              <w:rPr>
                <w:rFonts w:ascii="Times New Roman" w:hAnsi="Times New Roman"/>
                <w:b/>
                <w:sz w:val="24"/>
                <w:szCs w:val="24"/>
              </w:rPr>
              <w:t>Projekto rengėjas</w:t>
            </w:r>
          </w:p>
        </w:tc>
        <w:tc>
          <w:tcPr>
            <w:tcW w:w="7513" w:type="dxa"/>
            <w:shd w:val="clear" w:color="auto" w:fill="auto"/>
            <w:hideMark/>
          </w:tcPr>
          <w:p w14:paraId="5ED2549D" w14:textId="77777777" w:rsidR="00C15ADA" w:rsidRPr="007A2F19" w:rsidRDefault="00C15ADA" w:rsidP="00040982">
            <w:pPr>
              <w:shd w:val="clear" w:color="auto" w:fill="FFFFFF"/>
              <w:spacing w:after="0"/>
              <w:jc w:val="both"/>
              <w:rPr>
                <w:rFonts w:ascii="Times New Roman" w:hAnsi="Times New Roman"/>
                <w:b/>
                <w:sz w:val="24"/>
                <w:szCs w:val="24"/>
              </w:rPr>
            </w:pPr>
            <w:r w:rsidRPr="007A2F19">
              <w:rPr>
                <w:rFonts w:ascii="Times New Roman" w:hAnsi="Times New Roman"/>
                <w:sz w:val="24"/>
                <w:szCs w:val="24"/>
              </w:rPr>
              <w:t xml:space="preserve">Lietuvos Respublikos </w:t>
            </w:r>
            <w:r w:rsidR="007A408D" w:rsidRPr="007A2F19">
              <w:rPr>
                <w:rFonts w:ascii="Times New Roman" w:hAnsi="Times New Roman"/>
                <w:sz w:val="24"/>
                <w:szCs w:val="24"/>
              </w:rPr>
              <w:t>susisiekimo</w:t>
            </w:r>
            <w:r w:rsidRPr="007A2F19">
              <w:rPr>
                <w:rFonts w:ascii="Times New Roman" w:hAnsi="Times New Roman"/>
                <w:sz w:val="24"/>
                <w:szCs w:val="24"/>
              </w:rPr>
              <w:t xml:space="preserve"> ministerija</w:t>
            </w:r>
          </w:p>
        </w:tc>
      </w:tr>
    </w:tbl>
    <w:p w14:paraId="5ED2549F" w14:textId="77777777" w:rsidR="00C15ADA" w:rsidRPr="00040982" w:rsidRDefault="00C15ADA" w:rsidP="00040982">
      <w:pPr>
        <w:spacing w:after="0"/>
        <w:rPr>
          <w:rFonts w:ascii="Times New Roman" w:hAnsi="Times New Roman"/>
          <w:sz w:val="16"/>
          <w:szCs w:val="16"/>
        </w:rPr>
      </w:pPr>
    </w:p>
    <w:tbl>
      <w:tblPr>
        <w:tblW w:w="9782" w:type="dxa"/>
        <w:jc w:val="center"/>
        <w:tblLook w:val="00A0" w:firstRow="1" w:lastRow="0" w:firstColumn="1" w:lastColumn="0" w:noHBand="0" w:noVBand="0"/>
      </w:tblPr>
      <w:tblGrid>
        <w:gridCol w:w="2268"/>
        <w:gridCol w:w="7514"/>
      </w:tblGrid>
      <w:tr w:rsidR="00C15ADA" w:rsidRPr="007A2F19" w14:paraId="5ED254A2" w14:textId="77777777" w:rsidTr="00040982">
        <w:trPr>
          <w:jc w:val="center"/>
        </w:trPr>
        <w:tc>
          <w:tcPr>
            <w:tcW w:w="2268" w:type="dxa"/>
            <w:shd w:val="clear" w:color="auto" w:fill="auto"/>
            <w:hideMark/>
          </w:tcPr>
          <w:p w14:paraId="5ED254A0"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Projekto tikslas</w:t>
            </w:r>
          </w:p>
        </w:tc>
        <w:tc>
          <w:tcPr>
            <w:tcW w:w="7514" w:type="dxa"/>
            <w:shd w:val="clear" w:color="auto" w:fill="auto"/>
            <w:hideMark/>
          </w:tcPr>
          <w:p w14:paraId="5ED254A1" w14:textId="77777777" w:rsidR="00C15ADA" w:rsidRPr="007A2F19" w:rsidRDefault="00057A18" w:rsidP="009504E9">
            <w:pPr>
              <w:spacing w:after="0"/>
              <w:jc w:val="both"/>
              <w:rPr>
                <w:rFonts w:ascii="Times New Roman" w:eastAsia="Times New Roman" w:hAnsi="Times New Roman"/>
                <w:sz w:val="24"/>
                <w:szCs w:val="24"/>
                <w:lang w:eastAsia="lt-LT"/>
              </w:rPr>
            </w:pPr>
            <w:r w:rsidRPr="00057A18">
              <w:rPr>
                <w:rFonts w:ascii="Times New Roman" w:hAnsi="Times New Roman"/>
                <w:sz w:val="24"/>
                <w:szCs w:val="24"/>
              </w:rPr>
              <w:t>Nutarimo projekto tikslas – įgyvendinti Lietuvos Respublikos Vyriausybės 1999 m. birželio 9 d. nutarimo Nr. 757 „Dėl Valstybinės reikšmės automobilių kelių sąrašo patvirtinimo“ (toliau – Nutarimas Nr. 757) nuostatas, reglamentuoti Kelių priežiūros ir plėtros programos (toliau – Programa) finansavimo lėšų rezervo skyrimą Lietuvos automobilių kelių direkcijai prie Susisiekimo ministerijos (toliau – Kelių direkcija) nustatytoms funkcijoms atlikti tuomet, kai Lietuvos Respublikos valstybės biudžeto ir savivaldybių biudžetų finansinių rodiklių patvirtinimo įstatyme patvirtinama neleidžiama naudoti Susisiekimo ministerijos mokėjimams Programos finansavimo lėšų suma; patikslinti, kokioms statybų rūšims vietinės reikšmės keliuose, nukentėjusiuose nuo ekstremaliųjų situacijų, gali būti naudojamas Programos finansavimo lėšų rezervas; užtikrinti finansavimą vietinės reikšmės keliams, vedantiems į teritorijas, kuriose kuriamos darbo vietos.</w:t>
            </w:r>
          </w:p>
        </w:tc>
      </w:tr>
    </w:tbl>
    <w:p w14:paraId="5ED254A3" w14:textId="77777777" w:rsidR="00C15ADA" w:rsidRPr="007A2F19" w:rsidRDefault="00C15ADA" w:rsidP="00040982">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7A2F19" w14:paraId="5ED254A6" w14:textId="77777777" w:rsidTr="00B92F5C">
        <w:trPr>
          <w:trHeight w:val="415"/>
          <w:jc w:val="center"/>
        </w:trPr>
        <w:tc>
          <w:tcPr>
            <w:tcW w:w="2267" w:type="dxa"/>
            <w:shd w:val="clear" w:color="auto" w:fill="FFFFFF"/>
          </w:tcPr>
          <w:p w14:paraId="5ED254A4" w14:textId="77777777" w:rsidR="00C15ADA" w:rsidRPr="007A2F19" w:rsidRDefault="00C15ADA" w:rsidP="00040982">
            <w:pPr>
              <w:shd w:val="clear" w:color="auto" w:fill="FFFFFF"/>
              <w:spacing w:after="0"/>
              <w:rPr>
                <w:rFonts w:ascii="Times New Roman" w:hAnsi="Times New Roman"/>
                <w:sz w:val="24"/>
                <w:szCs w:val="24"/>
              </w:rPr>
            </w:pPr>
          </w:p>
        </w:tc>
        <w:tc>
          <w:tcPr>
            <w:tcW w:w="7371" w:type="dxa"/>
            <w:shd w:val="clear" w:color="auto" w:fill="FFFFFF"/>
            <w:hideMark/>
          </w:tcPr>
          <w:p w14:paraId="5ED254A5" w14:textId="77777777" w:rsidR="00C15ADA" w:rsidRPr="007A2F19" w:rsidRDefault="00C15ADA" w:rsidP="00040982">
            <w:pPr>
              <w:shd w:val="clear" w:color="auto" w:fill="FFFFFF"/>
              <w:spacing w:after="0"/>
              <w:jc w:val="center"/>
              <w:rPr>
                <w:rFonts w:ascii="Times New Roman" w:hAnsi="Times New Roman"/>
                <w:b/>
                <w:sz w:val="24"/>
                <w:szCs w:val="24"/>
              </w:rPr>
            </w:pPr>
            <w:r w:rsidRPr="007A2F19">
              <w:rPr>
                <w:rFonts w:ascii="Times New Roman" w:hAnsi="Times New Roman"/>
                <w:b/>
                <w:sz w:val="24"/>
                <w:szCs w:val="24"/>
              </w:rPr>
              <w:t xml:space="preserve">Siūlomo projekto poveikio įvertinimas </w:t>
            </w:r>
          </w:p>
        </w:tc>
      </w:tr>
      <w:tr w:rsidR="00C15ADA" w:rsidRPr="007A2F19" w14:paraId="5ED254AE" w14:textId="77777777" w:rsidTr="00B92F5C">
        <w:trPr>
          <w:jc w:val="center"/>
        </w:trPr>
        <w:tc>
          <w:tcPr>
            <w:tcW w:w="2268" w:type="dxa"/>
            <w:shd w:val="clear" w:color="auto" w:fill="FFFFFF"/>
          </w:tcPr>
          <w:p w14:paraId="5ED254A7"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atitinkamai </w:t>
            </w:r>
          </w:p>
          <w:p w14:paraId="5ED254A8"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sričiai</w:t>
            </w:r>
          </w:p>
        </w:tc>
        <w:tc>
          <w:tcPr>
            <w:tcW w:w="7371" w:type="dxa"/>
            <w:shd w:val="clear" w:color="auto" w:fill="FFFFFF"/>
          </w:tcPr>
          <w:p w14:paraId="5ED254A9" w14:textId="430F3984" w:rsidR="00057A18" w:rsidRDefault="00057A18" w:rsidP="00057A18">
            <w:pPr>
              <w:spacing w:after="0"/>
              <w:jc w:val="both"/>
              <w:rPr>
                <w:rFonts w:ascii="Times New Roman" w:hAnsi="Times New Roman"/>
                <w:sz w:val="24"/>
                <w:szCs w:val="24"/>
              </w:rPr>
            </w:pPr>
            <w:r w:rsidRPr="00057A18">
              <w:rPr>
                <w:rFonts w:ascii="Times New Roman" w:hAnsi="Times New Roman"/>
                <w:sz w:val="24"/>
                <w:szCs w:val="24"/>
              </w:rPr>
              <w:t>Atsižvelgiant į Nutarimu Nr. 757 patvirtinto valstybinės reikšmės automobilių kelių sąrašo pakeitimus, siūloma patikslinti magistralinio kelio A6 Kaunas–Zarasai–Daugpilis, kuriuo sumokėję kelių naudotojo mokestį įgyja teisę važiuoti kelių naudotojai, ilgį. Taip pat, įvertinus Klaipėdos miesto savivaldybės administracijos 2020 m. vasario 11 d. rašte Nr. (4.24E)-R2-408 „Dėl magistralinio kelio A13 Klaipėda–Liepoja apmokestinimo“ ir Klaipėdos rajono savivaldyb</w:t>
            </w:r>
            <w:r w:rsidR="00837CE0">
              <w:rPr>
                <w:rFonts w:ascii="Times New Roman" w:hAnsi="Times New Roman"/>
                <w:sz w:val="24"/>
                <w:szCs w:val="24"/>
              </w:rPr>
              <w:t>ės</w:t>
            </w:r>
            <w:r w:rsidRPr="00057A18">
              <w:rPr>
                <w:rFonts w:ascii="Times New Roman" w:hAnsi="Times New Roman"/>
                <w:sz w:val="24"/>
                <w:szCs w:val="24"/>
              </w:rPr>
              <w:t xml:space="preserve"> administracijos </w:t>
            </w:r>
            <w:r w:rsidR="00837CE0">
              <w:rPr>
                <w:rFonts w:ascii="Times New Roman" w:hAnsi="Times New Roman"/>
                <w:sz w:val="24"/>
                <w:szCs w:val="24"/>
              </w:rPr>
              <w:br/>
            </w:r>
            <w:r w:rsidRPr="00057A18">
              <w:rPr>
                <w:rFonts w:ascii="Times New Roman" w:hAnsi="Times New Roman"/>
                <w:sz w:val="24"/>
                <w:szCs w:val="24"/>
              </w:rPr>
              <w:t xml:space="preserve">2020 m. vasario 18 d. rašte Nr. T17-50 (40.6 E) „Dėl kelio Nr. A13 Klaipėda–Liepoja neapmokestinimo“ </w:t>
            </w:r>
            <w:bookmarkStart w:id="0" w:name="_GoBack"/>
            <w:r w:rsidR="00015243" w:rsidRPr="00015243">
              <w:rPr>
                <w:rFonts w:ascii="Times New Roman" w:hAnsi="Times New Roman"/>
                <w:sz w:val="24"/>
                <w:szCs w:val="24"/>
              </w:rPr>
              <w:t>pateiktus argumentus, nutarimo projektu siūloma pakeisti magistralinio kelio A13 Klaipėda–Liepoja ruožų, kuriais sumokėję kelių naudotojo mokestį įgyja teisę važiuoti kelių naudotojai, ilgius.</w:t>
            </w:r>
            <w:bookmarkEnd w:id="0"/>
          </w:p>
          <w:p w14:paraId="5ED254AA" w14:textId="77777777" w:rsidR="00057A18" w:rsidRPr="00057A18" w:rsidRDefault="00057A18" w:rsidP="00057A18">
            <w:pPr>
              <w:spacing w:after="0"/>
              <w:jc w:val="both"/>
              <w:rPr>
                <w:rFonts w:ascii="Times New Roman" w:hAnsi="Times New Roman"/>
                <w:sz w:val="24"/>
                <w:szCs w:val="24"/>
              </w:rPr>
            </w:pPr>
          </w:p>
          <w:p w14:paraId="5ED254AB" w14:textId="77777777" w:rsidR="00057A18" w:rsidRDefault="00057A18" w:rsidP="00057A18">
            <w:pPr>
              <w:spacing w:after="0"/>
              <w:jc w:val="both"/>
              <w:rPr>
                <w:rFonts w:ascii="Times New Roman" w:hAnsi="Times New Roman"/>
                <w:sz w:val="24"/>
                <w:szCs w:val="24"/>
              </w:rPr>
            </w:pPr>
            <w:r w:rsidRPr="00057A18">
              <w:rPr>
                <w:rFonts w:ascii="Times New Roman" w:hAnsi="Times New Roman"/>
                <w:sz w:val="24"/>
                <w:szCs w:val="24"/>
              </w:rPr>
              <w:t xml:space="preserve">Nutarimo projektu siūloma reglamentuoti Programos finansavimo lėšų rezervo paskirstymą Kelių direkcijos nustatytoms funkcijoms atlikti, tai yra Programos finansavimo lėšų naudojimo pagal paskirtį kontrolei, darbų kokybės kontrolės priežiūrai vietinės reikšmės kelių objektuose. Nutarimo projektu siūloma nustatyti, kad esant situacijai, kuomet Lietuvos Respublikos valstybės biudžeto ir savivaldybių biudžetų finansinių rodiklių patvirtinimo įstatyme nustatoma, kad be papildomo suderinimo su Lietuvos Respublikos finansų ministerija Susisiekimo ministerijos mokėjimams neleidžiama naudoti tam tikros Programos finansavimo lėšų </w:t>
            </w:r>
            <w:r w:rsidRPr="00057A18">
              <w:rPr>
                <w:rFonts w:ascii="Times New Roman" w:hAnsi="Times New Roman"/>
                <w:sz w:val="24"/>
                <w:szCs w:val="24"/>
              </w:rPr>
              <w:lastRenderedPageBreak/>
              <w:t>sumos, 1,5 proc. Kelių direkcijai nustatytoms funkcijoms atlikti skaičiuojami nuo leidžiamo naudoti Programos finansavimo lėšų rezervo, patvirtinto Programos finansavimo lėšų naudojimo sąmatoje.</w:t>
            </w:r>
          </w:p>
          <w:p w14:paraId="5ED254AC" w14:textId="77777777" w:rsidR="00057A18" w:rsidRPr="00057A18" w:rsidRDefault="00057A18" w:rsidP="00057A18">
            <w:pPr>
              <w:spacing w:after="0"/>
              <w:jc w:val="both"/>
              <w:rPr>
                <w:rFonts w:ascii="Times New Roman" w:hAnsi="Times New Roman"/>
                <w:sz w:val="24"/>
                <w:szCs w:val="24"/>
              </w:rPr>
            </w:pPr>
          </w:p>
          <w:p w14:paraId="5ED254AD" w14:textId="6D6C1F3A" w:rsidR="007A2F19" w:rsidRPr="007A2F19" w:rsidRDefault="00057A18" w:rsidP="00057A18">
            <w:pPr>
              <w:spacing w:after="0"/>
              <w:jc w:val="both"/>
              <w:rPr>
                <w:rFonts w:ascii="Times New Roman" w:hAnsi="Times New Roman"/>
                <w:sz w:val="24"/>
                <w:szCs w:val="24"/>
              </w:rPr>
            </w:pPr>
            <w:r w:rsidRPr="00057A18">
              <w:rPr>
                <w:rFonts w:ascii="Times New Roman" w:hAnsi="Times New Roman"/>
                <w:sz w:val="24"/>
                <w:szCs w:val="24"/>
              </w:rPr>
              <w:t>Vietinės reikšmės keliams ir toliau bus skiriama 30 proc. Programos finansavimo lėšų, tačiau nutarimo projektu siūloma detalizuoti lėšų skyrimą savivaldybių institucijų valdomiems vietinės reikšmės keliams. Vietinės reikšmės keliams, vedantiems į teritorijas, kuriose kuriamos darbo vietos, siūloma numatyti 2 proc. iš 30 proc. Programos finansavimo lėšų. Šių lėšų paskirstym</w:t>
            </w:r>
            <w:r w:rsidR="0082100E">
              <w:rPr>
                <w:rFonts w:ascii="Times New Roman" w:hAnsi="Times New Roman"/>
                <w:sz w:val="24"/>
                <w:szCs w:val="24"/>
              </w:rPr>
              <w:t>o tvarka bus</w:t>
            </w:r>
            <w:r w:rsidRPr="00057A18">
              <w:rPr>
                <w:rFonts w:ascii="Times New Roman" w:hAnsi="Times New Roman"/>
                <w:sz w:val="24"/>
                <w:szCs w:val="24"/>
              </w:rPr>
              <w:t xml:space="preserve"> reglamentuo</w:t>
            </w:r>
            <w:r w:rsidR="0082100E">
              <w:rPr>
                <w:rFonts w:ascii="Times New Roman" w:hAnsi="Times New Roman"/>
                <w:sz w:val="24"/>
                <w:szCs w:val="24"/>
              </w:rPr>
              <w:t>ta</w:t>
            </w:r>
            <w:r w:rsidRPr="00057A18">
              <w:rPr>
                <w:rFonts w:ascii="Times New Roman" w:hAnsi="Times New Roman"/>
                <w:sz w:val="24"/>
                <w:szCs w:val="24"/>
              </w:rPr>
              <w:t xml:space="preserve"> Lietuvos Respublikos ekonomikos ir inovacijų ministro įsakymu. Nutarimo projektu Ekonomikos ir inovacijų ministerijai paliekama teisė iš Programos finansavimo lėšų rezervo atrinkti finansuoti tik valstybinės reikšmės keli</w:t>
            </w:r>
            <w:r w:rsidR="00837CE0">
              <w:rPr>
                <w:rFonts w:ascii="Times New Roman" w:hAnsi="Times New Roman"/>
                <w:sz w:val="24"/>
                <w:szCs w:val="24"/>
              </w:rPr>
              <w:t>us</w:t>
            </w:r>
            <w:r w:rsidRPr="00057A18">
              <w:rPr>
                <w:rFonts w:ascii="Times New Roman" w:hAnsi="Times New Roman"/>
                <w:sz w:val="24"/>
                <w:szCs w:val="24"/>
              </w:rPr>
              <w:t xml:space="preserve">, vedančius į teritorijas, kuriose kuriamos darbo vietos. </w:t>
            </w:r>
          </w:p>
        </w:tc>
      </w:tr>
    </w:tbl>
    <w:p w14:paraId="5ED254AF" w14:textId="77777777" w:rsidR="00C15ADA" w:rsidRPr="00040982" w:rsidRDefault="00C15ADA" w:rsidP="00040982">
      <w:pPr>
        <w:spacing w:after="0"/>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7A2F19" w14:paraId="5ED254B3" w14:textId="77777777" w:rsidTr="0050389F">
        <w:trPr>
          <w:jc w:val="center"/>
        </w:trPr>
        <w:tc>
          <w:tcPr>
            <w:tcW w:w="2268" w:type="dxa"/>
            <w:shd w:val="clear" w:color="auto" w:fill="FFFFFF"/>
            <w:hideMark/>
          </w:tcPr>
          <w:p w14:paraId="5ED254B0"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 xml:space="preserve">Poveikis </w:t>
            </w:r>
          </w:p>
          <w:p w14:paraId="5ED254B1"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valstybės finansams</w:t>
            </w:r>
          </w:p>
        </w:tc>
        <w:tc>
          <w:tcPr>
            <w:tcW w:w="7371" w:type="dxa"/>
            <w:shd w:val="clear" w:color="auto" w:fill="auto"/>
            <w:hideMark/>
          </w:tcPr>
          <w:p w14:paraId="5ED254B2" w14:textId="77777777"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4D607F" w:rsidRPr="007A2F19">
              <w:rPr>
                <w:rFonts w:ascii="Times New Roman" w:hAnsi="Times New Roman"/>
                <w:sz w:val="24"/>
                <w:szCs w:val="24"/>
              </w:rPr>
              <w:t>.</w:t>
            </w:r>
          </w:p>
        </w:tc>
      </w:tr>
    </w:tbl>
    <w:p w14:paraId="5ED254B4" w14:textId="77777777" w:rsidR="00C15ADA" w:rsidRPr="007A2F19" w:rsidRDefault="00C15ADA" w:rsidP="00040982">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7A2F19" w14:paraId="5ED254B7" w14:textId="77777777" w:rsidTr="00B9167D">
        <w:trPr>
          <w:jc w:val="center"/>
        </w:trPr>
        <w:tc>
          <w:tcPr>
            <w:tcW w:w="2268" w:type="dxa"/>
            <w:tcBorders>
              <w:top w:val="nil"/>
              <w:left w:val="nil"/>
              <w:bottom w:val="nil"/>
              <w:right w:val="nil"/>
            </w:tcBorders>
            <w:shd w:val="clear" w:color="auto" w:fill="FFFFFF"/>
          </w:tcPr>
          <w:p w14:paraId="5ED254B5" w14:textId="77777777" w:rsidR="00C15ADA" w:rsidRPr="007A2F19" w:rsidRDefault="00C15ADA" w:rsidP="00040982">
            <w:pPr>
              <w:spacing w:after="0"/>
              <w:rPr>
                <w:rFonts w:ascii="Times New Roman" w:hAnsi="Times New Roman"/>
                <w:b/>
                <w:sz w:val="24"/>
                <w:szCs w:val="24"/>
              </w:rPr>
            </w:pPr>
            <w:r w:rsidRPr="007A2F19">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5ED254B6" w14:textId="77777777" w:rsidR="00C15ADA" w:rsidRPr="007A2F19" w:rsidRDefault="00D43E88" w:rsidP="00040982">
            <w:pPr>
              <w:spacing w:after="0"/>
              <w:jc w:val="both"/>
              <w:rPr>
                <w:rFonts w:ascii="Times New Roman" w:hAnsi="Times New Roman"/>
                <w:sz w:val="24"/>
                <w:szCs w:val="24"/>
              </w:rPr>
            </w:pPr>
            <w:r w:rsidRPr="007A2F19">
              <w:rPr>
                <w:rFonts w:ascii="Times New Roman" w:hAnsi="Times New Roman"/>
                <w:sz w:val="24"/>
                <w:szCs w:val="24"/>
              </w:rPr>
              <w:t>Nenumatomas</w:t>
            </w:r>
            <w:r w:rsidR="005F563B" w:rsidRPr="007A2F19">
              <w:rPr>
                <w:rFonts w:ascii="Times New Roman" w:hAnsi="Times New Roman"/>
                <w:sz w:val="24"/>
                <w:szCs w:val="24"/>
              </w:rPr>
              <w:t>.</w:t>
            </w:r>
          </w:p>
        </w:tc>
      </w:tr>
    </w:tbl>
    <w:p w14:paraId="5ED254B8" w14:textId="77777777" w:rsidR="00C15ADA" w:rsidRPr="00040982" w:rsidRDefault="00C15ADA" w:rsidP="00040982">
      <w:pPr>
        <w:shd w:val="clear" w:color="auto" w:fill="FFFFFF"/>
        <w:spacing w:after="0"/>
        <w:rPr>
          <w:rFonts w:ascii="Times New Roman" w:hAnsi="Times New Roman"/>
          <w:i/>
          <w:sz w:val="16"/>
          <w:szCs w:val="16"/>
        </w:rPr>
      </w:pPr>
    </w:p>
    <w:tbl>
      <w:tblPr>
        <w:tblW w:w="9639" w:type="dxa"/>
        <w:jc w:val="center"/>
        <w:shd w:val="clear" w:color="auto" w:fill="FFFFFF"/>
        <w:tblLook w:val="00A0" w:firstRow="1" w:lastRow="0" w:firstColumn="1" w:lastColumn="0" w:noHBand="0" w:noVBand="0"/>
      </w:tblPr>
      <w:tblGrid>
        <w:gridCol w:w="9639"/>
      </w:tblGrid>
      <w:tr w:rsidR="00C15ADA" w:rsidRPr="007A2F19" w14:paraId="5ED254BA" w14:textId="77777777" w:rsidTr="00B9167D">
        <w:trPr>
          <w:trHeight w:val="379"/>
          <w:jc w:val="center"/>
        </w:trPr>
        <w:tc>
          <w:tcPr>
            <w:tcW w:w="9639" w:type="dxa"/>
            <w:vMerge w:val="restart"/>
            <w:shd w:val="clear" w:color="auto" w:fill="FFFFFF"/>
            <w:hideMark/>
          </w:tcPr>
          <w:p w14:paraId="5ED254B9" w14:textId="77777777" w:rsidR="00C15ADA" w:rsidRPr="007A2F19" w:rsidRDefault="00C15ADA" w:rsidP="00040982">
            <w:pPr>
              <w:shd w:val="clear" w:color="auto" w:fill="FFFFFF"/>
              <w:spacing w:after="0"/>
              <w:rPr>
                <w:rFonts w:ascii="Times New Roman" w:hAnsi="Times New Roman"/>
                <w:b/>
                <w:sz w:val="24"/>
                <w:szCs w:val="24"/>
              </w:rPr>
            </w:pPr>
            <w:r w:rsidRPr="007A2F19">
              <w:rPr>
                <w:rFonts w:ascii="Times New Roman" w:hAnsi="Times New Roman"/>
                <w:b/>
                <w:sz w:val="24"/>
                <w:szCs w:val="24"/>
              </w:rPr>
              <w:t>Kita svarbi informacija</w:t>
            </w:r>
            <w:r w:rsidR="00664346" w:rsidRPr="007A2F19">
              <w:rPr>
                <w:rFonts w:ascii="Times New Roman" w:hAnsi="Times New Roman"/>
                <w:sz w:val="24"/>
                <w:szCs w:val="24"/>
              </w:rPr>
              <w:t xml:space="preserve"> Nėra.</w:t>
            </w:r>
          </w:p>
        </w:tc>
      </w:tr>
      <w:tr w:rsidR="00C15ADA" w:rsidRPr="007A2F19" w14:paraId="5ED254BC" w14:textId="77777777" w:rsidTr="00040982">
        <w:trPr>
          <w:trHeight w:val="317"/>
          <w:jc w:val="center"/>
        </w:trPr>
        <w:tc>
          <w:tcPr>
            <w:tcW w:w="0" w:type="auto"/>
            <w:vMerge/>
            <w:shd w:val="clear" w:color="auto" w:fill="FFFFFF"/>
            <w:vAlign w:val="center"/>
            <w:hideMark/>
          </w:tcPr>
          <w:p w14:paraId="5ED254BB" w14:textId="77777777" w:rsidR="00C15ADA" w:rsidRPr="007A2F19" w:rsidRDefault="00C15ADA" w:rsidP="00040982">
            <w:pPr>
              <w:spacing w:after="0"/>
              <w:rPr>
                <w:rFonts w:ascii="Times New Roman" w:hAnsi="Times New Roman"/>
                <w:b/>
                <w:sz w:val="24"/>
                <w:szCs w:val="24"/>
              </w:rPr>
            </w:pPr>
          </w:p>
        </w:tc>
      </w:tr>
    </w:tbl>
    <w:p w14:paraId="5ED254BD" w14:textId="77777777" w:rsidR="00C15ADA" w:rsidRPr="007A2F19" w:rsidRDefault="00C15ADA" w:rsidP="00040982">
      <w:pPr>
        <w:pStyle w:val="ListParagraph1"/>
        <w:spacing w:line="276" w:lineRule="auto"/>
        <w:ind w:left="0" w:firstLine="142"/>
        <w:jc w:val="both"/>
        <w:rPr>
          <w:b/>
          <w:szCs w:val="24"/>
        </w:rPr>
      </w:pPr>
      <w:r w:rsidRPr="007A2F19">
        <w:rPr>
          <w:b/>
          <w:szCs w:val="24"/>
        </w:rPr>
        <w:t>Informacija apie asmenį ir instituciją, atsakingą už poveikio vertinimą</w:t>
      </w:r>
    </w:p>
    <w:p w14:paraId="5ED254BE" w14:textId="77777777" w:rsidR="00C15ADA" w:rsidRPr="00040982" w:rsidRDefault="00C15ADA" w:rsidP="00040982">
      <w:pPr>
        <w:spacing w:after="0"/>
        <w:jc w:val="both"/>
        <w:rPr>
          <w:rFonts w:ascii="Times New Roman" w:hAnsi="Times New Roman"/>
          <w:sz w:val="16"/>
          <w:szCs w:val="16"/>
        </w:rPr>
      </w:pPr>
    </w:p>
    <w:tbl>
      <w:tblPr>
        <w:tblW w:w="9639" w:type="dxa"/>
        <w:jc w:val="center"/>
        <w:tblLook w:val="00A0" w:firstRow="1" w:lastRow="0" w:firstColumn="1" w:lastColumn="0" w:noHBand="0" w:noVBand="0"/>
      </w:tblPr>
      <w:tblGrid>
        <w:gridCol w:w="2835"/>
        <w:gridCol w:w="6804"/>
      </w:tblGrid>
      <w:tr w:rsidR="001C1659" w:rsidRPr="007A2F19" w14:paraId="5ED254C1" w14:textId="77777777" w:rsidTr="00040982">
        <w:trPr>
          <w:trHeight w:val="489"/>
          <w:jc w:val="center"/>
        </w:trPr>
        <w:tc>
          <w:tcPr>
            <w:tcW w:w="2835" w:type="dxa"/>
            <w:tcMar>
              <w:top w:w="28" w:type="dxa"/>
              <w:bottom w:w="28" w:type="dxa"/>
            </w:tcMar>
            <w:hideMark/>
          </w:tcPr>
          <w:p w14:paraId="5ED254BF" w14:textId="77777777" w:rsidR="001C1659" w:rsidRPr="007A2F19" w:rsidRDefault="001C1659" w:rsidP="00040982">
            <w:pPr>
              <w:pStyle w:val="ListParagraph1"/>
              <w:spacing w:line="276" w:lineRule="auto"/>
              <w:ind w:left="0"/>
              <w:rPr>
                <w:szCs w:val="24"/>
              </w:rPr>
            </w:pPr>
            <w:r w:rsidRPr="007A2F19">
              <w:rPr>
                <w:szCs w:val="24"/>
              </w:rPr>
              <w:t>Vardas ir pavardė</w:t>
            </w:r>
          </w:p>
        </w:tc>
        <w:tc>
          <w:tcPr>
            <w:tcW w:w="6804" w:type="dxa"/>
            <w:tcMar>
              <w:top w:w="28" w:type="dxa"/>
              <w:bottom w:w="28" w:type="dxa"/>
            </w:tcMar>
          </w:tcPr>
          <w:p w14:paraId="5ED254C0" w14:textId="77777777" w:rsidR="001C1659" w:rsidRPr="007A2F19" w:rsidRDefault="007A408D" w:rsidP="00040982">
            <w:pPr>
              <w:pStyle w:val="ListParagraph1"/>
              <w:spacing w:line="276" w:lineRule="auto"/>
              <w:ind w:left="0"/>
              <w:rPr>
                <w:szCs w:val="24"/>
              </w:rPr>
            </w:pPr>
            <w:r w:rsidRPr="007A2F19">
              <w:rPr>
                <w:szCs w:val="24"/>
              </w:rPr>
              <w:t>Sergėjus Volkovas</w:t>
            </w:r>
          </w:p>
        </w:tc>
      </w:tr>
      <w:tr w:rsidR="001C1659" w:rsidRPr="007A2F19" w14:paraId="5ED254C4" w14:textId="77777777" w:rsidTr="00040982">
        <w:trPr>
          <w:trHeight w:val="394"/>
          <w:jc w:val="center"/>
        </w:trPr>
        <w:tc>
          <w:tcPr>
            <w:tcW w:w="2835" w:type="dxa"/>
            <w:tcMar>
              <w:top w:w="28" w:type="dxa"/>
              <w:bottom w:w="28" w:type="dxa"/>
            </w:tcMar>
            <w:hideMark/>
          </w:tcPr>
          <w:p w14:paraId="5ED254C2" w14:textId="77777777" w:rsidR="001C1659" w:rsidRPr="007A2F19" w:rsidRDefault="001C1659" w:rsidP="00040982">
            <w:pPr>
              <w:pStyle w:val="ListParagraph1"/>
              <w:spacing w:line="276" w:lineRule="auto"/>
              <w:ind w:left="0"/>
              <w:rPr>
                <w:b/>
                <w:szCs w:val="24"/>
              </w:rPr>
            </w:pPr>
            <w:r w:rsidRPr="007A2F19">
              <w:rPr>
                <w:szCs w:val="24"/>
              </w:rPr>
              <w:t>Pareigos</w:t>
            </w:r>
          </w:p>
        </w:tc>
        <w:tc>
          <w:tcPr>
            <w:tcW w:w="6804" w:type="dxa"/>
            <w:tcMar>
              <w:top w:w="28" w:type="dxa"/>
              <w:bottom w:w="28" w:type="dxa"/>
            </w:tcMar>
          </w:tcPr>
          <w:p w14:paraId="5ED254C3" w14:textId="77777777" w:rsidR="001C1659" w:rsidRPr="007A2F19" w:rsidRDefault="007A408D" w:rsidP="00040982">
            <w:pPr>
              <w:pStyle w:val="ListParagraph1"/>
              <w:spacing w:line="276" w:lineRule="auto"/>
              <w:ind w:left="0"/>
              <w:rPr>
                <w:szCs w:val="24"/>
              </w:rPr>
            </w:pPr>
            <w:r w:rsidRPr="007A2F19">
              <w:rPr>
                <w:szCs w:val="24"/>
              </w:rPr>
              <w:t xml:space="preserve">Vyresnysis patarėjas </w:t>
            </w:r>
          </w:p>
        </w:tc>
      </w:tr>
      <w:tr w:rsidR="001C1659" w:rsidRPr="007A2F19" w14:paraId="5ED254C7" w14:textId="77777777" w:rsidTr="00040982">
        <w:trPr>
          <w:trHeight w:val="672"/>
          <w:jc w:val="center"/>
        </w:trPr>
        <w:tc>
          <w:tcPr>
            <w:tcW w:w="2835" w:type="dxa"/>
            <w:tcMar>
              <w:top w:w="28" w:type="dxa"/>
              <w:bottom w:w="28" w:type="dxa"/>
            </w:tcMar>
            <w:hideMark/>
          </w:tcPr>
          <w:p w14:paraId="5ED254C5" w14:textId="77777777" w:rsidR="001C1659" w:rsidRPr="007A2F19" w:rsidRDefault="001C1659" w:rsidP="00040982">
            <w:pPr>
              <w:pStyle w:val="ListParagraph1"/>
              <w:spacing w:line="276" w:lineRule="auto"/>
              <w:ind w:left="0"/>
              <w:rPr>
                <w:b/>
                <w:szCs w:val="24"/>
              </w:rPr>
            </w:pPr>
            <w:r w:rsidRPr="007A2F19">
              <w:rPr>
                <w:szCs w:val="24"/>
              </w:rPr>
              <w:t>Institucija (padalinys)</w:t>
            </w:r>
          </w:p>
        </w:tc>
        <w:tc>
          <w:tcPr>
            <w:tcW w:w="6804" w:type="dxa"/>
            <w:tcMar>
              <w:top w:w="28" w:type="dxa"/>
              <w:bottom w:w="28" w:type="dxa"/>
            </w:tcMar>
          </w:tcPr>
          <w:p w14:paraId="5ED254C6" w14:textId="77777777" w:rsidR="001C1659" w:rsidRPr="007A2F19" w:rsidRDefault="001C1659" w:rsidP="00040982">
            <w:pPr>
              <w:pStyle w:val="ListParagraph1"/>
              <w:spacing w:line="276" w:lineRule="auto"/>
              <w:ind w:left="0"/>
              <w:rPr>
                <w:szCs w:val="24"/>
              </w:rPr>
            </w:pPr>
            <w:r w:rsidRPr="007A2F19">
              <w:rPr>
                <w:szCs w:val="24"/>
              </w:rPr>
              <w:t xml:space="preserve">Lietuvos Respublikos </w:t>
            </w:r>
            <w:r w:rsidR="006631A6" w:rsidRPr="007A2F19">
              <w:rPr>
                <w:szCs w:val="24"/>
              </w:rPr>
              <w:t xml:space="preserve">susisiekimo </w:t>
            </w:r>
            <w:r w:rsidRPr="007A2F19">
              <w:rPr>
                <w:szCs w:val="24"/>
              </w:rPr>
              <w:t xml:space="preserve">ministerijos </w:t>
            </w:r>
            <w:r w:rsidR="007A408D" w:rsidRPr="007A2F19">
              <w:rPr>
                <w:szCs w:val="24"/>
              </w:rPr>
              <w:t xml:space="preserve">Kelių </w:t>
            </w:r>
            <w:r w:rsidR="005F07F9" w:rsidRPr="007A2F19">
              <w:rPr>
                <w:szCs w:val="24"/>
              </w:rPr>
              <w:t xml:space="preserve">ir oro </w:t>
            </w:r>
            <w:r w:rsidR="007A408D" w:rsidRPr="007A2F19">
              <w:rPr>
                <w:szCs w:val="24"/>
              </w:rPr>
              <w:t xml:space="preserve">transporto politikos </w:t>
            </w:r>
            <w:r w:rsidR="005F07F9" w:rsidRPr="007A2F19">
              <w:rPr>
                <w:szCs w:val="24"/>
              </w:rPr>
              <w:t xml:space="preserve">grupė </w:t>
            </w:r>
          </w:p>
        </w:tc>
      </w:tr>
      <w:tr w:rsidR="001C1659" w:rsidRPr="007A2F19" w14:paraId="5ED254CA" w14:textId="77777777" w:rsidTr="00F81AAB">
        <w:trPr>
          <w:trHeight w:val="491"/>
          <w:jc w:val="center"/>
        </w:trPr>
        <w:tc>
          <w:tcPr>
            <w:tcW w:w="2835" w:type="dxa"/>
            <w:tcMar>
              <w:top w:w="28" w:type="dxa"/>
              <w:bottom w:w="28" w:type="dxa"/>
            </w:tcMar>
            <w:hideMark/>
          </w:tcPr>
          <w:p w14:paraId="5ED254C8" w14:textId="77777777" w:rsidR="001C1659" w:rsidRPr="007A2F19" w:rsidRDefault="001C1659" w:rsidP="00040982">
            <w:pPr>
              <w:pStyle w:val="ListParagraph1"/>
              <w:spacing w:line="276" w:lineRule="auto"/>
              <w:ind w:left="0"/>
              <w:rPr>
                <w:szCs w:val="24"/>
              </w:rPr>
            </w:pPr>
            <w:r w:rsidRPr="007A2F19">
              <w:rPr>
                <w:szCs w:val="24"/>
              </w:rPr>
              <w:t>Telefono numeris ir elektroninio pašto adresas</w:t>
            </w:r>
          </w:p>
        </w:tc>
        <w:tc>
          <w:tcPr>
            <w:tcW w:w="6804" w:type="dxa"/>
            <w:tcMar>
              <w:top w:w="28" w:type="dxa"/>
              <w:bottom w:w="28" w:type="dxa"/>
            </w:tcMar>
          </w:tcPr>
          <w:p w14:paraId="5ED254C9" w14:textId="77777777" w:rsidR="001C1659" w:rsidRPr="007A2F19" w:rsidRDefault="001C1659" w:rsidP="00040982">
            <w:pPr>
              <w:pStyle w:val="ListParagraph1"/>
              <w:spacing w:line="276" w:lineRule="auto"/>
              <w:ind w:left="0"/>
              <w:rPr>
                <w:szCs w:val="24"/>
              </w:rPr>
            </w:pPr>
            <w:r w:rsidRPr="007A2F19">
              <w:rPr>
                <w:szCs w:val="24"/>
              </w:rPr>
              <w:t xml:space="preserve">Tel. </w:t>
            </w:r>
            <w:r w:rsidR="007A408D" w:rsidRPr="007A2F19">
              <w:rPr>
                <w:szCs w:val="24"/>
              </w:rPr>
              <w:t>(</w:t>
            </w:r>
            <w:r w:rsidRPr="007A2F19">
              <w:rPr>
                <w:szCs w:val="24"/>
              </w:rPr>
              <w:t xml:space="preserve">8 </w:t>
            </w:r>
            <w:r w:rsidR="007A408D" w:rsidRPr="007A2F19">
              <w:rPr>
                <w:szCs w:val="24"/>
              </w:rPr>
              <w:t>5) 239 3877</w:t>
            </w:r>
            <w:r w:rsidR="00B2700D" w:rsidRPr="007A2F19">
              <w:rPr>
                <w:szCs w:val="24"/>
              </w:rPr>
              <w:t>,</w:t>
            </w:r>
            <w:r w:rsidRPr="007A2F19">
              <w:rPr>
                <w:szCs w:val="24"/>
              </w:rPr>
              <w:t xml:space="preserve"> el. paštas </w:t>
            </w:r>
            <w:r w:rsidR="0037290F" w:rsidRPr="007A2F19">
              <w:rPr>
                <w:szCs w:val="24"/>
              </w:rPr>
              <w:t>serge</w:t>
            </w:r>
            <w:r w:rsidR="007A408D" w:rsidRPr="007A2F19">
              <w:rPr>
                <w:szCs w:val="24"/>
              </w:rPr>
              <w:t>jus</w:t>
            </w:r>
            <w:r w:rsidR="00DE6568" w:rsidRPr="007A2F19">
              <w:rPr>
                <w:szCs w:val="24"/>
              </w:rPr>
              <w:t>.</w:t>
            </w:r>
            <w:r w:rsidR="007A408D" w:rsidRPr="007A2F19">
              <w:rPr>
                <w:szCs w:val="24"/>
              </w:rPr>
              <w:t>volkovas</w:t>
            </w:r>
            <w:r w:rsidRPr="007A2F19">
              <w:rPr>
                <w:szCs w:val="24"/>
              </w:rPr>
              <w:t>@</w:t>
            </w:r>
            <w:r w:rsidR="007A408D" w:rsidRPr="007A2F19">
              <w:rPr>
                <w:szCs w:val="24"/>
              </w:rPr>
              <w:t>sumin</w:t>
            </w:r>
            <w:r w:rsidRPr="007A2F19">
              <w:rPr>
                <w:szCs w:val="24"/>
              </w:rPr>
              <w:t xml:space="preserve">.lt </w:t>
            </w:r>
          </w:p>
        </w:tc>
      </w:tr>
    </w:tbl>
    <w:p w14:paraId="5ED254CB" w14:textId="77777777" w:rsidR="00C15ADA" w:rsidRPr="008D6FD1" w:rsidRDefault="00C15ADA" w:rsidP="00040982">
      <w:pPr>
        <w:pStyle w:val="Antrats"/>
        <w:tabs>
          <w:tab w:val="clear" w:pos="4153"/>
          <w:tab w:val="clear" w:pos="8306"/>
          <w:tab w:val="left" w:pos="6237"/>
        </w:tabs>
        <w:spacing w:line="276" w:lineRule="auto"/>
        <w:rPr>
          <w:szCs w:val="24"/>
        </w:rPr>
      </w:pPr>
    </w:p>
    <w:sectPr w:rsidR="00C15ADA" w:rsidRPr="008D6FD1" w:rsidSect="00040982">
      <w:pgSz w:w="11906" w:h="16838"/>
      <w:pgMar w:top="85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C69D" w16cex:dateUtc="2020-06-11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966558" w16cid:durableId="228CC6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NDewMDY1MTQ0szBT0lEKTi0uzszPAykwrAUA9zZSWCwAAAA="/>
  </w:docVars>
  <w:rsids>
    <w:rsidRoot w:val="00C15ADA"/>
    <w:rsid w:val="00006AC3"/>
    <w:rsid w:val="00015243"/>
    <w:rsid w:val="00033998"/>
    <w:rsid w:val="00040982"/>
    <w:rsid w:val="00044851"/>
    <w:rsid w:val="00045506"/>
    <w:rsid w:val="0005529F"/>
    <w:rsid w:val="00057A18"/>
    <w:rsid w:val="00097F64"/>
    <w:rsid w:val="000C30F8"/>
    <w:rsid w:val="000D746A"/>
    <w:rsid w:val="00125C9D"/>
    <w:rsid w:val="00133A34"/>
    <w:rsid w:val="00147C5F"/>
    <w:rsid w:val="00180BD6"/>
    <w:rsid w:val="00185596"/>
    <w:rsid w:val="001B7EA3"/>
    <w:rsid w:val="001C1659"/>
    <w:rsid w:val="001C28CC"/>
    <w:rsid w:val="002044B8"/>
    <w:rsid w:val="00224D60"/>
    <w:rsid w:val="00225FAE"/>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26CC8"/>
    <w:rsid w:val="00431C9D"/>
    <w:rsid w:val="00465B39"/>
    <w:rsid w:val="004765E1"/>
    <w:rsid w:val="004A0B9D"/>
    <w:rsid w:val="004A38EB"/>
    <w:rsid w:val="004B7D91"/>
    <w:rsid w:val="004C3697"/>
    <w:rsid w:val="004C4DAE"/>
    <w:rsid w:val="004D52BA"/>
    <w:rsid w:val="004D607F"/>
    <w:rsid w:val="004E34E3"/>
    <w:rsid w:val="0050389F"/>
    <w:rsid w:val="00505468"/>
    <w:rsid w:val="00505541"/>
    <w:rsid w:val="00534D7B"/>
    <w:rsid w:val="005435E9"/>
    <w:rsid w:val="00577378"/>
    <w:rsid w:val="00581CC9"/>
    <w:rsid w:val="005C1C87"/>
    <w:rsid w:val="005E457A"/>
    <w:rsid w:val="005F07F9"/>
    <w:rsid w:val="005F563B"/>
    <w:rsid w:val="006019BB"/>
    <w:rsid w:val="006432A2"/>
    <w:rsid w:val="00655068"/>
    <w:rsid w:val="0066060D"/>
    <w:rsid w:val="006631A6"/>
    <w:rsid w:val="00664346"/>
    <w:rsid w:val="00674470"/>
    <w:rsid w:val="00681DA3"/>
    <w:rsid w:val="006C0AA6"/>
    <w:rsid w:val="006C1CB4"/>
    <w:rsid w:val="006C2029"/>
    <w:rsid w:val="006F3DB3"/>
    <w:rsid w:val="00735F6A"/>
    <w:rsid w:val="0074398C"/>
    <w:rsid w:val="00754E77"/>
    <w:rsid w:val="007A2F19"/>
    <w:rsid w:val="007A408D"/>
    <w:rsid w:val="007B3CC6"/>
    <w:rsid w:val="007C5C02"/>
    <w:rsid w:val="007D2BDD"/>
    <w:rsid w:val="0080763B"/>
    <w:rsid w:val="0082100E"/>
    <w:rsid w:val="00835E6F"/>
    <w:rsid w:val="00837CE0"/>
    <w:rsid w:val="00893594"/>
    <w:rsid w:val="008D6FD1"/>
    <w:rsid w:val="008F35E1"/>
    <w:rsid w:val="009238CE"/>
    <w:rsid w:val="0093434E"/>
    <w:rsid w:val="009504E9"/>
    <w:rsid w:val="009E76D1"/>
    <w:rsid w:val="009F1C91"/>
    <w:rsid w:val="00A008E0"/>
    <w:rsid w:val="00A7083B"/>
    <w:rsid w:val="00A90717"/>
    <w:rsid w:val="00AA1EE6"/>
    <w:rsid w:val="00AA3664"/>
    <w:rsid w:val="00AA484C"/>
    <w:rsid w:val="00AB0976"/>
    <w:rsid w:val="00AE61E8"/>
    <w:rsid w:val="00AE6B45"/>
    <w:rsid w:val="00B24A43"/>
    <w:rsid w:val="00B2700D"/>
    <w:rsid w:val="00B462AF"/>
    <w:rsid w:val="00B82E43"/>
    <w:rsid w:val="00B91124"/>
    <w:rsid w:val="00B9167D"/>
    <w:rsid w:val="00B92F5C"/>
    <w:rsid w:val="00BA00EB"/>
    <w:rsid w:val="00BB1D20"/>
    <w:rsid w:val="00BC1D13"/>
    <w:rsid w:val="00BC636E"/>
    <w:rsid w:val="00BD2018"/>
    <w:rsid w:val="00C15705"/>
    <w:rsid w:val="00C15ADA"/>
    <w:rsid w:val="00C20F3E"/>
    <w:rsid w:val="00C5414D"/>
    <w:rsid w:val="00C861E2"/>
    <w:rsid w:val="00C964FE"/>
    <w:rsid w:val="00CA0782"/>
    <w:rsid w:val="00CA506A"/>
    <w:rsid w:val="00CB0D0B"/>
    <w:rsid w:val="00CF4FA2"/>
    <w:rsid w:val="00CF7FF3"/>
    <w:rsid w:val="00D2394F"/>
    <w:rsid w:val="00D4001F"/>
    <w:rsid w:val="00D43E88"/>
    <w:rsid w:val="00D76AE9"/>
    <w:rsid w:val="00DB1529"/>
    <w:rsid w:val="00DC5F97"/>
    <w:rsid w:val="00DE6568"/>
    <w:rsid w:val="00E21229"/>
    <w:rsid w:val="00E60122"/>
    <w:rsid w:val="00E80358"/>
    <w:rsid w:val="00E83F98"/>
    <w:rsid w:val="00EC7614"/>
    <w:rsid w:val="00EE431B"/>
    <w:rsid w:val="00F00896"/>
    <w:rsid w:val="00F20699"/>
    <w:rsid w:val="00F52763"/>
    <w:rsid w:val="00F57041"/>
    <w:rsid w:val="00F81AAB"/>
    <w:rsid w:val="00F86CD9"/>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5496"/>
  <w15:docId w15:val="{A94A25C4-B7F3-475B-8B10-69EB9BE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4827">
      <w:bodyDiv w:val="1"/>
      <w:marLeft w:val="0"/>
      <w:marRight w:val="0"/>
      <w:marTop w:val="0"/>
      <w:marBottom w:val="0"/>
      <w:divBdr>
        <w:top w:val="none" w:sz="0" w:space="0" w:color="auto"/>
        <w:left w:val="none" w:sz="0" w:space="0" w:color="auto"/>
        <w:bottom w:val="none" w:sz="0" w:space="0" w:color="auto"/>
        <w:right w:val="none" w:sz="0" w:space="0" w:color="auto"/>
      </w:divBdr>
    </w:div>
    <w:div w:id="821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ommentsIds.xml" Type="http://schemas.microsoft.com/office/2016/09/relationships/commentsIds"/>
<Relationship Id="rId8" Target="commentsExtensible.xml" Type="http://schemas.microsoft.com/office/2018/08/relationships/commentsExtensi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A393-A071-4C56-897D-495EB7D7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2691</Words>
  <Characters>1534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2019-10-21T05:19:00Z</dcterms:created>
  <dc:creator>Audrius Naktinis</dc:creator>
  <cp:lastModifiedBy>Sergėjus Volkovas</cp:lastModifiedBy>
  <dcterms:modified xsi:type="dcterms:W3CDTF">2020-06-23T06:54:00Z</dcterms:modified>
  <cp:revision>12</cp:revision>
</cp:coreProperties>
</file>