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7E798" w14:textId="77777777" w:rsidR="004E7D75" w:rsidRDefault="004E7D75" w:rsidP="00050466">
      <w:pPr>
        <w:jc w:val="center"/>
        <w:rPr>
          <w:rFonts w:eastAsia="Andale Sans UI" w:cs="Tahoma"/>
          <w:b/>
          <w:caps/>
          <w:kern w:val="0"/>
          <w:lang w:eastAsia="en-US" w:bidi="en-US"/>
        </w:rPr>
      </w:pPr>
    </w:p>
    <w:p w14:paraId="02819C49" w14:textId="77777777" w:rsidR="004E7D75" w:rsidRDefault="004E7D75" w:rsidP="00050466">
      <w:pPr>
        <w:jc w:val="center"/>
        <w:rPr>
          <w:rFonts w:eastAsia="Andale Sans UI" w:cs="Tahoma"/>
          <w:b/>
          <w:caps/>
          <w:kern w:val="0"/>
          <w:lang w:eastAsia="en-US" w:bidi="en-US"/>
        </w:rPr>
      </w:pPr>
    </w:p>
    <w:p w14:paraId="408BC6A9" w14:textId="77777777" w:rsidR="008E6F32" w:rsidRPr="009174FB" w:rsidRDefault="0085352B" w:rsidP="00050466">
      <w:pPr>
        <w:jc w:val="center"/>
        <w:rPr>
          <w:b/>
          <w:bCs/>
          <w:caps/>
        </w:rPr>
      </w:pPr>
      <w:r w:rsidRPr="009174FB">
        <w:rPr>
          <w:rFonts w:eastAsia="Andale Sans UI" w:cs="Tahoma"/>
          <w:b/>
          <w:caps/>
          <w:kern w:val="0"/>
          <w:lang w:eastAsia="en-US" w:bidi="en-US"/>
        </w:rPr>
        <w:t xml:space="preserve">Lietuvos Respublikos Vyriausybės nutarimo „Dėl Lietuvos Respublikos Vyriausybės 2011 m. balandžio 6 d. nutarimo Nr. 409 „Dėl atsakomybės ir funkcijų paskirstymo tarp institucijų, įgyvendinant 2010 m. lapkričio 12 d. Komisijos reglamentą (ES) Nr. 1031/2010 dėl šiltnamio efektą sukeliančių dujų apyvartinių taršos leidimų pardavimo aukcione pagal Europos Parlamento ir Tarybos direktyvą 2003/87/EB, nustatančią šiltnamio efektą sukeliančių dujų emisijos leidimų sistemą Bendrijoje, terminų, administravimo ir kitų aspektų“ pakeitimo“ projekto </w:t>
      </w:r>
      <w:r w:rsidR="008E6F32" w:rsidRPr="009174FB">
        <w:rPr>
          <w:b/>
          <w:bCs/>
          <w:caps/>
        </w:rPr>
        <w:t>DERINIMO PAŽYMA</w:t>
      </w:r>
    </w:p>
    <w:p w14:paraId="408BC6AA" w14:textId="77777777" w:rsidR="008E6F32" w:rsidRPr="009174FB" w:rsidRDefault="008E6F32" w:rsidP="008E6F32">
      <w:pPr>
        <w:rPr>
          <w:b/>
          <w:bCs/>
        </w:rPr>
      </w:pPr>
    </w:p>
    <w:tbl>
      <w:tblPr>
        <w:tblW w:w="15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11"/>
        <w:gridCol w:w="4820"/>
        <w:gridCol w:w="7479"/>
      </w:tblGrid>
      <w:tr w:rsidR="008D508F" w:rsidRPr="009174FB" w14:paraId="408BC6B5" w14:textId="77777777" w:rsidTr="004E7D75">
        <w:trPr>
          <w:trHeight w:val="498"/>
        </w:trPr>
        <w:tc>
          <w:tcPr>
            <w:tcW w:w="817" w:type="dxa"/>
          </w:tcPr>
          <w:p w14:paraId="408BC6AB" w14:textId="77777777" w:rsidR="008D508F" w:rsidRPr="009174FB" w:rsidRDefault="008D508F" w:rsidP="00DA2BD1">
            <w:pPr>
              <w:jc w:val="center"/>
              <w:rPr>
                <w:b/>
                <w:bCs/>
              </w:rPr>
            </w:pPr>
            <w:r w:rsidRPr="009174FB">
              <w:rPr>
                <w:b/>
                <w:bCs/>
              </w:rPr>
              <w:t xml:space="preserve">Eil. </w:t>
            </w:r>
          </w:p>
          <w:p w14:paraId="408BC6AC" w14:textId="77777777" w:rsidR="008D508F" w:rsidRPr="009174FB" w:rsidRDefault="008D508F" w:rsidP="00DA2BD1">
            <w:pPr>
              <w:jc w:val="center"/>
              <w:rPr>
                <w:b/>
                <w:bCs/>
              </w:rPr>
            </w:pPr>
            <w:r w:rsidRPr="009174FB">
              <w:rPr>
                <w:b/>
                <w:bCs/>
              </w:rPr>
              <w:t>Nr.</w:t>
            </w:r>
          </w:p>
        </w:tc>
        <w:tc>
          <w:tcPr>
            <w:tcW w:w="2211" w:type="dxa"/>
            <w:vAlign w:val="center"/>
          </w:tcPr>
          <w:p w14:paraId="408BC6AD" w14:textId="77777777" w:rsidR="008D508F" w:rsidRPr="009174FB" w:rsidRDefault="008D508F" w:rsidP="00DA2BD1">
            <w:pPr>
              <w:jc w:val="center"/>
            </w:pPr>
            <w:r w:rsidRPr="009174FB">
              <w:rPr>
                <w:b/>
                <w:bCs/>
              </w:rPr>
              <w:t>Institucijos pavadinimas, rašto data ir numeris</w:t>
            </w:r>
          </w:p>
        </w:tc>
        <w:tc>
          <w:tcPr>
            <w:tcW w:w="4820" w:type="dxa"/>
            <w:vAlign w:val="center"/>
          </w:tcPr>
          <w:p w14:paraId="408BC6AE" w14:textId="77777777" w:rsidR="008D508F" w:rsidRPr="009174FB" w:rsidRDefault="008D508F" w:rsidP="00E86436">
            <w:pPr>
              <w:jc w:val="center"/>
            </w:pPr>
            <w:r w:rsidRPr="009174FB">
              <w:rPr>
                <w:b/>
                <w:bCs/>
              </w:rPr>
              <w:t>Pastabos ir pasiūlymai</w:t>
            </w:r>
          </w:p>
        </w:tc>
        <w:tc>
          <w:tcPr>
            <w:tcW w:w="7479" w:type="dxa"/>
            <w:vAlign w:val="center"/>
          </w:tcPr>
          <w:p w14:paraId="408BC6AF" w14:textId="77777777" w:rsidR="008D508F" w:rsidRPr="009174FB" w:rsidRDefault="008D508F" w:rsidP="00DA2BD1">
            <w:pPr>
              <w:jc w:val="center"/>
              <w:rPr>
                <w:b/>
                <w:bCs/>
              </w:rPr>
            </w:pPr>
            <w:r w:rsidRPr="009174FB">
              <w:rPr>
                <w:b/>
                <w:bCs/>
              </w:rPr>
              <w:t>Argumentai, kodėl neatsižvelgta į institucijų pastabas ir pasiūlymus</w:t>
            </w:r>
          </w:p>
          <w:p w14:paraId="408BC6B0" w14:textId="77777777" w:rsidR="008D508F" w:rsidRPr="009174FB" w:rsidRDefault="008D508F" w:rsidP="00DA2BD1">
            <w:pPr>
              <w:jc w:val="center"/>
              <w:rPr>
                <w:b/>
                <w:bCs/>
              </w:rPr>
            </w:pPr>
          </w:p>
          <w:p w14:paraId="408BC6B2" w14:textId="77777777" w:rsidR="008D508F" w:rsidRPr="001C7122" w:rsidRDefault="008D508F" w:rsidP="00331C48">
            <w:pPr>
              <w:jc w:val="both"/>
              <w:rPr>
                <w:b/>
              </w:rPr>
            </w:pPr>
            <w:r w:rsidRPr="001C7122">
              <w:rPr>
                <w:b/>
              </w:rPr>
              <w:t>Atsižvelgta iš dalies.</w:t>
            </w:r>
          </w:p>
          <w:p w14:paraId="408BC6B3" w14:textId="77777777" w:rsidR="008D508F" w:rsidRPr="009174FB" w:rsidRDefault="008D508F" w:rsidP="00331C48">
            <w:pPr>
              <w:jc w:val="both"/>
              <w:rPr>
                <w:b/>
              </w:rPr>
            </w:pPr>
            <w:r w:rsidRPr="001C7122">
              <w:rPr>
                <w:b/>
              </w:rPr>
              <w:t>Neatsižvelgta.</w:t>
            </w:r>
          </w:p>
          <w:p w14:paraId="408BC6B4" w14:textId="77777777" w:rsidR="008D508F" w:rsidRPr="009174FB" w:rsidRDefault="008D508F" w:rsidP="00DA2BD1">
            <w:pPr>
              <w:jc w:val="center"/>
            </w:pPr>
          </w:p>
        </w:tc>
      </w:tr>
      <w:tr w:rsidR="008D508F" w:rsidRPr="009174FB" w14:paraId="408BC6C4" w14:textId="77777777" w:rsidTr="004E7D75">
        <w:trPr>
          <w:trHeight w:val="1015"/>
        </w:trPr>
        <w:tc>
          <w:tcPr>
            <w:tcW w:w="817" w:type="dxa"/>
          </w:tcPr>
          <w:p w14:paraId="408BC6B6" w14:textId="77777777" w:rsidR="008D508F" w:rsidRPr="009174FB" w:rsidRDefault="008D508F" w:rsidP="008D508F">
            <w:pPr>
              <w:pStyle w:val="ListParagraph"/>
              <w:numPr>
                <w:ilvl w:val="0"/>
                <w:numId w:val="3"/>
              </w:numPr>
              <w:ind w:left="0" w:firstLine="0"/>
            </w:pPr>
          </w:p>
        </w:tc>
        <w:tc>
          <w:tcPr>
            <w:tcW w:w="2211" w:type="dxa"/>
          </w:tcPr>
          <w:p w14:paraId="408BC6B7" w14:textId="77777777" w:rsidR="008D508F" w:rsidRPr="009174FB" w:rsidRDefault="004842F5" w:rsidP="004842F5">
            <w:r w:rsidRPr="009174FB">
              <w:t>Finansinių nusikaltimų tyrimų taryba prie Lietuvos Respublikos Vidaus reikalų ministerijos, 2020-06-08 raštas Nr. 25/4-7-1-9123</w:t>
            </w:r>
          </w:p>
        </w:tc>
        <w:tc>
          <w:tcPr>
            <w:tcW w:w="4820" w:type="dxa"/>
            <w:tcBorders>
              <w:top w:val="single" w:sz="4" w:space="0" w:color="auto"/>
              <w:bottom w:val="single" w:sz="4" w:space="0" w:color="auto"/>
            </w:tcBorders>
          </w:tcPr>
          <w:p w14:paraId="408BC6B8" w14:textId="77777777" w:rsidR="004842F5" w:rsidRPr="009174FB" w:rsidRDefault="004842F5" w:rsidP="00E34B3B">
            <w:pPr>
              <w:ind w:firstLine="720"/>
              <w:jc w:val="both"/>
            </w:pPr>
            <w:r w:rsidRPr="009174FB">
              <w:t xml:space="preserve">Vadovaujantis Lietuvos Respublikos pinigų plovimo ir teroristų finansavimo prevencijos įstatymo (toliau – Įstatymas) 16 straipsniu, finansų įstaigos ir kiti įpareigotieji subjektai, kaip jie apibrėžti Įstatymo 2 straipsnyje, privalo nedelsdami, ne vėliau kaip per vieną darbo dieną nuo tokių žinių ar įtarimų atsiradimo, pranešti Finansinių nusikaltimų tyrimo tarnybai (toliau – Tarnyba), jeigu žino ar įtaria, kad bet kokios vertės turtas yra tiesiogiai arba netiesiogiai gautas iš nusikalstamos veikos arba dalyvaujant tokioje veikoje, taip pat jeigu žino ar įtaria, kad šis turtas yra skirtas vienam, keliems teroristams ar teroristinei organizacijai remti. Taip pat finansų įstaigos ir kiti įpareigotieji subjektai, gavę informacijos, kad klientas ketina ar bandys atlikti įtartiną piniginę operaciją ar sandorį, privalo nedelsdami informuoti Tarnybą, o advokatai ar advokatų padėjėjai – Lietuvos advokatūrą. Tarnyba, remdamasi gauta informacija, atlieka veiksmus, būtinus abejonėms dėl tariamai kliento </w:t>
            </w:r>
            <w:r w:rsidRPr="009174FB">
              <w:lastRenderedPageBreak/>
              <w:t>vykdomos ar vykdytos nusikalstamos veikos pagrįsti arba paneigti.</w:t>
            </w:r>
          </w:p>
          <w:p w14:paraId="408BC6B9" w14:textId="77777777" w:rsidR="008D508F" w:rsidRPr="009174FB" w:rsidRDefault="004842F5" w:rsidP="00E34B3B">
            <w:pPr>
              <w:tabs>
                <w:tab w:val="left" w:pos="-5040"/>
              </w:tabs>
              <w:ind w:firstLine="851"/>
              <w:jc w:val="both"/>
            </w:pPr>
            <w:r w:rsidRPr="009174FB">
              <w:t>Lietuvos Respublikos Vyriausybės nutarimo dėl Lietuvos Respublikos Vyriausybės 2011 m. balandžio 6 d. nutarimo Nr. 409 „Dėl atsakomybės ir funkcijų paskirstymo tarp institucijų, įgyvendinant 2010 m. lapkričio 12 d. Komisijos reglamentą (ES) Nr. 1031/2010 dėl šiltnamio efektą sukeliančių dujų apyvartinių taršos leidimų pardavimo aukcione pagal Europos Parlamento ir Tarybos direktyvą 2003/87/EB, nustatančią šiltnamio efektą sukeliančių dujų emisijos leidimų sistemą Bendrijoje, terminų, administravimo ir kitų aspektų“ pakeitimo projekte (toliau – Nutarimo projektas) numatyta Tarnybai funkcija – atlikti kompetentingos nacionalinės institucijos funkcijas, susijusias su rinkos priežiūra dėl manipuliavimo rinka, pinigų plovimu arba kitomis nusikalstamomis veikomis įgyvendinant Reglamento 55 straipsnyje nustatytus reikalavimus, tuo atveju, jeigu aukciono platforma būtų įsteigta Lietuvoje. Tuo atveju, jei priežiūros subjektas yra apibrėžtas Įstatymo 2 straipsnyje, Tarnyba turi teisinius įrankius įgyvendinti pinigų plovimo ir teroristų finansavimo prevencijos priemones ir vykdyti priežiūrą šioje srityje. Jei priežiūros subjektas neįtrauktas į Įstatymo taikymo lauką, jam netaikomi Įstatymu nustatyti reikalavimai, Tarnyba neturi nustatyto teisinio mechanizmo vykdyti nutarimo projekte nustatytos funkcijos.</w:t>
            </w:r>
          </w:p>
        </w:tc>
        <w:tc>
          <w:tcPr>
            <w:tcW w:w="7479" w:type="dxa"/>
            <w:tcBorders>
              <w:top w:val="single" w:sz="4" w:space="0" w:color="auto"/>
              <w:bottom w:val="single" w:sz="4" w:space="0" w:color="auto"/>
            </w:tcBorders>
            <w:shd w:val="clear" w:color="auto" w:fill="auto"/>
          </w:tcPr>
          <w:p w14:paraId="408BC6BA" w14:textId="77777777" w:rsidR="002B204C" w:rsidRPr="009174FB" w:rsidRDefault="004842F5" w:rsidP="00754D70">
            <w:pPr>
              <w:jc w:val="both"/>
              <w:rPr>
                <w:b/>
              </w:rPr>
            </w:pPr>
            <w:r w:rsidRPr="009174FB">
              <w:rPr>
                <w:b/>
              </w:rPr>
              <w:lastRenderedPageBreak/>
              <w:t>Neatsižvelgta.</w:t>
            </w:r>
          </w:p>
          <w:p w14:paraId="1EB0DFAC" w14:textId="77777777" w:rsidR="004E7D75" w:rsidRDefault="004E7D75" w:rsidP="00754D70">
            <w:pPr>
              <w:jc w:val="both"/>
              <w:rPr>
                <w:b/>
              </w:rPr>
            </w:pPr>
          </w:p>
          <w:p w14:paraId="408BC6BC" w14:textId="77777777" w:rsidR="000C179C" w:rsidRPr="009174FB" w:rsidRDefault="000C179C" w:rsidP="00754D70">
            <w:pPr>
              <w:jc w:val="both"/>
            </w:pPr>
            <w:r w:rsidRPr="009174FB">
              <w:rPr>
                <w:b/>
              </w:rPr>
              <w:t xml:space="preserve">Naujos funkcijos nepavedamos/nekeičiamos. </w:t>
            </w:r>
            <w:r w:rsidRPr="009174FB">
              <w:t>Galioj</w:t>
            </w:r>
            <w:bookmarkStart w:id="0" w:name="_GoBack"/>
            <w:bookmarkEnd w:id="0"/>
            <w:r w:rsidRPr="009174FB">
              <w:t>anti Lietuvos Respublikos Vyriausybės 2011 m. balandžio 6 d. nutarimo Nr. 409 1.3 papunkčio redakcija:</w:t>
            </w:r>
          </w:p>
          <w:p w14:paraId="408BC6BD" w14:textId="77777777" w:rsidR="000C179C" w:rsidRPr="009174FB" w:rsidRDefault="000C179C" w:rsidP="00754D70">
            <w:pPr>
              <w:jc w:val="both"/>
            </w:pPr>
            <w:r w:rsidRPr="009174FB">
              <w:t>“</w:t>
            </w:r>
            <w:r w:rsidRPr="009174FB">
              <w:rPr>
                <w:color w:val="000000"/>
              </w:rPr>
              <w:t>1.3. Vidaus reikalų ministerijai ir Finansinių nusikaltimų tyrimo tarnybai prie Vidaus reikalų ministerijos – atlikti kompetentingos nacionalinės institucijos funkcijas, susijusias su rinkos priežiūra dėl manipuliavimo rinka, pinigų plovimu arba kitomis nusikalstamomis veikomis įgyvendinant Reglamento 55 straipsnyje nustatytus reikalavimus, tuo atveju, jeigu aukciono platforma būtų įsteigta Lietuvoje.</w:t>
            </w:r>
            <w:r w:rsidRPr="009174FB">
              <w:t>”.</w:t>
            </w:r>
          </w:p>
          <w:p w14:paraId="408BC6BE" w14:textId="77777777" w:rsidR="000C179C" w:rsidRPr="009174FB" w:rsidRDefault="000C179C" w:rsidP="00754D70">
            <w:pPr>
              <w:jc w:val="both"/>
            </w:pPr>
          </w:p>
          <w:p w14:paraId="408BC6BF" w14:textId="77777777" w:rsidR="000C179C" w:rsidRPr="009174FB" w:rsidRDefault="000C179C" w:rsidP="00754D70">
            <w:pPr>
              <w:jc w:val="both"/>
            </w:pPr>
            <w:r w:rsidRPr="009174FB">
              <w:t>Pakeitimo projekte pateikta 1.3 papunkčio redakcija:</w:t>
            </w:r>
          </w:p>
          <w:p w14:paraId="408BC6C0" w14:textId="77777777" w:rsidR="000C179C" w:rsidRPr="009174FB" w:rsidRDefault="000C179C" w:rsidP="00754D70">
            <w:pPr>
              <w:jc w:val="both"/>
            </w:pPr>
            <w:r w:rsidRPr="009174FB">
              <w:t>„1.3. Vidaus reikalų ministerijai ir Finansinių nusikaltimų tyrimo tarnybai prie Vidaus reikalų ministerijos – atlikti kompetentingos nacionalinės institucijos funkcijas, susijusias su rinkos priežiūra dėl manipuliavimo rinka, pinigų plovimu arba kitomis nusikalstamomis veikomis įgyvendinant Reglamento 55 straipsnyje nustatytus reikalavimus, tuo atveju, jeigu aukciono platforma būtų įsteigta Lietuvoje.“.</w:t>
            </w:r>
          </w:p>
          <w:p w14:paraId="408BC6C1" w14:textId="77777777" w:rsidR="000C179C" w:rsidRPr="009174FB" w:rsidRDefault="000C179C" w:rsidP="00754D70">
            <w:pPr>
              <w:jc w:val="both"/>
            </w:pPr>
          </w:p>
          <w:p w14:paraId="408BC6C2" w14:textId="77777777" w:rsidR="000C179C" w:rsidRPr="009174FB" w:rsidRDefault="00991845" w:rsidP="00754D70">
            <w:pPr>
              <w:jc w:val="both"/>
            </w:pPr>
            <w:r w:rsidRPr="009174FB">
              <w:t>Papildomai:</w:t>
            </w:r>
          </w:p>
          <w:p w14:paraId="408BC6C3" w14:textId="77777777" w:rsidR="00991845" w:rsidRPr="009174FB" w:rsidRDefault="00991845" w:rsidP="00754D70">
            <w:pPr>
              <w:jc w:val="both"/>
            </w:pPr>
            <w:r w:rsidRPr="009174FB">
              <w:t xml:space="preserve">Aukciono platforma Lietuvoje iki šiol neįkurta. Lietuva, kaip ir didžioji </w:t>
            </w:r>
            <w:r w:rsidRPr="009174FB">
              <w:lastRenderedPageBreak/>
              <w:t xml:space="preserve">dalis ES šalių narių, naudojasi vieningos </w:t>
            </w:r>
            <w:r w:rsidR="00F83034" w:rsidRPr="009174FB">
              <w:t xml:space="preserve">aukcionų </w:t>
            </w:r>
            <w:r w:rsidRPr="009174FB">
              <w:t>platformos paslaugomis.</w:t>
            </w:r>
          </w:p>
        </w:tc>
      </w:tr>
      <w:tr w:rsidR="004E7D75" w:rsidRPr="009174FB" w14:paraId="408BC6CC" w14:textId="77777777" w:rsidTr="004E7D75">
        <w:trPr>
          <w:trHeight w:val="1015"/>
        </w:trPr>
        <w:tc>
          <w:tcPr>
            <w:tcW w:w="817" w:type="dxa"/>
          </w:tcPr>
          <w:p w14:paraId="408BC6C5" w14:textId="2E3AE74C" w:rsidR="004E7D75" w:rsidRPr="004E7D75" w:rsidRDefault="004E7D75" w:rsidP="004E7D75">
            <w:pPr>
              <w:pStyle w:val="ListParagraph"/>
              <w:numPr>
                <w:ilvl w:val="0"/>
                <w:numId w:val="3"/>
              </w:numPr>
            </w:pPr>
          </w:p>
        </w:tc>
        <w:tc>
          <w:tcPr>
            <w:tcW w:w="2211" w:type="dxa"/>
          </w:tcPr>
          <w:p w14:paraId="408BC6C6" w14:textId="5C21E552" w:rsidR="004E7D75" w:rsidRPr="004E7D75" w:rsidRDefault="004E7D75" w:rsidP="004E7D75">
            <w:r w:rsidRPr="004E7D75">
              <w:t>Lietuvos Respublikos Teisingumo ministerija, 2020-</w:t>
            </w:r>
            <w:r w:rsidRPr="004E7D75">
              <w:lastRenderedPageBreak/>
              <w:t>06-16 raštas Nr. (1.6E) 2T-844</w:t>
            </w:r>
          </w:p>
        </w:tc>
        <w:tc>
          <w:tcPr>
            <w:tcW w:w="4820" w:type="dxa"/>
            <w:tcBorders>
              <w:top w:val="single" w:sz="4" w:space="0" w:color="auto"/>
              <w:bottom w:val="single" w:sz="4" w:space="0" w:color="auto"/>
            </w:tcBorders>
          </w:tcPr>
          <w:p w14:paraId="408BC6C7" w14:textId="1B67506F" w:rsidR="004E7D75" w:rsidRPr="00E00E1D" w:rsidRDefault="004E7D75" w:rsidP="00E34B3B">
            <w:pPr>
              <w:pStyle w:val="Header"/>
              <w:ind w:firstLine="720"/>
              <w:jc w:val="both"/>
              <w:rPr>
                <w:highlight w:val="yellow"/>
              </w:rPr>
            </w:pPr>
            <w:r w:rsidRPr="00E00E1D">
              <w:rPr>
                <w:rFonts w:eastAsia="Times New Roman"/>
              </w:rPr>
              <w:lastRenderedPageBreak/>
              <w:t xml:space="preserve">8. Atsižvelgiant į tai, kad keičiamo nutarimo 2 punktas yra keičiamas, o šiame punkte yra suformuluoti pasiūlymai Lietuvos Bankui, tačiau Projektas nėra siunčiamas </w:t>
            </w:r>
            <w:r w:rsidRPr="00E00E1D">
              <w:rPr>
                <w:rFonts w:eastAsia="Times New Roman"/>
              </w:rPr>
              <w:lastRenderedPageBreak/>
              <w:t>derinti šiai institucijai, siūlome suderinti Projektą su Lietuvos Banku.</w:t>
            </w:r>
          </w:p>
        </w:tc>
        <w:tc>
          <w:tcPr>
            <w:tcW w:w="7479" w:type="dxa"/>
            <w:tcBorders>
              <w:top w:val="single" w:sz="4" w:space="0" w:color="auto"/>
              <w:bottom w:val="single" w:sz="4" w:space="0" w:color="auto"/>
            </w:tcBorders>
            <w:shd w:val="clear" w:color="auto" w:fill="auto"/>
          </w:tcPr>
          <w:p w14:paraId="65857D67" w14:textId="77777777" w:rsidR="004E7D75" w:rsidRPr="00E00E1D" w:rsidRDefault="004E7D75" w:rsidP="00F518E6">
            <w:pPr>
              <w:jc w:val="both"/>
              <w:rPr>
                <w:b/>
              </w:rPr>
            </w:pPr>
            <w:r w:rsidRPr="00E00E1D">
              <w:rPr>
                <w:b/>
              </w:rPr>
              <w:lastRenderedPageBreak/>
              <w:t>Neatsižvelgta.</w:t>
            </w:r>
          </w:p>
          <w:p w14:paraId="53AC93D9" w14:textId="77777777" w:rsidR="004E7D75" w:rsidRDefault="004E7D75" w:rsidP="008148D6">
            <w:pPr>
              <w:jc w:val="both"/>
              <w:textAlignment w:val="center"/>
            </w:pPr>
          </w:p>
          <w:p w14:paraId="408BC6CB" w14:textId="2D511F64" w:rsidR="004E7D75" w:rsidRPr="00E00E1D" w:rsidRDefault="004E7D75" w:rsidP="008148D6">
            <w:pPr>
              <w:jc w:val="both"/>
              <w:textAlignment w:val="center"/>
              <w:rPr>
                <w:highlight w:val="yellow"/>
              </w:rPr>
            </w:pPr>
            <w:r w:rsidRPr="00E00E1D">
              <w:t xml:space="preserve">Nutarimo projekto 2 punkto pakeitimai nėra susiję su naujais pavedimais. Šiame punkte peržiūrimi ir pašalinami punktai, kurie yra panaikinami  </w:t>
            </w:r>
            <w:r w:rsidRPr="00E00E1D">
              <w:lastRenderedPageBreak/>
              <w:t>2019 m. rugpjūčio 28 d. Komisijos deleguotu reglamentu (ES) 2019/1868.</w:t>
            </w:r>
          </w:p>
        </w:tc>
      </w:tr>
    </w:tbl>
    <w:p w14:paraId="408BC741" w14:textId="77777777" w:rsidR="00623D2B" w:rsidRPr="009174FB" w:rsidRDefault="00623D2B" w:rsidP="00E86436">
      <w:pPr>
        <w:jc w:val="center"/>
      </w:pPr>
    </w:p>
    <w:p w14:paraId="408BC742" w14:textId="77777777" w:rsidR="00623D2B" w:rsidRPr="009174FB" w:rsidRDefault="00623D2B" w:rsidP="00E86436">
      <w:pPr>
        <w:jc w:val="center"/>
      </w:pPr>
    </w:p>
    <w:p w14:paraId="408BC743" w14:textId="77777777" w:rsidR="006A5591" w:rsidRPr="009174FB" w:rsidRDefault="00E86436" w:rsidP="00E86436">
      <w:pPr>
        <w:jc w:val="center"/>
      </w:pPr>
      <w:r w:rsidRPr="009174FB">
        <w:t>________________________</w:t>
      </w:r>
    </w:p>
    <w:p w14:paraId="408BC744" w14:textId="77777777" w:rsidR="00E86436" w:rsidRPr="009174FB" w:rsidRDefault="00E86436" w:rsidP="00E86436">
      <w:pPr>
        <w:jc w:val="center"/>
      </w:pPr>
    </w:p>
    <w:sectPr w:rsidR="00E86436" w:rsidRPr="009174FB" w:rsidSect="00D653C8">
      <w:headerReference w:type="default" r:id="rId12"/>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BC747" w14:textId="77777777" w:rsidR="005854F1" w:rsidRDefault="005854F1" w:rsidP="00B434DF">
      <w:r>
        <w:separator/>
      </w:r>
    </w:p>
  </w:endnote>
  <w:endnote w:type="continuationSeparator" w:id="0">
    <w:p w14:paraId="408BC748" w14:textId="77777777" w:rsidR="005854F1" w:rsidRDefault="005854F1" w:rsidP="00B4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Unicode MS"/>
    <w:charset w:val="BA"/>
    <w:family w:val="swiss"/>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BC745" w14:textId="77777777" w:rsidR="005854F1" w:rsidRDefault="005854F1" w:rsidP="00B434DF">
      <w:r>
        <w:separator/>
      </w:r>
    </w:p>
  </w:footnote>
  <w:footnote w:type="continuationSeparator" w:id="0">
    <w:p w14:paraId="408BC746" w14:textId="77777777" w:rsidR="005854F1" w:rsidRDefault="005854F1" w:rsidP="00B43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BC749" w14:textId="77777777" w:rsidR="006A624A" w:rsidRDefault="006A624A">
    <w:pPr>
      <w:pStyle w:val="Header"/>
      <w:jc w:val="center"/>
    </w:pPr>
    <w:r>
      <w:fldChar w:fldCharType="begin"/>
    </w:r>
    <w:r>
      <w:instrText xml:space="preserve"> PAGE   \* MERGEFORMAT </w:instrText>
    </w:r>
    <w:r>
      <w:fldChar w:fldCharType="separate"/>
    </w:r>
    <w:r w:rsidR="001C7122">
      <w:rPr>
        <w:noProof/>
      </w:rPr>
      <w:t>2</w:t>
    </w:r>
    <w:r>
      <w:rPr>
        <w:noProof/>
      </w:rPr>
      <w:fldChar w:fldCharType="end"/>
    </w:r>
  </w:p>
  <w:p w14:paraId="408BC74A" w14:textId="77777777" w:rsidR="006A624A" w:rsidRDefault="006A62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07AF"/>
    <w:multiLevelType w:val="hybridMultilevel"/>
    <w:tmpl w:val="D7707E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866406"/>
    <w:multiLevelType w:val="multilevel"/>
    <w:tmpl w:val="2A20594C"/>
    <w:lvl w:ilvl="0">
      <w:start w:val="1"/>
      <w:numFmt w:val="decimal"/>
      <w:lvlText w:val="%1."/>
      <w:lvlJc w:val="left"/>
      <w:pPr>
        <w:ind w:left="714" w:hanging="360"/>
      </w:pPr>
      <w:rPr>
        <w:color w:val="auto"/>
      </w:rPr>
    </w:lvl>
    <w:lvl w:ilvl="1">
      <w:start w:val="6"/>
      <w:numFmt w:val="decimal"/>
      <w:isLgl/>
      <w:lvlText w:val="%1.%2."/>
      <w:lvlJc w:val="left"/>
      <w:pPr>
        <w:ind w:left="938" w:hanging="540"/>
      </w:pPr>
      <w:rPr>
        <w:rFonts w:hint="default"/>
      </w:rPr>
    </w:lvl>
    <w:lvl w:ilvl="2">
      <w:start w:val="6"/>
      <w:numFmt w:val="decimal"/>
      <w:isLgl/>
      <w:lvlText w:val="%1.%2.%3."/>
      <w:lvlJc w:val="left"/>
      <w:pPr>
        <w:ind w:left="1298" w:hanging="720"/>
      </w:pPr>
      <w:rPr>
        <w:rFonts w:hint="default"/>
      </w:rPr>
    </w:lvl>
    <w:lvl w:ilvl="3">
      <w:start w:val="1"/>
      <w:numFmt w:val="decimal"/>
      <w:isLgl/>
      <w:lvlText w:val="%1.%2.%3.%4."/>
      <w:lvlJc w:val="left"/>
      <w:pPr>
        <w:ind w:left="1478" w:hanging="72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19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918" w:hanging="1440"/>
      </w:pPr>
      <w:rPr>
        <w:rFonts w:hint="default"/>
      </w:rPr>
    </w:lvl>
    <w:lvl w:ilvl="8">
      <w:start w:val="1"/>
      <w:numFmt w:val="decimal"/>
      <w:isLgl/>
      <w:lvlText w:val="%1.%2.%3.%4.%5.%6.%7.%8.%9."/>
      <w:lvlJc w:val="left"/>
      <w:pPr>
        <w:ind w:left="3458" w:hanging="1800"/>
      </w:pPr>
      <w:rPr>
        <w:rFonts w:hint="default"/>
      </w:rPr>
    </w:lvl>
  </w:abstractNum>
  <w:abstractNum w:abstractNumId="2">
    <w:nsid w:val="16072EC0"/>
    <w:multiLevelType w:val="hybridMultilevel"/>
    <w:tmpl w:val="79F4ED7E"/>
    <w:lvl w:ilvl="0" w:tplc="E4425CB2">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nsid w:val="22303683"/>
    <w:multiLevelType w:val="hybridMultilevel"/>
    <w:tmpl w:val="F3FE03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2214B6B"/>
    <w:multiLevelType w:val="hybridMultilevel"/>
    <w:tmpl w:val="DE6C55DA"/>
    <w:lvl w:ilvl="0" w:tplc="DE2CB74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323301D3"/>
    <w:multiLevelType w:val="hybridMultilevel"/>
    <w:tmpl w:val="DE6C55DA"/>
    <w:lvl w:ilvl="0" w:tplc="DE2CB74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46FE3198"/>
    <w:multiLevelType w:val="hybridMultilevel"/>
    <w:tmpl w:val="24A2A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C702002"/>
    <w:multiLevelType w:val="multilevel"/>
    <w:tmpl w:val="152ECA4E"/>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496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
  </w:num>
  <w:num w:numId="3">
    <w:abstractNumId w:val="1"/>
  </w:num>
  <w:num w:numId="4">
    <w:abstractNumId w:val="0"/>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32"/>
    <w:rsid w:val="0000682F"/>
    <w:rsid w:val="00007F55"/>
    <w:rsid w:val="00016BC4"/>
    <w:rsid w:val="00021562"/>
    <w:rsid w:val="00021C92"/>
    <w:rsid w:val="000440B2"/>
    <w:rsid w:val="00050176"/>
    <w:rsid w:val="00050466"/>
    <w:rsid w:val="0005070D"/>
    <w:rsid w:val="00050CDE"/>
    <w:rsid w:val="0005423C"/>
    <w:rsid w:val="000612B7"/>
    <w:rsid w:val="00063AE9"/>
    <w:rsid w:val="00071137"/>
    <w:rsid w:val="0007152E"/>
    <w:rsid w:val="0007551C"/>
    <w:rsid w:val="00086186"/>
    <w:rsid w:val="00086ADD"/>
    <w:rsid w:val="00086EE5"/>
    <w:rsid w:val="00091CC1"/>
    <w:rsid w:val="000962C2"/>
    <w:rsid w:val="000A4A5B"/>
    <w:rsid w:val="000A7707"/>
    <w:rsid w:val="000B3ADE"/>
    <w:rsid w:val="000B51B9"/>
    <w:rsid w:val="000B6FEB"/>
    <w:rsid w:val="000B7E38"/>
    <w:rsid w:val="000C179C"/>
    <w:rsid w:val="000C195D"/>
    <w:rsid w:val="000D1CAA"/>
    <w:rsid w:val="000D2466"/>
    <w:rsid w:val="000F1E3D"/>
    <w:rsid w:val="000F6CA2"/>
    <w:rsid w:val="00110DB0"/>
    <w:rsid w:val="00116727"/>
    <w:rsid w:val="00117639"/>
    <w:rsid w:val="00125985"/>
    <w:rsid w:val="0013610D"/>
    <w:rsid w:val="00137B2C"/>
    <w:rsid w:val="00145A4A"/>
    <w:rsid w:val="00146846"/>
    <w:rsid w:val="001533CD"/>
    <w:rsid w:val="00165FC8"/>
    <w:rsid w:val="00167757"/>
    <w:rsid w:val="00170451"/>
    <w:rsid w:val="00170ED2"/>
    <w:rsid w:val="00172169"/>
    <w:rsid w:val="00172874"/>
    <w:rsid w:val="00172B7B"/>
    <w:rsid w:val="00176DDD"/>
    <w:rsid w:val="00177409"/>
    <w:rsid w:val="001778A7"/>
    <w:rsid w:val="00191C27"/>
    <w:rsid w:val="00197526"/>
    <w:rsid w:val="001A0218"/>
    <w:rsid w:val="001A4446"/>
    <w:rsid w:val="001A469F"/>
    <w:rsid w:val="001B34ED"/>
    <w:rsid w:val="001B5194"/>
    <w:rsid w:val="001B58D0"/>
    <w:rsid w:val="001C7122"/>
    <w:rsid w:val="001D0002"/>
    <w:rsid w:val="001D0667"/>
    <w:rsid w:val="001D4EDC"/>
    <w:rsid w:val="001E489C"/>
    <w:rsid w:val="001E5BB7"/>
    <w:rsid w:val="001F2D5C"/>
    <w:rsid w:val="00210030"/>
    <w:rsid w:val="00217D5B"/>
    <w:rsid w:val="0022088C"/>
    <w:rsid w:val="002272EA"/>
    <w:rsid w:val="00227D82"/>
    <w:rsid w:val="0023447E"/>
    <w:rsid w:val="002348BD"/>
    <w:rsid w:val="00244D87"/>
    <w:rsid w:val="00262E73"/>
    <w:rsid w:val="00267AAA"/>
    <w:rsid w:val="00267BB4"/>
    <w:rsid w:val="00272D9B"/>
    <w:rsid w:val="00292B7F"/>
    <w:rsid w:val="0029561C"/>
    <w:rsid w:val="002A77F0"/>
    <w:rsid w:val="002B204C"/>
    <w:rsid w:val="002B2D8F"/>
    <w:rsid w:val="002B60B4"/>
    <w:rsid w:val="002B7C56"/>
    <w:rsid w:val="002B7D0D"/>
    <w:rsid w:val="002C2C80"/>
    <w:rsid w:val="002C3FDE"/>
    <w:rsid w:val="002C5456"/>
    <w:rsid w:val="002D097A"/>
    <w:rsid w:val="002E2149"/>
    <w:rsid w:val="002E7221"/>
    <w:rsid w:val="00302AED"/>
    <w:rsid w:val="003131DE"/>
    <w:rsid w:val="00314E6D"/>
    <w:rsid w:val="00331C48"/>
    <w:rsid w:val="003340A7"/>
    <w:rsid w:val="00334556"/>
    <w:rsid w:val="003444AE"/>
    <w:rsid w:val="00353385"/>
    <w:rsid w:val="003618CE"/>
    <w:rsid w:val="00375E98"/>
    <w:rsid w:val="00376E0C"/>
    <w:rsid w:val="0038472F"/>
    <w:rsid w:val="00385D49"/>
    <w:rsid w:val="0039259D"/>
    <w:rsid w:val="00394AFD"/>
    <w:rsid w:val="00397269"/>
    <w:rsid w:val="003A5576"/>
    <w:rsid w:val="003A755F"/>
    <w:rsid w:val="003B418B"/>
    <w:rsid w:val="003B50E5"/>
    <w:rsid w:val="003B549F"/>
    <w:rsid w:val="003C087F"/>
    <w:rsid w:val="003C4E48"/>
    <w:rsid w:val="003C71C7"/>
    <w:rsid w:val="003D1869"/>
    <w:rsid w:val="003D33AA"/>
    <w:rsid w:val="003D6DD6"/>
    <w:rsid w:val="003E4533"/>
    <w:rsid w:val="003E5E60"/>
    <w:rsid w:val="003F042D"/>
    <w:rsid w:val="003F3C27"/>
    <w:rsid w:val="003F4D3A"/>
    <w:rsid w:val="003F54B4"/>
    <w:rsid w:val="004020AD"/>
    <w:rsid w:val="004175B9"/>
    <w:rsid w:val="004337E3"/>
    <w:rsid w:val="00435967"/>
    <w:rsid w:val="00437F56"/>
    <w:rsid w:val="00450860"/>
    <w:rsid w:val="00450CEA"/>
    <w:rsid w:val="004550EC"/>
    <w:rsid w:val="00461E4B"/>
    <w:rsid w:val="004704A7"/>
    <w:rsid w:val="00473B6C"/>
    <w:rsid w:val="004749C0"/>
    <w:rsid w:val="00475178"/>
    <w:rsid w:val="00476199"/>
    <w:rsid w:val="00483E73"/>
    <w:rsid w:val="004842F5"/>
    <w:rsid w:val="004930CB"/>
    <w:rsid w:val="004A0CED"/>
    <w:rsid w:val="004A1040"/>
    <w:rsid w:val="004A2DF0"/>
    <w:rsid w:val="004A563F"/>
    <w:rsid w:val="004A6D78"/>
    <w:rsid w:val="004B02C4"/>
    <w:rsid w:val="004B27AC"/>
    <w:rsid w:val="004C7071"/>
    <w:rsid w:val="004D2430"/>
    <w:rsid w:val="004D404B"/>
    <w:rsid w:val="004E1239"/>
    <w:rsid w:val="004E1F2A"/>
    <w:rsid w:val="004E2F08"/>
    <w:rsid w:val="004E59F4"/>
    <w:rsid w:val="004E7D75"/>
    <w:rsid w:val="004F07D4"/>
    <w:rsid w:val="004F27C8"/>
    <w:rsid w:val="004F5011"/>
    <w:rsid w:val="004F758B"/>
    <w:rsid w:val="00505770"/>
    <w:rsid w:val="00510B54"/>
    <w:rsid w:val="0052448D"/>
    <w:rsid w:val="0053133C"/>
    <w:rsid w:val="00531955"/>
    <w:rsid w:val="0053359E"/>
    <w:rsid w:val="005378C8"/>
    <w:rsid w:val="005423B3"/>
    <w:rsid w:val="005436E1"/>
    <w:rsid w:val="00551B46"/>
    <w:rsid w:val="00577362"/>
    <w:rsid w:val="00580358"/>
    <w:rsid w:val="0058354D"/>
    <w:rsid w:val="0058457B"/>
    <w:rsid w:val="005854F1"/>
    <w:rsid w:val="00585AB7"/>
    <w:rsid w:val="0058702B"/>
    <w:rsid w:val="00592259"/>
    <w:rsid w:val="00592F06"/>
    <w:rsid w:val="0059626D"/>
    <w:rsid w:val="005A50CF"/>
    <w:rsid w:val="005B40C0"/>
    <w:rsid w:val="005D1C40"/>
    <w:rsid w:val="005E0E8C"/>
    <w:rsid w:val="005E0F97"/>
    <w:rsid w:val="005E1283"/>
    <w:rsid w:val="005E375A"/>
    <w:rsid w:val="005F374E"/>
    <w:rsid w:val="00615073"/>
    <w:rsid w:val="00616C9B"/>
    <w:rsid w:val="0061743C"/>
    <w:rsid w:val="006176C0"/>
    <w:rsid w:val="0062175B"/>
    <w:rsid w:val="00621C95"/>
    <w:rsid w:val="00623D2B"/>
    <w:rsid w:val="00642041"/>
    <w:rsid w:val="00642E35"/>
    <w:rsid w:val="00643A22"/>
    <w:rsid w:val="00650B29"/>
    <w:rsid w:val="00651084"/>
    <w:rsid w:val="0065634C"/>
    <w:rsid w:val="00664E70"/>
    <w:rsid w:val="00667290"/>
    <w:rsid w:val="00685875"/>
    <w:rsid w:val="006923CE"/>
    <w:rsid w:val="00694E7E"/>
    <w:rsid w:val="006A0075"/>
    <w:rsid w:val="006A5591"/>
    <w:rsid w:val="006A624A"/>
    <w:rsid w:val="006B49D7"/>
    <w:rsid w:val="006C23B7"/>
    <w:rsid w:val="006C4398"/>
    <w:rsid w:val="006C458F"/>
    <w:rsid w:val="006C7218"/>
    <w:rsid w:val="006D06F6"/>
    <w:rsid w:val="006D5A43"/>
    <w:rsid w:val="006D6EFA"/>
    <w:rsid w:val="006E07C6"/>
    <w:rsid w:val="006E16F1"/>
    <w:rsid w:val="006E1B6A"/>
    <w:rsid w:val="006E2B42"/>
    <w:rsid w:val="006E3CA2"/>
    <w:rsid w:val="006E7FF8"/>
    <w:rsid w:val="006F25EB"/>
    <w:rsid w:val="00700419"/>
    <w:rsid w:val="007113C8"/>
    <w:rsid w:val="0071627D"/>
    <w:rsid w:val="007211A4"/>
    <w:rsid w:val="00721AD4"/>
    <w:rsid w:val="00724E73"/>
    <w:rsid w:val="00731BD0"/>
    <w:rsid w:val="00733D1D"/>
    <w:rsid w:val="00737BF0"/>
    <w:rsid w:val="00743744"/>
    <w:rsid w:val="007461F9"/>
    <w:rsid w:val="00751F3B"/>
    <w:rsid w:val="00754D70"/>
    <w:rsid w:val="00760D02"/>
    <w:rsid w:val="00763F2B"/>
    <w:rsid w:val="00765303"/>
    <w:rsid w:val="0077144C"/>
    <w:rsid w:val="00771C0B"/>
    <w:rsid w:val="007769C2"/>
    <w:rsid w:val="00777245"/>
    <w:rsid w:val="007870FA"/>
    <w:rsid w:val="007955CF"/>
    <w:rsid w:val="007A0F1F"/>
    <w:rsid w:val="007A15F6"/>
    <w:rsid w:val="007A5D5E"/>
    <w:rsid w:val="007B0CC1"/>
    <w:rsid w:val="007B41E4"/>
    <w:rsid w:val="007B6A31"/>
    <w:rsid w:val="007B6E34"/>
    <w:rsid w:val="007C08EC"/>
    <w:rsid w:val="007C0B14"/>
    <w:rsid w:val="007C3E9B"/>
    <w:rsid w:val="007C4E42"/>
    <w:rsid w:val="007D4AA9"/>
    <w:rsid w:val="007F62EC"/>
    <w:rsid w:val="00802D33"/>
    <w:rsid w:val="008053C8"/>
    <w:rsid w:val="00807917"/>
    <w:rsid w:val="008148D6"/>
    <w:rsid w:val="00825B43"/>
    <w:rsid w:val="008274CF"/>
    <w:rsid w:val="0083223D"/>
    <w:rsid w:val="00833189"/>
    <w:rsid w:val="008418EE"/>
    <w:rsid w:val="0085294F"/>
    <w:rsid w:val="0085352B"/>
    <w:rsid w:val="00855742"/>
    <w:rsid w:val="00867CA2"/>
    <w:rsid w:val="00875F6F"/>
    <w:rsid w:val="00887837"/>
    <w:rsid w:val="00890DFE"/>
    <w:rsid w:val="00891443"/>
    <w:rsid w:val="008A535D"/>
    <w:rsid w:val="008B6E79"/>
    <w:rsid w:val="008C642C"/>
    <w:rsid w:val="008D0A44"/>
    <w:rsid w:val="008D508F"/>
    <w:rsid w:val="008E3202"/>
    <w:rsid w:val="008E4A0D"/>
    <w:rsid w:val="008E4E18"/>
    <w:rsid w:val="008E6F32"/>
    <w:rsid w:val="008E79FE"/>
    <w:rsid w:val="00910451"/>
    <w:rsid w:val="00910A22"/>
    <w:rsid w:val="00912E88"/>
    <w:rsid w:val="009133D8"/>
    <w:rsid w:val="009143CB"/>
    <w:rsid w:val="009174FB"/>
    <w:rsid w:val="00925D39"/>
    <w:rsid w:val="009263A7"/>
    <w:rsid w:val="009269E0"/>
    <w:rsid w:val="009349CE"/>
    <w:rsid w:val="00935EA7"/>
    <w:rsid w:val="00937123"/>
    <w:rsid w:val="00946CE7"/>
    <w:rsid w:val="00947645"/>
    <w:rsid w:val="00951F9D"/>
    <w:rsid w:val="00954A98"/>
    <w:rsid w:val="009648DB"/>
    <w:rsid w:val="00965883"/>
    <w:rsid w:val="00972227"/>
    <w:rsid w:val="00973D00"/>
    <w:rsid w:val="009740F7"/>
    <w:rsid w:val="009775D5"/>
    <w:rsid w:val="0097762D"/>
    <w:rsid w:val="00981283"/>
    <w:rsid w:val="00984034"/>
    <w:rsid w:val="009849AC"/>
    <w:rsid w:val="00991845"/>
    <w:rsid w:val="00992D98"/>
    <w:rsid w:val="00995BFA"/>
    <w:rsid w:val="009A020C"/>
    <w:rsid w:val="009A073B"/>
    <w:rsid w:val="009A0C05"/>
    <w:rsid w:val="009A4A11"/>
    <w:rsid w:val="009A5147"/>
    <w:rsid w:val="009A52EB"/>
    <w:rsid w:val="009B08A8"/>
    <w:rsid w:val="009B1C4C"/>
    <w:rsid w:val="009C3915"/>
    <w:rsid w:val="009C4FD6"/>
    <w:rsid w:val="009C527A"/>
    <w:rsid w:val="009C6023"/>
    <w:rsid w:val="009D08B0"/>
    <w:rsid w:val="009D0CDC"/>
    <w:rsid w:val="009D372E"/>
    <w:rsid w:val="009D4D09"/>
    <w:rsid w:val="009D7F3E"/>
    <w:rsid w:val="009E0DB7"/>
    <w:rsid w:val="009E18EC"/>
    <w:rsid w:val="009E6110"/>
    <w:rsid w:val="009F74CC"/>
    <w:rsid w:val="00A026AC"/>
    <w:rsid w:val="00A02E80"/>
    <w:rsid w:val="00A049C9"/>
    <w:rsid w:val="00A07880"/>
    <w:rsid w:val="00A12BA2"/>
    <w:rsid w:val="00A15DB9"/>
    <w:rsid w:val="00A172B0"/>
    <w:rsid w:val="00A20E56"/>
    <w:rsid w:val="00A26397"/>
    <w:rsid w:val="00A339DE"/>
    <w:rsid w:val="00A33E12"/>
    <w:rsid w:val="00A50F85"/>
    <w:rsid w:val="00A6751F"/>
    <w:rsid w:val="00A7346D"/>
    <w:rsid w:val="00A91351"/>
    <w:rsid w:val="00A969CC"/>
    <w:rsid w:val="00AA5526"/>
    <w:rsid w:val="00AB121B"/>
    <w:rsid w:val="00AB18E4"/>
    <w:rsid w:val="00AB7C9A"/>
    <w:rsid w:val="00AE2461"/>
    <w:rsid w:val="00AE3FB4"/>
    <w:rsid w:val="00AF093E"/>
    <w:rsid w:val="00B0229A"/>
    <w:rsid w:val="00B10079"/>
    <w:rsid w:val="00B10818"/>
    <w:rsid w:val="00B14DB3"/>
    <w:rsid w:val="00B3296E"/>
    <w:rsid w:val="00B3674E"/>
    <w:rsid w:val="00B36AC8"/>
    <w:rsid w:val="00B41FB8"/>
    <w:rsid w:val="00B434DF"/>
    <w:rsid w:val="00B469E2"/>
    <w:rsid w:val="00B46D58"/>
    <w:rsid w:val="00B522EF"/>
    <w:rsid w:val="00B52E7C"/>
    <w:rsid w:val="00B57090"/>
    <w:rsid w:val="00B57BA4"/>
    <w:rsid w:val="00B70101"/>
    <w:rsid w:val="00B71D47"/>
    <w:rsid w:val="00B71F0C"/>
    <w:rsid w:val="00B80A31"/>
    <w:rsid w:val="00B84C0E"/>
    <w:rsid w:val="00B8622F"/>
    <w:rsid w:val="00B91F27"/>
    <w:rsid w:val="00B92DB4"/>
    <w:rsid w:val="00B94DFA"/>
    <w:rsid w:val="00BB2E19"/>
    <w:rsid w:val="00BB366E"/>
    <w:rsid w:val="00BB4071"/>
    <w:rsid w:val="00BC0108"/>
    <w:rsid w:val="00BC0DA9"/>
    <w:rsid w:val="00BD0F67"/>
    <w:rsid w:val="00BE1E81"/>
    <w:rsid w:val="00BE681D"/>
    <w:rsid w:val="00BE7713"/>
    <w:rsid w:val="00BE7F8D"/>
    <w:rsid w:val="00BF4D7A"/>
    <w:rsid w:val="00BF4F95"/>
    <w:rsid w:val="00C029C9"/>
    <w:rsid w:val="00C03F35"/>
    <w:rsid w:val="00C04FDA"/>
    <w:rsid w:val="00C0767A"/>
    <w:rsid w:val="00C079EF"/>
    <w:rsid w:val="00C14DAF"/>
    <w:rsid w:val="00C15659"/>
    <w:rsid w:val="00C24A99"/>
    <w:rsid w:val="00C27AEF"/>
    <w:rsid w:val="00C347FA"/>
    <w:rsid w:val="00C472F9"/>
    <w:rsid w:val="00C47313"/>
    <w:rsid w:val="00C67D82"/>
    <w:rsid w:val="00C7771A"/>
    <w:rsid w:val="00C83585"/>
    <w:rsid w:val="00C83F43"/>
    <w:rsid w:val="00C84642"/>
    <w:rsid w:val="00C8788D"/>
    <w:rsid w:val="00C87C87"/>
    <w:rsid w:val="00C87E5C"/>
    <w:rsid w:val="00C95976"/>
    <w:rsid w:val="00C974E5"/>
    <w:rsid w:val="00CA0C4A"/>
    <w:rsid w:val="00CA6022"/>
    <w:rsid w:val="00CA63EE"/>
    <w:rsid w:val="00CB0FA6"/>
    <w:rsid w:val="00CB1100"/>
    <w:rsid w:val="00CB11B3"/>
    <w:rsid w:val="00CB2B07"/>
    <w:rsid w:val="00CC2FD0"/>
    <w:rsid w:val="00CC3008"/>
    <w:rsid w:val="00CC3A40"/>
    <w:rsid w:val="00CC5DAD"/>
    <w:rsid w:val="00CD44B2"/>
    <w:rsid w:val="00CD6D13"/>
    <w:rsid w:val="00CD7FEA"/>
    <w:rsid w:val="00CF1093"/>
    <w:rsid w:val="00CF1A60"/>
    <w:rsid w:val="00CF30B2"/>
    <w:rsid w:val="00CF52D8"/>
    <w:rsid w:val="00CF5EAF"/>
    <w:rsid w:val="00CF6477"/>
    <w:rsid w:val="00D02039"/>
    <w:rsid w:val="00D07994"/>
    <w:rsid w:val="00D15D0A"/>
    <w:rsid w:val="00D1621D"/>
    <w:rsid w:val="00D236A3"/>
    <w:rsid w:val="00D31AD8"/>
    <w:rsid w:val="00D35549"/>
    <w:rsid w:val="00D401EB"/>
    <w:rsid w:val="00D4508A"/>
    <w:rsid w:val="00D51D33"/>
    <w:rsid w:val="00D56592"/>
    <w:rsid w:val="00D653C8"/>
    <w:rsid w:val="00D83473"/>
    <w:rsid w:val="00D83E7A"/>
    <w:rsid w:val="00D84936"/>
    <w:rsid w:val="00DA0478"/>
    <w:rsid w:val="00DA2BD1"/>
    <w:rsid w:val="00DA5941"/>
    <w:rsid w:val="00DB1447"/>
    <w:rsid w:val="00DC5D00"/>
    <w:rsid w:val="00DD1290"/>
    <w:rsid w:val="00DD5DFF"/>
    <w:rsid w:val="00DE11F1"/>
    <w:rsid w:val="00DE3615"/>
    <w:rsid w:val="00DE38D7"/>
    <w:rsid w:val="00DF0B5B"/>
    <w:rsid w:val="00DF25D8"/>
    <w:rsid w:val="00E00E1D"/>
    <w:rsid w:val="00E01CAB"/>
    <w:rsid w:val="00E07024"/>
    <w:rsid w:val="00E12B6C"/>
    <w:rsid w:val="00E16970"/>
    <w:rsid w:val="00E34B3B"/>
    <w:rsid w:val="00E35A38"/>
    <w:rsid w:val="00E41A2A"/>
    <w:rsid w:val="00E43B7F"/>
    <w:rsid w:val="00E45134"/>
    <w:rsid w:val="00E51A10"/>
    <w:rsid w:val="00E70DC0"/>
    <w:rsid w:val="00E725C9"/>
    <w:rsid w:val="00E841C0"/>
    <w:rsid w:val="00E843F7"/>
    <w:rsid w:val="00E86436"/>
    <w:rsid w:val="00E93BA4"/>
    <w:rsid w:val="00E9482B"/>
    <w:rsid w:val="00EA20D4"/>
    <w:rsid w:val="00EA587D"/>
    <w:rsid w:val="00EB0802"/>
    <w:rsid w:val="00EB44DB"/>
    <w:rsid w:val="00EB63B3"/>
    <w:rsid w:val="00ED2594"/>
    <w:rsid w:val="00EE0352"/>
    <w:rsid w:val="00EE09E1"/>
    <w:rsid w:val="00EE7539"/>
    <w:rsid w:val="00EF05DA"/>
    <w:rsid w:val="00EF3A60"/>
    <w:rsid w:val="00F05AC7"/>
    <w:rsid w:val="00F06DCA"/>
    <w:rsid w:val="00F0713C"/>
    <w:rsid w:val="00F37D27"/>
    <w:rsid w:val="00F4049E"/>
    <w:rsid w:val="00F41087"/>
    <w:rsid w:val="00F43312"/>
    <w:rsid w:val="00F44002"/>
    <w:rsid w:val="00F52E37"/>
    <w:rsid w:val="00F53D96"/>
    <w:rsid w:val="00F61EF4"/>
    <w:rsid w:val="00F66C49"/>
    <w:rsid w:val="00F73259"/>
    <w:rsid w:val="00F81EB8"/>
    <w:rsid w:val="00F82E80"/>
    <w:rsid w:val="00F83034"/>
    <w:rsid w:val="00F86D46"/>
    <w:rsid w:val="00F90E39"/>
    <w:rsid w:val="00F913F1"/>
    <w:rsid w:val="00F944F1"/>
    <w:rsid w:val="00FA6764"/>
    <w:rsid w:val="00FB14D9"/>
    <w:rsid w:val="00FB1DF0"/>
    <w:rsid w:val="00FB663F"/>
    <w:rsid w:val="00FB7F6E"/>
    <w:rsid w:val="00FD1264"/>
    <w:rsid w:val="00FD683A"/>
    <w:rsid w:val="00FE0227"/>
    <w:rsid w:val="00FE07DD"/>
    <w:rsid w:val="00FE6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52"/>
    <w:pPr>
      <w:widowControl w:val="0"/>
      <w:suppressAutoHyphens/>
    </w:pPr>
    <w:rPr>
      <w:rFonts w:ascii="Times New Roman" w:eastAsia="Lucida Sans Unicode" w:hAnsi="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6F32"/>
    <w:pPr>
      <w:widowControl/>
      <w:suppressAutoHyphens w:val="0"/>
      <w:spacing w:before="280" w:after="119"/>
    </w:pPr>
    <w:rPr>
      <w:rFonts w:eastAsia="Times New Roman" w:cs="Calibri"/>
      <w:kern w:val="0"/>
    </w:rPr>
  </w:style>
  <w:style w:type="paragraph" w:styleId="BodyText">
    <w:name w:val="Body Text"/>
    <w:basedOn w:val="Normal"/>
    <w:link w:val="BodyTextChar"/>
    <w:rsid w:val="00B84C0E"/>
    <w:pPr>
      <w:ind w:firstLine="567"/>
      <w:jc w:val="both"/>
    </w:pPr>
    <w:rPr>
      <w:rFonts w:eastAsia="Andale Sans UI" w:cs="Tahoma"/>
      <w:kern w:val="0"/>
      <w:lang w:eastAsia="en-US" w:bidi="en-US"/>
    </w:rPr>
  </w:style>
  <w:style w:type="character" w:customStyle="1" w:styleId="BodyTextChar">
    <w:name w:val="Body Text Char"/>
    <w:basedOn w:val="DefaultParagraphFont"/>
    <w:link w:val="BodyText"/>
    <w:rsid w:val="00B84C0E"/>
    <w:rPr>
      <w:rFonts w:ascii="Times New Roman" w:eastAsia="Andale Sans UI" w:hAnsi="Times New Roman" w:cs="Tahoma"/>
      <w:sz w:val="24"/>
      <w:szCs w:val="24"/>
      <w:lang w:eastAsia="en-US" w:bidi="en-US"/>
    </w:rPr>
  </w:style>
  <w:style w:type="paragraph" w:styleId="Header">
    <w:name w:val="header"/>
    <w:aliases w:val="Char,Diagrama,Hipersaitas1,Char Diagrama Diagrama,Diagrama Diagrama Diagrama,Char Char Char Char,Char Char Char1,Char Char1, Char"/>
    <w:basedOn w:val="Normal"/>
    <w:link w:val="HeaderChar"/>
    <w:uiPriority w:val="99"/>
    <w:unhideWhenUsed/>
    <w:rsid w:val="00B434DF"/>
    <w:pPr>
      <w:tabs>
        <w:tab w:val="center" w:pos="4819"/>
        <w:tab w:val="right" w:pos="9638"/>
      </w:tabs>
    </w:pPr>
  </w:style>
  <w:style w:type="character" w:customStyle="1" w:styleId="HeaderChar">
    <w:name w:val="Header Char"/>
    <w:aliases w:val="Char Char,Diagrama Char,Hipersaitas1 Char,Char Diagrama Diagrama Char,Diagrama Diagrama Diagrama Char,Char Char Char Char Char,Char Char Char1 Char,Char Char1 Char, Char Char"/>
    <w:basedOn w:val="DefaultParagraphFont"/>
    <w:link w:val="Header"/>
    <w:uiPriority w:val="99"/>
    <w:rsid w:val="00B434DF"/>
    <w:rPr>
      <w:rFonts w:ascii="Times New Roman" w:eastAsia="Lucida Sans Unicode" w:hAnsi="Times New Roman"/>
      <w:kern w:val="1"/>
      <w:sz w:val="24"/>
      <w:szCs w:val="24"/>
      <w:lang w:eastAsia="ar-SA"/>
    </w:rPr>
  </w:style>
  <w:style w:type="paragraph" w:styleId="Footer">
    <w:name w:val="footer"/>
    <w:basedOn w:val="Normal"/>
    <w:link w:val="FooterChar"/>
    <w:uiPriority w:val="99"/>
    <w:semiHidden/>
    <w:unhideWhenUsed/>
    <w:rsid w:val="00B434DF"/>
    <w:pPr>
      <w:tabs>
        <w:tab w:val="center" w:pos="4819"/>
        <w:tab w:val="right" w:pos="9638"/>
      </w:tabs>
    </w:pPr>
  </w:style>
  <w:style w:type="character" w:customStyle="1" w:styleId="FooterChar">
    <w:name w:val="Footer Char"/>
    <w:basedOn w:val="DefaultParagraphFont"/>
    <w:link w:val="Footer"/>
    <w:uiPriority w:val="99"/>
    <w:semiHidden/>
    <w:rsid w:val="00B434DF"/>
    <w:rPr>
      <w:rFonts w:ascii="Times New Roman" w:eastAsia="Lucida Sans Unicode" w:hAnsi="Times New Roman"/>
      <w:kern w:val="1"/>
      <w:sz w:val="24"/>
      <w:szCs w:val="24"/>
      <w:lang w:eastAsia="ar-SA"/>
    </w:rPr>
  </w:style>
  <w:style w:type="character" w:styleId="Hyperlink">
    <w:name w:val="Hyperlink"/>
    <w:basedOn w:val="DefaultParagraphFont"/>
    <w:uiPriority w:val="99"/>
    <w:unhideWhenUsed/>
    <w:rsid w:val="009349CE"/>
    <w:rPr>
      <w:color w:val="0000FF"/>
      <w:u w:val="single"/>
    </w:rPr>
  </w:style>
  <w:style w:type="paragraph" w:styleId="HTMLPreformatted">
    <w:name w:val="HTML Preformatted"/>
    <w:basedOn w:val="Normal"/>
    <w:link w:val="HTMLPreformattedChar"/>
    <w:uiPriority w:val="99"/>
    <w:unhideWhenUsed/>
    <w:rsid w:val="009349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kern w:val="0"/>
      <w:sz w:val="20"/>
      <w:szCs w:val="20"/>
      <w:lang w:eastAsia="lt-LT"/>
    </w:rPr>
  </w:style>
  <w:style w:type="character" w:customStyle="1" w:styleId="HTMLPreformattedChar">
    <w:name w:val="HTML Preformatted Char"/>
    <w:basedOn w:val="DefaultParagraphFont"/>
    <w:link w:val="HTMLPreformatted"/>
    <w:uiPriority w:val="99"/>
    <w:rsid w:val="009349CE"/>
    <w:rPr>
      <w:rFonts w:ascii="Courier New" w:eastAsia="Times New Roman" w:hAnsi="Courier New" w:cs="Courier New"/>
    </w:rPr>
  </w:style>
  <w:style w:type="paragraph" w:styleId="ListParagraph">
    <w:name w:val="List Paragraph"/>
    <w:basedOn w:val="Normal"/>
    <w:qFormat/>
    <w:rsid w:val="00B71D47"/>
    <w:pPr>
      <w:ind w:left="720"/>
      <w:contextualSpacing/>
    </w:pPr>
  </w:style>
  <w:style w:type="paragraph" w:styleId="BalloonText">
    <w:name w:val="Balloon Text"/>
    <w:basedOn w:val="Normal"/>
    <w:link w:val="BalloonTextChar"/>
    <w:uiPriority w:val="99"/>
    <w:semiHidden/>
    <w:unhideWhenUsed/>
    <w:rsid w:val="009269E0"/>
    <w:rPr>
      <w:rFonts w:ascii="Tahoma" w:hAnsi="Tahoma" w:cs="Tahoma"/>
      <w:sz w:val="16"/>
      <w:szCs w:val="16"/>
    </w:rPr>
  </w:style>
  <w:style w:type="character" w:customStyle="1" w:styleId="BalloonTextChar">
    <w:name w:val="Balloon Text Char"/>
    <w:basedOn w:val="DefaultParagraphFont"/>
    <w:link w:val="BalloonText"/>
    <w:uiPriority w:val="99"/>
    <w:semiHidden/>
    <w:rsid w:val="009269E0"/>
    <w:rPr>
      <w:rFonts w:ascii="Tahoma" w:eastAsia="Lucida Sans Unicode" w:hAnsi="Tahoma" w:cs="Tahoma"/>
      <w:kern w:val="1"/>
      <w:sz w:val="16"/>
      <w:szCs w:val="16"/>
      <w:lang w:eastAsia="ar-SA"/>
    </w:rPr>
  </w:style>
  <w:style w:type="character" w:styleId="Emphasis">
    <w:name w:val="Emphasis"/>
    <w:basedOn w:val="DefaultParagraphFont"/>
    <w:uiPriority w:val="20"/>
    <w:qFormat/>
    <w:rsid w:val="00EB44DB"/>
    <w:rPr>
      <w:i/>
      <w:iCs/>
    </w:rPr>
  </w:style>
  <w:style w:type="paragraph" w:customStyle="1" w:styleId="Default">
    <w:name w:val="Default"/>
    <w:rsid w:val="006E1B6A"/>
    <w:pPr>
      <w:autoSpaceDE w:val="0"/>
      <w:autoSpaceDN w:val="0"/>
      <w:adjustRightInd w:val="0"/>
    </w:pPr>
    <w:rPr>
      <w:rFonts w:ascii="Times New Roman" w:eastAsiaTheme="minorHAnsi" w:hAnsi="Times New Roman"/>
      <w:color w:val="000000"/>
      <w:sz w:val="24"/>
      <w:szCs w:val="24"/>
      <w:lang w:eastAsia="en-US"/>
    </w:rPr>
  </w:style>
  <w:style w:type="character" w:customStyle="1" w:styleId="bold1">
    <w:name w:val="bold1"/>
    <w:basedOn w:val="DefaultParagraphFont"/>
    <w:rsid w:val="000F6CA2"/>
    <w:rPr>
      <w:b/>
      <w:bCs/>
    </w:rPr>
  </w:style>
  <w:style w:type="paragraph" w:customStyle="1" w:styleId="TableContents">
    <w:name w:val="Table Contents"/>
    <w:basedOn w:val="Normal"/>
    <w:rsid w:val="00331C48"/>
    <w:pPr>
      <w:suppressLineNumbers/>
    </w:pPr>
    <w:rPr>
      <w:rFonts w:eastAsia="Andale Sans UI" w:cs="Tahoma"/>
      <w:kern w:val="0"/>
      <w:lang w:eastAsia="en-US" w:bidi="en-US"/>
    </w:rPr>
  </w:style>
  <w:style w:type="character" w:customStyle="1" w:styleId="tablecellcolumn">
    <w:name w:val="tablecellcolumn"/>
    <w:basedOn w:val="DefaultParagraphFont"/>
    <w:rsid w:val="00E34B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52"/>
    <w:pPr>
      <w:widowControl w:val="0"/>
      <w:suppressAutoHyphens/>
    </w:pPr>
    <w:rPr>
      <w:rFonts w:ascii="Times New Roman" w:eastAsia="Lucida Sans Unicode" w:hAnsi="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6F32"/>
    <w:pPr>
      <w:widowControl/>
      <w:suppressAutoHyphens w:val="0"/>
      <w:spacing w:before="280" w:after="119"/>
    </w:pPr>
    <w:rPr>
      <w:rFonts w:eastAsia="Times New Roman" w:cs="Calibri"/>
      <w:kern w:val="0"/>
    </w:rPr>
  </w:style>
  <w:style w:type="paragraph" w:styleId="BodyText">
    <w:name w:val="Body Text"/>
    <w:basedOn w:val="Normal"/>
    <w:link w:val="BodyTextChar"/>
    <w:rsid w:val="00B84C0E"/>
    <w:pPr>
      <w:ind w:firstLine="567"/>
      <w:jc w:val="both"/>
    </w:pPr>
    <w:rPr>
      <w:rFonts w:eastAsia="Andale Sans UI" w:cs="Tahoma"/>
      <w:kern w:val="0"/>
      <w:lang w:eastAsia="en-US" w:bidi="en-US"/>
    </w:rPr>
  </w:style>
  <w:style w:type="character" w:customStyle="1" w:styleId="BodyTextChar">
    <w:name w:val="Body Text Char"/>
    <w:basedOn w:val="DefaultParagraphFont"/>
    <w:link w:val="BodyText"/>
    <w:rsid w:val="00B84C0E"/>
    <w:rPr>
      <w:rFonts w:ascii="Times New Roman" w:eastAsia="Andale Sans UI" w:hAnsi="Times New Roman" w:cs="Tahoma"/>
      <w:sz w:val="24"/>
      <w:szCs w:val="24"/>
      <w:lang w:eastAsia="en-US" w:bidi="en-US"/>
    </w:rPr>
  </w:style>
  <w:style w:type="paragraph" w:styleId="Header">
    <w:name w:val="header"/>
    <w:aliases w:val="Char,Diagrama,Hipersaitas1,Char Diagrama Diagrama,Diagrama Diagrama Diagrama,Char Char Char Char,Char Char Char1,Char Char1, Char"/>
    <w:basedOn w:val="Normal"/>
    <w:link w:val="HeaderChar"/>
    <w:uiPriority w:val="99"/>
    <w:unhideWhenUsed/>
    <w:rsid w:val="00B434DF"/>
    <w:pPr>
      <w:tabs>
        <w:tab w:val="center" w:pos="4819"/>
        <w:tab w:val="right" w:pos="9638"/>
      </w:tabs>
    </w:pPr>
  </w:style>
  <w:style w:type="character" w:customStyle="1" w:styleId="HeaderChar">
    <w:name w:val="Header Char"/>
    <w:aliases w:val="Char Char,Diagrama Char,Hipersaitas1 Char,Char Diagrama Diagrama Char,Diagrama Diagrama Diagrama Char,Char Char Char Char Char,Char Char Char1 Char,Char Char1 Char, Char Char"/>
    <w:basedOn w:val="DefaultParagraphFont"/>
    <w:link w:val="Header"/>
    <w:uiPriority w:val="99"/>
    <w:rsid w:val="00B434DF"/>
    <w:rPr>
      <w:rFonts w:ascii="Times New Roman" w:eastAsia="Lucida Sans Unicode" w:hAnsi="Times New Roman"/>
      <w:kern w:val="1"/>
      <w:sz w:val="24"/>
      <w:szCs w:val="24"/>
      <w:lang w:eastAsia="ar-SA"/>
    </w:rPr>
  </w:style>
  <w:style w:type="paragraph" w:styleId="Footer">
    <w:name w:val="footer"/>
    <w:basedOn w:val="Normal"/>
    <w:link w:val="FooterChar"/>
    <w:uiPriority w:val="99"/>
    <w:semiHidden/>
    <w:unhideWhenUsed/>
    <w:rsid w:val="00B434DF"/>
    <w:pPr>
      <w:tabs>
        <w:tab w:val="center" w:pos="4819"/>
        <w:tab w:val="right" w:pos="9638"/>
      </w:tabs>
    </w:pPr>
  </w:style>
  <w:style w:type="character" w:customStyle="1" w:styleId="FooterChar">
    <w:name w:val="Footer Char"/>
    <w:basedOn w:val="DefaultParagraphFont"/>
    <w:link w:val="Footer"/>
    <w:uiPriority w:val="99"/>
    <w:semiHidden/>
    <w:rsid w:val="00B434DF"/>
    <w:rPr>
      <w:rFonts w:ascii="Times New Roman" w:eastAsia="Lucida Sans Unicode" w:hAnsi="Times New Roman"/>
      <w:kern w:val="1"/>
      <w:sz w:val="24"/>
      <w:szCs w:val="24"/>
      <w:lang w:eastAsia="ar-SA"/>
    </w:rPr>
  </w:style>
  <w:style w:type="character" w:styleId="Hyperlink">
    <w:name w:val="Hyperlink"/>
    <w:basedOn w:val="DefaultParagraphFont"/>
    <w:uiPriority w:val="99"/>
    <w:unhideWhenUsed/>
    <w:rsid w:val="009349CE"/>
    <w:rPr>
      <w:color w:val="0000FF"/>
      <w:u w:val="single"/>
    </w:rPr>
  </w:style>
  <w:style w:type="paragraph" w:styleId="HTMLPreformatted">
    <w:name w:val="HTML Preformatted"/>
    <w:basedOn w:val="Normal"/>
    <w:link w:val="HTMLPreformattedChar"/>
    <w:uiPriority w:val="99"/>
    <w:unhideWhenUsed/>
    <w:rsid w:val="009349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kern w:val="0"/>
      <w:sz w:val="20"/>
      <w:szCs w:val="20"/>
      <w:lang w:eastAsia="lt-LT"/>
    </w:rPr>
  </w:style>
  <w:style w:type="character" w:customStyle="1" w:styleId="HTMLPreformattedChar">
    <w:name w:val="HTML Preformatted Char"/>
    <w:basedOn w:val="DefaultParagraphFont"/>
    <w:link w:val="HTMLPreformatted"/>
    <w:uiPriority w:val="99"/>
    <w:rsid w:val="009349CE"/>
    <w:rPr>
      <w:rFonts w:ascii="Courier New" w:eastAsia="Times New Roman" w:hAnsi="Courier New" w:cs="Courier New"/>
    </w:rPr>
  </w:style>
  <w:style w:type="paragraph" w:styleId="ListParagraph">
    <w:name w:val="List Paragraph"/>
    <w:basedOn w:val="Normal"/>
    <w:qFormat/>
    <w:rsid w:val="00B71D47"/>
    <w:pPr>
      <w:ind w:left="720"/>
      <w:contextualSpacing/>
    </w:pPr>
  </w:style>
  <w:style w:type="paragraph" w:styleId="BalloonText">
    <w:name w:val="Balloon Text"/>
    <w:basedOn w:val="Normal"/>
    <w:link w:val="BalloonTextChar"/>
    <w:uiPriority w:val="99"/>
    <w:semiHidden/>
    <w:unhideWhenUsed/>
    <w:rsid w:val="009269E0"/>
    <w:rPr>
      <w:rFonts w:ascii="Tahoma" w:hAnsi="Tahoma" w:cs="Tahoma"/>
      <w:sz w:val="16"/>
      <w:szCs w:val="16"/>
    </w:rPr>
  </w:style>
  <w:style w:type="character" w:customStyle="1" w:styleId="BalloonTextChar">
    <w:name w:val="Balloon Text Char"/>
    <w:basedOn w:val="DefaultParagraphFont"/>
    <w:link w:val="BalloonText"/>
    <w:uiPriority w:val="99"/>
    <w:semiHidden/>
    <w:rsid w:val="009269E0"/>
    <w:rPr>
      <w:rFonts w:ascii="Tahoma" w:eastAsia="Lucida Sans Unicode" w:hAnsi="Tahoma" w:cs="Tahoma"/>
      <w:kern w:val="1"/>
      <w:sz w:val="16"/>
      <w:szCs w:val="16"/>
      <w:lang w:eastAsia="ar-SA"/>
    </w:rPr>
  </w:style>
  <w:style w:type="character" w:styleId="Emphasis">
    <w:name w:val="Emphasis"/>
    <w:basedOn w:val="DefaultParagraphFont"/>
    <w:uiPriority w:val="20"/>
    <w:qFormat/>
    <w:rsid w:val="00EB44DB"/>
    <w:rPr>
      <w:i/>
      <w:iCs/>
    </w:rPr>
  </w:style>
  <w:style w:type="paragraph" w:customStyle="1" w:styleId="Default">
    <w:name w:val="Default"/>
    <w:rsid w:val="006E1B6A"/>
    <w:pPr>
      <w:autoSpaceDE w:val="0"/>
      <w:autoSpaceDN w:val="0"/>
      <w:adjustRightInd w:val="0"/>
    </w:pPr>
    <w:rPr>
      <w:rFonts w:ascii="Times New Roman" w:eastAsiaTheme="minorHAnsi" w:hAnsi="Times New Roman"/>
      <w:color w:val="000000"/>
      <w:sz w:val="24"/>
      <w:szCs w:val="24"/>
      <w:lang w:eastAsia="en-US"/>
    </w:rPr>
  </w:style>
  <w:style w:type="character" w:customStyle="1" w:styleId="bold1">
    <w:name w:val="bold1"/>
    <w:basedOn w:val="DefaultParagraphFont"/>
    <w:rsid w:val="000F6CA2"/>
    <w:rPr>
      <w:b/>
      <w:bCs/>
    </w:rPr>
  </w:style>
  <w:style w:type="paragraph" w:customStyle="1" w:styleId="TableContents">
    <w:name w:val="Table Contents"/>
    <w:basedOn w:val="Normal"/>
    <w:rsid w:val="00331C48"/>
    <w:pPr>
      <w:suppressLineNumbers/>
    </w:pPr>
    <w:rPr>
      <w:rFonts w:eastAsia="Andale Sans UI" w:cs="Tahoma"/>
      <w:kern w:val="0"/>
      <w:lang w:eastAsia="en-US" w:bidi="en-US"/>
    </w:rPr>
  </w:style>
  <w:style w:type="character" w:customStyle="1" w:styleId="tablecellcolumn">
    <w:name w:val="tablecellcolumn"/>
    <w:basedOn w:val="DefaultParagraphFont"/>
    <w:rsid w:val="00E3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59803">
      <w:bodyDiv w:val="1"/>
      <w:marLeft w:val="0"/>
      <w:marRight w:val="0"/>
      <w:marTop w:val="0"/>
      <w:marBottom w:val="0"/>
      <w:divBdr>
        <w:top w:val="none" w:sz="0" w:space="0" w:color="auto"/>
        <w:left w:val="none" w:sz="0" w:space="0" w:color="auto"/>
        <w:bottom w:val="none" w:sz="0" w:space="0" w:color="auto"/>
        <w:right w:val="none" w:sz="0" w:space="0" w:color="auto"/>
      </w:divBdr>
    </w:div>
    <w:div w:id="264969449">
      <w:bodyDiv w:val="1"/>
      <w:marLeft w:val="0"/>
      <w:marRight w:val="0"/>
      <w:marTop w:val="0"/>
      <w:marBottom w:val="0"/>
      <w:divBdr>
        <w:top w:val="none" w:sz="0" w:space="0" w:color="auto"/>
        <w:left w:val="none" w:sz="0" w:space="0" w:color="auto"/>
        <w:bottom w:val="none" w:sz="0" w:space="0" w:color="auto"/>
        <w:right w:val="none" w:sz="0" w:space="0" w:color="auto"/>
      </w:divBdr>
    </w:div>
    <w:div w:id="640624083">
      <w:bodyDiv w:val="1"/>
      <w:marLeft w:val="0"/>
      <w:marRight w:val="0"/>
      <w:marTop w:val="0"/>
      <w:marBottom w:val="0"/>
      <w:divBdr>
        <w:top w:val="none" w:sz="0" w:space="0" w:color="auto"/>
        <w:left w:val="none" w:sz="0" w:space="0" w:color="auto"/>
        <w:bottom w:val="none" w:sz="0" w:space="0" w:color="auto"/>
        <w:right w:val="none" w:sz="0" w:space="0" w:color="auto"/>
      </w:divBdr>
    </w:div>
    <w:div w:id="728725247">
      <w:bodyDiv w:val="1"/>
      <w:marLeft w:val="225"/>
      <w:marRight w:val="225"/>
      <w:marTop w:val="0"/>
      <w:marBottom w:val="0"/>
      <w:divBdr>
        <w:top w:val="none" w:sz="0" w:space="0" w:color="auto"/>
        <w:left w:val="none" w:sz="0" w:space="0" w:color="auto"/>
        <w:bottom w:val="none" w:sz="0" w:space="0" w:color="auto"/>
        <w:right w:val="none" w:sz="0" w:space="0" w:color="auto"/>
      </w:divBdr>
      <w:divsChild>
        <w:div w:id="164132273">
          <w:marLeft w:val="0"/>
          <w:marRight w:val="0"/>
          <w:marTop w:val="0"/>
          <w:marBottom w:val="0"/>
          <w:divBdr>
            <w:top w:val="none" w:sz="0" w:space="0" w:color="auto"/>
            <w:left w:val="none" w:sz="0" w:space="0" w:color="auto"/>
            <w:bottom w:val="none" w:sz="0" w:space="0" w:color="auto"/>
            <w:right w:val="none" w:sz="0" w:space="0" w:color="auto"/>
          </w:divBdr>
        </w:div>
      </w:divsChild>
    </w:div>
    <w:div w:id="1008099012">
      <w:bodyDiv w:val="1"/>
      <w:marLeft w:val="0"/>
      <w:marRight w:val="0"/>
      <w:marTop w:val="0"/>
      <w:marBottom w:val="0"/>
      <w:divBdr>
        <w:top w:val="none" w:sz="0" w:space="0" w:color="auto"/>
        <w:left w:val="none" w:sz="0" w:space="0" w:color="auto"/>
        <w:bottom w:val="none" w:sz="0" w:space="0" w:color="auto"/>
        <w:right w:val="none" w:sz="0" w:space="0" w:color="auto"/>
      </w:divBdr>
    </w:div>
    <w:div w:id="1931350130">
      <w:bodyDiv w:val="1"/>
      <w:marLeft w:val="0"/>
      <w:marRight w:val="0"/>
      <w:marTop w:val="0"/>
      <w:marBottom w:val="0"/>
      <w:divBdr>
        <w:top w:val="none" w:sz="0" w:space="0" w:color="auto"/>
        <w:left w:val="none" w:sz="0" w:space="0" w:color="auto"/>
        <w:bottom w:val="none" w:sz="0" w:space="0" w:color="auto"/>
        <w:right w:val="none" w:sz="0" w:space="0" w:color="auto"/>
      </w:divBdr>
    </w:div>
    <w:div w:id="20903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8725-62C4-4D8C-B16A-4DC691D90FEB}">
  <ds:schemaRefs>
    <ds:schemaRef ds:uri="http://schemas.microsoft.com/sharepoint/v3/contenttype/forms"/>
  </ds:schemaRefs>
</ds:datastoreItem>
</file>

<file path=customXml/itemProps2.xml><?xml version="1.0" encoding="utf-8"?>
<ds:datastoreItem xmlns:ds="http://schemas.openxmlformats.org/officeDocument/2006/customXml" ds:itemID="{0352C8EA-54A2-4095-A712-2E32472A3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20DD7-34A1-42C1-BF82-B4B2744DAB7F}">
  <ds:schemaRef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875FEAEC-3F28-4CD0-8C47-7AFEAEC3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V-Rumbutiene</dc:creator>
  <cp:lastModifiedBy>Romualdas Brazauskas</cp:lastModifiedBy>
  <cp:revision>7</cp:revision>
  <cp:lastPrinted>2017-08-09T07:11:00Z</cp:lastPrinted>
  <dcterms:created xsi:type="dcterms:W3CDTF">2020-07-03T05:24:00Z</dcterms:created>
  <dcterms:modified xsi:type="dcterms:W3CDTF">2020-07-07T06:29:00Z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