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70A9761F" w:rsidR="009A727E" w:rsidRPr="002F7FDE" w:rsidRDefault="009A727E" w:rsidP="00F241D1">
      <w:pPr>
        <w:ind w:left="-142"/>
        <w:jc w:val="center"/>
      </w:pPr>
      <w:r w:rsidRPr="002F7FDE">
        <w:t xml:space="preserve">Dėl </w:t>
      </w:r>
      <w:r w:rsidR="00F241D1" w:rsidRPr="00FE3425">
        <w:t>vakcinos nuo COVID-19 ligos (</w:t>
      </w:r>
      <w:proofErr w:type="spellStart"/>
      <w:r w:rsidR="00F241D1" w:rsidRPr="00FE3425">
        <w:t>koronaviruso</w:t>
      </w:r>
      <w:proofErr w:type="spellEnd"/>
      <w:r w:rsidR="00F241D1" w:rsidRPr="00FE3425">
        <w:t xml:space="preserve"> infekcijos) </w:t>
      </w:r>
      <w:r w:rsidR="00F241D1">
        <w:t xml:space="preserve">įsigijimo </w:t>
      </w:r>
      <w:r w:rsidR="001858A9">
        <w:t xml:space="preserve">iš </w:t>
      </w:r>
      <w:r w:rsidR="001858A9" w:rsidRPr="00BF2F52">
        <w:rPr>
          <w:rFonts w:eastAsiaTheme="minorHAnsi"/>
        </w:rPr>
        <w:t>farmacijos kompanij</w:t>
      </w:r>
      <w:r w:rsidR="001858A9">
        <w:rPr>
          <w:rFonts w:eastAsiaTheme="minorHAnsi"/>
        </w:rPr>
        <w:t>os</w:t>
      </w:r>
      <w:r w:rsidR="001858A9" w:rsidRPr="00BF2F52">
        <w:rPr>
          <w:rFonts w:eastAsiaTheme="minorHAnsi"/>
        </w:rPr>
        <w:t xml:space="preserve"> „</w:t>
      </w:r>
      <w:proofErr w:type="spellStart"/>
      <w:r w:rsidR="001858A9" w:rsidRPr="00BF2F52">
        <w:rPr>
          <w:rFonts w:eastAsiaTheme="minorHAnsi"/>
          <w:i/>
          <w:iCs/>
        </w:rPr>
        <w:t>Janssen</w:t>
      </w:r>
      <w:proofErr w:type="spellEnd"/>
      <w:r w:rsidR="001858A9" w:rsidRPr="00BF2F52">
        <w:rPr>
          <w:rFonts w:eastAsiaTheme="minorHAnsi"/>
          <w:i/>
          <w:iCs/>
        </w:rPr>
        <w:t xml:space="preserve"> </w:t>
      </w:r>
      <w:proofErr w:type="spellStart"/>
      <w:r w:rsidR="001858A9" w:rsidRPr="00BF2F52">
        <w:rPr>
          <w:rFonts w:eastAsiaTheme="minorHAnsi"/>
          <w:i/>
          <w:iCs/>
        </w:rPr>
        <w:t>Pharmaceutica</w:t>
      </w:r>
      <w:proofErr w:type="spellEnd"/>
      <w:r w:rsidR="001858A9" w:rsidRPr="00BF2F52">
        <w:rPr>
          <w:rFonts w:eastAsiaTheme="minorHAnsi"/>
          <w:i/>
          <w:iCs/>
        </w:rPr>
        <w:t xml:space="preserve"> NV</w:t>
      </w:r>
      <w:r w:rsidR="001858A9" w:rsidRPr="00BF2F52">
        <w:rPr>
          <w:rFonts w:eastAsiaTheme="minorHAnsi"/>
        </w:rPr>
        <w:t>“</w:t>
      </w:r>
      <w:r w:rsidR="001858A9">
        <w:rPr>
          <w:rFonts w:eastAsiaTheme="minorHAnsi"/>
        </w:rPr>
        <w:t xml:space="preserve"> </w:t>
      </w:r>
      <w:r w:rsidR="00F241D1">
        <w:t xml:space="preserve">pagal </w:t>
      </w:r>
      <w:r w:rsidR="001858A9" w:rsidRPr="00AE3252">
        <w:t>išankstin</w:t>
      </w:r>
      <w:r w:rsidR="0041249E" w:rsidRPr="00AE3252">
        <w:t>ę</w:t>
      </w:r>
      <w:r w:rsidR="001858A9">
        <w:t xml:space="preserve"> </w:t>
      </w:r>
      <w:r w:rsidR="00F241D1" w:rsidRPr="00FE3425">
        <w:rPr>
          <w:bCs/>
        </w:rPr>
        <w:t xml:space="preserve">pirkimo sutartį </w:t>
      </w:r>
      <w:r w:rsidR="00161696" w:rsidRPr="002F7FDE">
        <w:rPr>
          <w:sz w:val="22"/>
        </w:rPr>
        <w:t>___</w:t>
      </w:r>
      <w:r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2E0C57DD" w14:textId="6D56B4F8" w:rsidR="001858A9" w:rsidRDefault="00F241D1" w:rsidP="001858A9">
      <w:pPr>
        <w:spacing w:line="276" w:lineRule="auto"/>
        <w:ind w:firstLine="720"/>
        <w:jc w:val="both"/>
        <w:rPr>
          <w:rFonts w:eastAsiaTheme="minorHAnsi"/>
        </w:rPr>
      </w:pPr>
      <w:r>
        <w:t xml:space="preserve">Pritarti </w:t>
      </w:r>
      <w:r w:rsidRPr="00FE3425">
        <w:t>vakcinos nuo COVID-19 ligos (</w:t>
      </w:r>
      <w:proofErr w:type="spellStart"/>
      <w:r w:rsidRPr="00FE3425">
        <w:t>koronaviruso</w:t>
      </w:r>
      <w:proofErr w:type="spellEnd"/>
      <w:r w:rsidRPr="00FE3425">
        <w:t xml:space="preserve"> infekcijos) </w:t>
      </w:r>
      <w:r>
        <w:t xml:space="preserve">įsigijimui </w:t>
      </w:r>
      <w:r w:rsidR="001858A9">
        <w:t xml:space="preserve">iš </w:t>
      </w:r>
      <w:r w:rsidR="001858A9" w:rsidRPr="00BF2F52">
        <w:rPr>
          <w:rFonts w:eastAsiaTheme="minorHAnsi"/>
        </w:rPr>
        <w:t>farmacijos kompanij</w:t>
      </w:r>
      <w:r w:rsidR="001858A9">
        <w:rPr>
          <w:rFonts w:eastAsiaTheme="minorHAnsi"/>
        </w:rPr>
        <w:t>os</w:t>
      </w:r>
      <w:r w:rsidR="001858A9" w:rsidRPr="00BF2F52">
        <w:rPr>
          <w:rFonts w:eastAsiaTheme="minorHAnsi"/>
        </w:rPr>
        <w:t xml:space="preserve"> „</w:t>
      </w:r>
      <w:proofErr w:type="spellStart"/>
      <w:r w:rsidR="001858A9" w:rsidRPr="00BF2F52">
        <w:rPr>
          <w:rFonts w:eastAsiaTheme="minorHAnsi"/>
          <w:i/>
          <w:iCs/>
        </w:rPr>
        <w:t>Janssen</w:t>
      </w:r>
      <w:proofErr w:type="spellEnd"/>
      <w:r w:rsidR="001858A9" w:rsidRPr="00BF2F52">
        <w:rPr>
          <w:rFonts w:eastAsiaTheme="minorHAnsi"/>
          <w:i/>
          <w:iCs/>
        </w:rPr>
        <w:t xml:space="preserve"> </w:t>
      </w:r>
      <w:proofErr w:type="spellStart"/>
      <w:r w:rsidR="001858A9" w:rsidRPr="00BF2F52">
        <w:rPr>
          <w:rFonts w:eastAsiaTheme="minorHAnsi"/>
          <w:i/>
          <w:iCs/>
        </w:rPr>
        <w:t>Pharmaceutica</w:t>
      </w:r>
      <w:proofErr w:type="spellEnd"/>
      <w:r w:rsidR="001858A9" w:rsidRPr="00BF2F52">
        <w:rPr>
          <w:rFonts w:eastAsiaTheme="minorHAnsi"/>
          <w:i/>
          <w:iCs/>
        </w:rPr>
        <w:t xml:space="preserve"> NV</w:t>
      </w:r>
      <w:r w:rsidR="001858A9" w:rsidRPr="00BF2F52">
        <w:rPr>
          <w:rFonts w:eastAsiaTheme="minorHAnsi"/>
        </w:rPr>
        <w:t>“</w:t>
      </w:r>
      <w:r w:rsidR="001858A9">
        <w:rPr>
          <w:rFonts w:eastAsiaTheme="minorHAnsi"/>
        </w:rPr>
        <w:t xml:space="preserve"> </w:t>
      </w:r>
      <w:r w:rsidRPr="00AE3252">
        <w:t xml:space="preserve">pagal </w:t>
      </w:r>
      <w:r w:rsidR="001858A9" w:rsidRPr="00AE3252">
        <w:t>išankstin</w:t>
      </w:r>
      <w:r w:rsidR="0041249E" w:rsidRPr="00AE3252">
        <w:t>ę</w:t>
      </w:r>
      <w:r w:rsidR="001858A9">
        <w:t xml:space="preserve"> </w:t>
      </w:r>
      <w:r w:rsidRPr="00FE3425">
        <w:rPr>
          <w:bCs/>
        </w:rPr>
        <w:t>pirkimo sutartį</w:t>
      </w:r>
      <w:r>
        <w:rPr>
          <w:rFonts w:eastAsiaTheme="minorHAnsi"/>
        </w:rPr>
        <w:t>, pagal kurią</w:t>
      </w:r>
      <w:r w:rsidR="001858A9">
        <w:t xml:space="preserve">, atsižvelgiant į Europos Komisijos nustatytą </w:t>
      </w:r>
      <w:r w:rsidR="001858A9">
        <w:rPr>
          <w:i/>
          <w:iCs/>
          <w:color w:val="000000"/>
          <w:shd w:val="clear" w:color="auto" w:fill="FFFFFF"/>
        </w:rPr>
        <w:t xml:space="preserve">pro </w:t>
      </w:r>
      <w:proofErr w:type="spellStart"/>
      <w:r w:rsidR="001858A9">
        <w:rPr>
          <w:i/>
          <w:iCs/>
          <w:color w:val="000000"/>
          <w:shd w:val="clear" w:color="auto" w:fill="FFFFFF"/>
        </w:rPr>
        <w:t>rata</w:t>
      </w:r>
      <w:proofErr w:type="spellEnd"/>
      <w:r w:rsidR="001858A9">
        <w:rPr>
          <w:color w:val="000000"/>
          <w:shd w:val="clear" w:color="auto" w:fill="FFFFFF"/>
        </w:rPr>
        <w:t xml:space="preserve"> kriterijų</w:t>
      </w:r>
      <w:r w:rsidR="00AE3252">
        <w:rPr>
          <w:color w:val="000000"/>
          <w:shd w:val="clear" w:color="auto" w:fill="FFFFFF"/>
        </w:rPr>
        <w:t>,</w:t>
      </w:r>
      <w:r w:rsidR="001858A9">
        <w:t xml:space="preserve"> Lietuvos Respublikai numatyta įsigyti</w:t>
      </w:r>
      <w:r w:rsidR="001858A9">
        <w:rPr>
          <w:color w:val="000000"/>
          <w:shd w:val="clear" w:color="auto" w:fill="FFFFFF"/>
        </w:rPr>
        <w:t xml:space="preserve"> vakcinų kiekį, pakankamą </w:t>
      </w:r>
      <w:r w:rsidR="001858A9">
        <w:t>vakcinuoti 1</w:t>
      </w:r>
      <w:r w:rsidR="00AE3252">
        <w:t>,</w:t>
      </w:r>
      <w:r w:rsidR="001858A9">
        <w:t xml:space="preserve">24 mln. gyventojų, </w:t>
      </w:r>
      <w:r w:rsidR="001858A9">
        <w:rPr>
          <w:color w:val="000000"/>
          <w:shd w:val="clear" w:color="auto" w:fill="FFFFFF"/>
        </w:rPr>
        <w:t>nebent būtų galima mažinti įsigyjamos vakcinos kiekį</w:t>
      </w:r>
      <w:r w:rsidR="00AE3252">
        <w:rPr>
          <w:color w:val="000000"/>
          <w:shd w:val="clear" w:color="auto" w:fill="FFFFFF"/>
        </w:rPr>
        <w:t xml:space="preserve"> </w:t>
      </w:r>
      <w:r w:rsidR="001858A9">
        <w:rPr>
          <w:color w:val="000000"/>
          <w:shd w:val="clear" w:color="auto" w:fill="FFFFFF"/>
        </w:rPr>
        <w:t>iki skaičiaus, pakankamo vakcinuoti 700 tūkst.  Lietuvos Respublikos </w:t>
      </w:r>
      <w:r w:rsidR="00AE3252">
        <w:rPr>
          <w:color w:val="000000"/>
          <w:shd w:val="clear" w:color="auto" w:fill="FFFFFF"/>
        </w:rPr>
        <w:t>gyventojų</w:t>
      </w:r>
      <w:r w:rsidR="001858A9">
        <w:rPr>
          <w:color w:val="000000"/>
          <w:shd w:val="clear" w:color="auto" w:fill="FFFFFF"/>
        </w:rPr>
        <w:t>.</w:t>
      </w:r>
      <w:r w:rsidR="001858A9">
        <w:rPr>
          <w:color w:val="000000"/>
        </w:rPr>
        <w:tab/>
      </w:r>
      <w:r>
        <w:rPr>
          <w:rFonts w:eastAsiaTheme="minorHAnsi"/>
        </w:rPr>
        <w:t xml:space="preserve"> </w:t>
      </w:r>
    </w:p>
    <w:p w14:paraId="5058E3EC" w14:textId="5CFC7F6A" w:rsidR="00CC76BB" w:rsidRPr="00F241D1" w:rsidRDefault="000C2F59" w:rsidP="00F241D1">
      <w:pPr>
        <w:ind w:firstLine="720"/>
        <w:jc w:val="both"/>
        <w:rPr>
          <w:strike/>
        </w:rPr>
      </w:pPr>
      <w:r w:rsidRPr="00F241D1">
        <w:tab/>
      </w:r>
    </w:p>
    <w:p w14:paraId="217B0B19" w14:textId="77777777" w:rsidR="001858A9" w:rsidRDefault="001858A9">
      <w:pPr>
        <w:spacing w:line="360" w:lineRule="auto"/>
        <w:jc w:val="both"/>
      </w:pPr>
    </w:p>
    <w:p w14:paraId="537391BA" w14:textId="482DD617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FE516" w14:textId="77777777" w:rsidR="0043300F" w:rsidRDefault="0043300F" w:rsidP="00911FB0">
      <w:r>
        <w:separator/>
      </w:r>
    </w:p>
  </w:endnote>
  <w:endnote w:type="continuationSeparator" w:id="0">
    <w:p w14:paraId="01402EBB" w14:textId="77777777" w:rsidR="0043300F" w:rsidRDefault="0043300F" w:rsidP="00911FB0">
      <w:r>
        <w:continuationSeparator/>
      </w:r>
    </w:p>
  </w:endnote>
  <w:endnote w:type="continuationNotice" w:id="1">
    <w:p w14:paraId="30CC8272" w14:textId="77777777" w:rsidR="0043300F" w:rsidRDefault="00433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5E3D1" w14:textId="77777777" w:rsidR="0043300F" w:rsidRDefault="0043300F" w:rsidP="00911FB0">
      <w:r>
        <w:separator/>
      </w:r>
    </w:p>
  </w:footnote>
  <w:footnote w:type="continuationSeparator" w:id="0">
    <w:p w14:paraId="3CAC1DB0" w14:textId="77777777" w:rsidR="0043300F" w:rsidRDefault="0043300F" w:rsidP="00911FB0">
      <w:r>
        <w:continuationSeparator/>
      </w:r>
    </w:p>
  </w:footnote>
  <w:footnote w:type="continuationNotice" w:id="1">
    <w:p w14:paraId="1FF69A4A" w14:textId="77777777" w:rsidR="0043300F" w:rsidRDefault="00433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269CE-6CE2-4BA7-B08B-A1793564A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2020-10-13T06:13:00Z</dcterms:created>
  <dcterms:modified xsi:type="dcterms:W3CDTF">2020-10-13T06:13:00Z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