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4F" w:rsidRPr="00B11566" w:rsidRDefault="006E224F" w:rsidP="006E224F">
      <w:pPr>
        <w:spacing w:after="0" w:line="240" w:lineRule="auto"/>
        <w:jc w:val="center"/>
        <w:rPr>
          <w:rFonts w:eastAsia="Calibri" w:cs="Times New Roman"/>
          <w:b/>
          <w:sz w:val="26"/>
          <w:szCs w:val="26"/>
        </w:rPr>
      </w:pPr>
      <w:r w:rsidRPr="00B11566">
        <w:rPr>
          <w:rFonts w:eastAsia="Calibri" w:cs="Times New Roman"/>
          <w:b/>
          <w:sz w:val="26"/>
          <w:szCs w:val="26"/>
        </w:rPr>
        <w:t>PAŽYMA</w:t>
      </w:r>
    </w:p>
    <w:p w:rsidR="006E224F" w:rsidRPr="00B11566" w:rsidRDefault="002817F5" w:rsidP="006E224F">
      <w:pPr>
        <w:spacing w:after="0" w:line="240" w:lineRule="auto"/>
        <w:jc w:val="center"/>
        <w:rPr>
          <w:rFonts w:eastAsia="Calibri" w:cs="Times New Roman"/>
          <w:b/>
          <w:sz w:val="26"/>
          <w:szCs w:val="26"/>
        </w:rPr>
      </w:pPr>
      <w:r>
        <w:rPr>
          <w:rFonts w:eastAsia="Calibri" w:cs="Times New Roman"/>
          <w:b/>
          <w:sz w:val="26"/>
          <w:szCs w:val="26"/>
        </w:rPr>
        <w:t>Dėl š. m. gegužės</w:t>
      </w:r>
      <w:r w:rsidR="006E224F" w:rsidRPr="00B11566">
        <w:rPr>
          <w:rFonts w:eastAsia="Calibri" w:cs="Times New Roman"/>
          <w:b/>
          <w:sz w:val="26"/>
          <w:szCs w:val="26"/>
        </w:rPr>
        <w:t xml:space="preserve"> 1</w:t>
      </w:r>
      <w:r>
        <w:rPr>
          <w:rFonts w:eastAsia="Calibri" w:cs="Times New Roman"/>
          <w:b/>
          <w:sz w:val="26"/>
          <w:szCs w:val="26"/>
          <w:lang w:val="en-US"/>
        </w:rPr>
        <w:t>9</w:t>
      </w:r>
      <w:r w:rsidR="006E224F" w:rsidRPr="00B11566">
        <w:rPr>
          <w:rFonts w:eastAsia="Calibri" w:cs="Times New Roman"/>
          <w:b/>
          <w:sz w:val="26"/>
          <w:szCs w:val="26"/>
        </w:rPr>
        <w:t xml:space="preserve"> d. Ekonomikos ir finansų reikalų (ECOFIN) tarybo</w:t>
      </w:r>
      <w:r w:rsidR="00076A9E">
        <w:rPr>
          <w:rFonts w:eastAsia="Calibri" w:cs="Times New Roman"/>
          <w:b/>
          <w:sz w:val="26"/>
          <w:szCs w:val="26"/>
        </w:rPr>
        <w:t>s vaizdo</w:t>
      </w:r>
      <w:r w:rsidR="003B2B69">
        <w:rPr>
          <w:rFonts w:eastAsia="Calibri" w:cs="Times New Roman"/>
          <w:b/>
          <w:sz w:val="26"/>
          <w:szCs w:val="26"/>
        </w:rPr>
        <w:t xml:space="preserve"> konferencijoje</w:t>
      </w:r>
      <w:r w:rsidR="00723FC9">
        <w:rPr>
          <w:rFonts w:eastAsia="Calibri" w:cs="Times New Roman"/>
          <w:b/>
          <w:sz w:val="26"/>
          <w:szCs w:val="26"/>
        </w:rPr>
        <w:t xml:space="preserve"> </w:t>
      </w:r>
      <w:r w:rsidR="006E224F" w:rsidRPr="00B11566">
        <w:rPr>
          <w:rFonts w:eastAsia="Calibri" w:cs="Times New Roman"/>
          <w:b/>
          <w:sz w:val="26"/>
          <w:szCs w:val="26"/>
        </w:rPr>
        <w:t>svarstomų klausimų</w:t>
      </w:r>
    </w:p>
    <w:p w:rsidR="00AA132A" w:rsidRDefault="00AA132A" w:rsidP="006E224F">
      <w:pPr>
        <w:spacing w:after="0" w:line="240" w:lineRule="auto"/>
        <w:jc w:val="center"/>
        <w:rPr>
          <w:rFonts w:eastAsia="Calibri" w:cs="Times New Roman"/>
          <w:sz w:val="28"/>
          <w:szCs w:val="28"/>
        </w:rPr>
      </w:pPr>
    </w:p>
    <w:p w:rsidR="00D62032" w:rsidRPr="00D4154B" w:rsidRDefault="00D62032" w:rsidP="006E224F">
      <w:pPr>
        <w:spacing w:after="0" w:line="240" w:lineRule="auto"/>
        <w:jc w:val="center"/>
        <w:rPr>
          <w:rFonts w:eastAsia="Calibri" w:cs="Times New Roman"/>
          <w:sz w:val="28"/>
          <w:szCs w:val="28"/>
        </w:rPr>
      </w:pPr>
      <w:bookmarkStart w:id="0" w:name="_GoBack"/>
      <w:bookmarkEnd w:id="0"/>
    </w:p>
    <w:p w:rsidR="005A1557" w:rsidRPr="00214FF8" w:rsidRDefault="002817F5" w:rsidP="005A155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Fonts w:eastAsia="Calibri" w:cs="Times New Roman"/>
          <w:b/>
          <w:szCs w:val="24"/>
        </w:rPr>
        <w:t xml:space="preserve">Esama situacija dėl kovos su </w:t>
      </w:r>
      <w:r w:rsidR="00214FF8" w:rsidRPr="00214FF8">
        <w:rPr>
          <w:rFonts w:eastAsia="Calibri" w:cs="Times New Roman"/>
          <w:b/>
          <w:szCs w:val="24"/>
        </w:rPr>
        <w:t xml:space="preserve">COVID-19 </w:t>
      </w:r>
      <w:r>
        <w:rPr>
          <w:rFonts w:eastAsia="Calibri" w:cs="Times New Roman"/>
          <w:b/>
          <w:szCs w:val="24"/>
        </w:rPr>
        <w:t>priemonių</w:t>
      </w:r>
    </w:p>
    <w:p w:rsidR="00AA132A" w:rsidRPr="003D4291" w:rsidRDefault="00AA132A" w:rsidP="005A1557">
      <w:pPr>
        <w:spacing w:after="0" w:line="240" w:lineRule="auto"/>
        <w:jc w:val="both"/>
        <w:rPr>
          <w:rFonts w:eastAsia="Calibri" w:cs="Times New Roman"/>
          <w:szCs w:val="24"/>
        </w:rPr>
      </w:pPr>
    </w:p>
    <w:p w:rsidR="00126F54" w:rsidRPr="00D22BC3" w:rsidRDefault="005A1557" w:rsidP="00AB31B4">
      <w:pPr>
        <w:contextualSpacing/>
        <w:jc w:val="both"/>
        <w:rPr>
          <w:rFonts w:cs="Times New Roman"/>
          <w:szCs w:val="24"/>
        </w:rPr>
      </w:pPr>
      <w:r w:rsidRPr="00D22BC3">
        <w:rPr>
          <w:rFonts w:eastAsia="Calibri" w:cs="Times New Roman"/>
          <w:b/>
          <w:szCs w:val="24"/>
          <w:u w:val="single"/>
        </w:rPr>
        <w:t>Klausimo esmė.</w:t>
      </w:r>
      <w:r w:rsidRPr="00D22BC3">
        <w:rPr>
          <w:rFonts w:eastAsia="Calibri" w:cs="Times New Roman"/>
          <w:szCs w:val="24"/>
        </w:rPr>
        <w:t xml:space="preserve"> </w:t>
      </w:r>
      <w:r w:rsidR="0078551E">
        <w:rPr>
          <w:rFonts w:eastAsia="Calibri" w:cs="Times New Roman"/>
          <w:szCs w:val="24"/>
        </w:rPr>
        <w:t>Posėdyje ministrai apsikeis nuomonėmis dėl progreso</w:t>
      </w:r>
      <w:r w:rsidR="00AB31B4">
        <w:rPr>
          <w:rFonts w:eastAsia="Calibri" w:cs="Times New Roman"/>
          <w:szCs w:val="24"/>
        </w:rPr>
        <w:t>,</w:t>
      </w:r>
      <w:r w:rsidR="0078551E">
        <w:rPr>
          <w:rFonts w:eastAsia="Calibri" w:cs="Times New Roman"/>
          <w:szCs w:val="24"/>
        </w:rPr>
        <w:t xml:space="preserve"> pasiekto įgyvendinant ES lygmens kovos su </w:t>
      </w:r>
      <w:proofErr w:type="spellStart"/>
      <w:r w:rsidR="0078551E">
        <w:rPr>
          <w:rFonts w:eastAsia="Calibri" w:cs="Times New Roman"/>
          <w:szCs w:val="24"/>
        </w:rPr>
        <w:t>Covid-</w:t>
      </w:r>
      <w:r w:rsidR="00AB31B4">
        <w:rPr>
          <w:rFonts w:eastAsia="Calibri" w:cs="Times New Roman"/>
          <w:szCs w:val="24"/>
        </w:rPr>
        <w:t>19</w:t>
      </w:r>
      <w:proofErr w:type="spellEnd"/>
      <w:r w:rsidR="00AB31B4">
        <w:rPr>
          <w:rFonts w:eastAsia="Calibri" w:cs="Times New Roman"/>
          <w:szCs w:val="24"/>
        </w:rPr>
        <w:t xml:space="preserve"> krize priemones. </w:t>
      </w:r>
      <w:r w:rsidR="00126F54" w:rsidRPr="00D22BC3">
        <w:rPr>
          <w:rFonts w:cs="Times New Roman"/>
          <w:szCs w:val="24"/>
        </w:rPr>
        <w:t>Š. m. balandžio 9 d. Euro grupė, posėdžiavusi išplėstiniu formatu, pritarė ekonominių priemonių kovoje su COVID-19 pandemija paketui</w:t>
      </w:r>
      <w:r w:rsidR="00D22BC3" w:rsidRPr="00D22BC3">
        <w:rPr>
          <w:rFonts w:cs="Times New Roman"/>
          <w:szCs w:val="24"/>
        </w:rPr>
        <w:t xml:space="preserve"> (EIB garantijų fondas, ESM kredito linija, SURE)</w:t>
      </w:r>
      <w:r w:rsidR="003D4291" w:rsidRPr="00D22BC3">
        <w:rPr>
          <w:rFonts w:cs="Times New Roman"/>
          <w:szCs w:val="24"/>
        </w:rPr>
        <w:t>.</w:t>
      </w:r>
      <w:r w:rsidR="009C5EF2" w:rsidRPr="00D22BC3">
        <w:rPr>
          <w:rFonts w:cs="Times New Roman"/>
          <w:szCs w:val="24"/>
        </w:rPr>
        <w:t xml:space="preserve"> Balandžio 23 d. EVT lyderiai sutarė, kad šios priemonės turėtų pradėti veikti nuo š. m. birželio </w:t>
      </w:r>
      <w:r w:rsidR="00D22BC3" w:rsidRPr="00D22BC3">
        <w:rPr>
          <w:rFonts w:cs="Times New Roman"/>
          <w:szCs w:val="24"/>
        </w:rPr>
        <w:t>1 d.</w:t>
      </w:r>
    </w:p>
    <w:p w:rsidR="00126F54" w:rsidRPr="003D4291" w:rsidRDefault="003D4291" w:rsidP="00126F54">
      <w:pPr>
        <w:numPr>
          <w:ilvl w:val="0"/>
          <w:numId w:val="36"/>
        </w:numPr>
        <w:autoSpaceDE w:val="0"/>
        <w:autoSpaceDN w:val="0"/>
        <w:adjustRightInd w:val="0"/>
        <w:spacing w:after="0" w:line="240" w:lineRule="auto"/>
        <w:jc w:val="both"/>
        <w:rPr>
          <w:rFonts w:cs="Times New Roman"/>
          <w:color w:val="000000"/>
          <w:szCs w:val="24"/>
        </w:rPr>
      </w:pPr>
      <w:r w:rsidRPr="003D4291">
        <w:rPr>
          <w:rFonts w:cs="Times New Roman"/>
          <w:b/>
          <w:bCs/>
          <w:color w:val="000000"/>
          <w:szCs w:val="24"/>
        </w:rPr>
        <w:t xml:space="preserve"> </w:t>
      </w:r>
      <w:r w:rsidR="00126F54" w:rsidRPr="00126F54">
        <w:rPr>
          <w:rFonts w:cs="Times New Roman"/>
          <w:b/>
          <w:bCs/>
          <w:color w:val="000000"/>
          <w:szCs w:val="24"/>
        </w:rPr>
        <w:t>EIB</w:t>
      </w:r>
      <w:r w:rsidR="00126F54" w:rsidRPr="003D4291">
        <w:rPr>
          <w:rFonts w:cs="Times New Roman"/>
          <w:color w:val="000000"/>
          <w:szCs w:val="24"/>
        </w:rPr>
        <w:t xml:space="preserve"> </w:t>
      </w:r>
      <w:proofErr w:type="spellStart"/>
      <w:r w:rsidR="00126F54" w:rsidRPr="003D4291">
        <w:rPr>
          <w:rFonts w:cs="Times New Roman"/>
          <w:b/>
          <w:bCs/>
          <w:color w:val="000000"/>
          <w:szCs w:val="24"/>
        </w:rPr>
        <w:t>Pan</w:t>
      </w:r>
      <w:r w:rsidR="00D22BC3">
        <w:rPr>
          <w:rFonts w:cs="Times New Roman"/>
          <w:b/>
          <w:bCs/>
          <w:color w:val="000000"/>
          <w:szCs w:val="24"/>
        </w:rPr>
        <w:t>-E</w:t>
      </w:r>
      <w:r w:rsidR="00126F54" w:rsidRPr="003D4291">
        <w:rPr>
          <w:rFonts w:cs="Times New Roman"/>
          <w:b/>
          <w:bCs/>
          <w:color w:val="000000"/>
          <w:szCs w:val="24"/>
        </w:rPr>
        <w:t>uropinis</w:t>
      </w:r>
      <w:proofErr w:type="spellEnd"/>
      <w:r w:rsidR="00126F54" w:rsidRPr="003D4291">
        <w:rPr>
          <w:rFonts w:cs="Times New Roman"/>
          <w:b/>
          <w:bCs/>
          <w:color w:val="000000"/>
          <w:szCs w:val="24"/>
        </w:rPr>
        <w:t xml:space="preserve"> garantijų fondas (</w:t>
      </w:r>
      <w:r w:rsidR="00126F54" w:rsidRPr="00126F54">
        <w:rPr>
          <w:rFonts w:cs="Times New Roman"/>
          <w:color w:val="000000"/>
          <w:szCs w:val="24"/>
        </w:rPr>
        <w:t>25 mlrd.</w:t>
      </w:r>
      <w:r w:rsidR="009C5EF2">
        <w:rPr>
          <w:rFonts w:cs="Times New Roman"/>
          <w:color w:val="000000"/>
          <w:szCs w:val="24"/>
        </w:rPr>
        <w:t xml:space="preserve"> </w:t>
      </w:r>
      <w:proofErr w:type="spellStart"/>
      <w:r w:rsidR="009C5EF2">
        <w:rPr>
          <w:rFonts w:cs="Times New Roman"/>
          <w:color w:val="000000"/>
          <w:szCs w:val="24"/>
        </w:rPr>
        <w:t>Eur</w:t>
      </w:r>
      <w:proofErr w:type="spellEnd"/>
      <w:r w:rsidR="009C5EF2">
        <w:rPr>
          <w:rFonts w:cs="Times New Roman"/>
          <w:color w:val="000000"/>
          <w:szCs w:val="24"/>
        </w:rPr>
        <w:t xml:space="preserve">, kurie leistų </w:t>
      </w:r>
      <w:r w:rsidR="009C5EF2" w:rsidRPr="009C5EF2">
        <w:rPr>
          <w:rFonts w:cs="Times New Roman"/>
          <w:color w:val="000000"/>
          <w:szCs w:val="24"/>
        </w:rPr>
        <w:t xml:space="preserve">mobilizuoti 200 mlrd. eurų finansinę paramą įmonėms, </w:t>
      </w:r>
      <w:r w:rsidR="009C5EF2">
        <w:rPr>
          <w:rFonts w:cs="Times New Roman"/>
          <w:color w:val="000000"/>
          <w:szCs w:val="24"/>
        </w:rPr>
        <w:t xml:space="preserve">visų pirma </w:t>
      </w:r>
      <w:proofErr w:type="spellStart"/>
      <w:r w:rsidR="009C5EF2" w:rsidRPr="009C5EF2">
        <w:rPr>
          <w:rFonts w:cs="Times New Roman"/>
          <w:color w:val="000000"/>
          <w:szCs w:val="24"/>
        </w:rPr>
        <w:t>SMEs</w:t>
      </w:r>
      <w:proofErr w:type="spellEnd"/>
      <w:r w:rsidR="009C5EF2" w:rsidRPr="009C5EF2">
        <w:rPr>
          <w:rFonts w:cs="Times New Roman"/>
          <w:color w:val="000000"/>
          <w:szCs w:val="24"/>
        </w:rPr>
        <w:t>.</w:t>
      </w:r>
      <w:r w:rsidR="00126F54" w:rsidRPr="009C5EF2">
        <w:rPr>
          <w:rFonts w:cs="Times New Roman"/>
          <w:color w:val="000000"/>
          <w:szCs w:val="24"/>
        </w:rPr>
        <w:t>).</w:t>
      </w:r>
      <w:r w:rsidR="00126F54" w:rsidRPr="003D4291">
        <w:rPr>
          <w:rFonts w:cs="Times New Roman"/>
          <w:color w:val="000000"/>
          <w:szCs w:val="24"/>
        </w:rPr>
        <w:t xml:space="preserve"> Diskusijos dėl šio pasiūlymo tęsiamos EIB direktorių valdyboje, sutarimas kol kas nepasiektas dėl numatomo didelio projektų rizikingumo</w:t>
      </w:r>
      <w:r w:rsidRPr="003D4291">
        <w:rPr>
          <w:rFonts w:cs="Times New Roman"/>
          <w:color w:val="000000"/>
          <w:szCs w:val="24"/>
        </w:rPr>
        <w:t xml:space="preserve"> ir galimų nuostolių</w:t>
      </w:r>
      <w:r w:rsidR="00126F54" w:rsidRPr="003D4291">
        <w:rPr>
          <w:rFonts w:cs="Times New Roman"/>
          <w:color w:val="000000"/>
          <w:szCs w:val="24"/>
        </w:rPr>
        <w:t>.</w:t>
      </w:r>
      <w:r w:rsidR="00126F54" w:rsidRPr="00126F54">
        <w:rPr>
          <w:rFonts w:cs="Times New Roman"/>
          <w:color w:val="000000"/>
          <w:szCs w:val="24"/>
        </w:rPr>
        <w:t xml:space="preserve"> </w:t>
      </w:r>
    </w:p>
    <w:p w:rsidR="006356C2" w:rsidRDefault="003D4291" w:rsidP="006356C2">
      <w:pPr>
        <w:numPr>
          <w:ilvl w:val="0"/>
          <w:numId w:val="36"/>
        </w:numPr>
        <w:autoSpaceDE w:val="0"/>
        <w:autoSpaceDN w:val="0"/>
        <w:adjustRightInd w:val="0"/>
        <w:spacing w:after="0" w:line="240" w:lineRule="auto"/>
        <w:jc w:val="both"/>
        <w:rPr>
          <w:rFonts w:cs="Times New Roman"/>
          <w:szCs w:val="24"/>
        </w:rPr>
      </w:pPr>
      <w:r w:rsidRPr="009C5EF2">
        <w:rPr>
          <w:rFonts w:cs="Times New Roman"/>
          <w:b/>
          <w:bCs/>
          <w:color w:val="000000"/>
          <w:szCs w:val="24"/>
        </w:rPr>
        <w:t>SURE</w:t>
      </w:r>
      <w:r w:rsidR="009C5EF2" w:rsidRPr="009C5EF2">
        <w:rPr>
          <w:rFonts w:cs="Times New Roman"/>
          <w:b/>
          <w:bCs/>
          <w:color w:val="000000"/>
          <w:szCs w:val="24"/>
        </w:rPr>
        <w:t xml:space="preserve"> laikina nedarbo draudimo schema </w:t>
      </w:r>
      <w:r w:rsidR="009C5EF2" w:rsidRPr="009C5EF2">
        <w:rPr>
          <w:rFonts w:cs="Times New Roman"/>
          <w:bCs/>
          <w:color w:val="000000"/>
          <w:szCs w:val="24"/>
        </w:rPr>
        <w:t>(</w:t>
      </w:r>
      <w:r w:rsidR="009C5EF2" w:rsidRPr="009C5EF2">
        <w:rPr>
          <w:rFonts w:cs="Times New Roman"/>
          <w:bCs/>
          <w:color w:val="000000"/>
          <w:szCs w:val="24"/>
          <w:lang w:val="en-US"/>
        </w:rPr>
        <w:t xml:space="preserve">100 </w:t>
      </w:r>
      <w:proofErr w:type="spellStart"/>
      <w:r w:rsidR="009C5EF2" w:rsidRPr="009C5EF2">
        <w:rPr>
          <w:rFonts w:cs="Times New Roman"/>
          <w:bCs/>
          <w:color w:val="000000"/>
          <w:szCs w:val="24"/>
          <w:lang w:val="en-US"/>
        </w:rPr>
        <w:t>mlrd</w:t>
      </w:r>
      <w:proofErr w:type="spellEnd"/>
      <w:r w:rsidR="009C5EF2" w:rsidRPr="009C5EF2">
        <w:rPr>
          <w:rFonts w:cs="Times New Roman"/>
          <w:bCs/>
          <w:color w:val="000000"/>
          <w:szCs w:val="24"/>
          <w:lang w:val="en-US"/>
        </w:rPr>
        <w:t xml:space="preserve">. </w:t>
      </w:r>
      <w:proofErr w:type="spellStart"/>
      <w:r w:rsidR="009C5EF2" w:rsidRPr="009C5EF2">
        <w:rPr>
          <w:rFonts w:cs="Times New Roman"/>
          <w:bCs/>
          <w:color w:val="000000"/>
          <w:szCs w:val="24"/>
          <w:lang w:val="en-US"/>
        </w:rPr>
        <w:t>Eur</w:t>
      </w:r>
      <w:proofErr w:type="spellEnd"/>
      <w:r w:rsidR="009C5EF2" w:rsidRPr="009C5EF2">
        <w:rPr>
          <w:rFonts w:cs="Times New Roman"/>
          <w:b/>
          <w:bCs/>
          <w:color w:val="000000"/>
          <w:szCs w:val="24"/>
          <w:lang w:val="en-US"/>
        </w:rPr>
        <w:t xml:space="preserve"> </w:t>
      </w:r>
      <w:r w:rsidR="00126F54" w:rsidRPr="00126F54">
        <w:rPr>
          <w:rFonts w:cs="Times New Roman"/>
          <w:color w:val="000000"/>
          <w:szCs w:val="24"/>
        </w:rPr>
        <w:t>paskolų forma</w:t>
      </w:r>
      <w:r w:rsidR="009C5EF2" w:rsidRPr="009C5EF2">
        <w:rPr>
          <w:rFonts w:cs="Times New Roman"/>
          <w:color w:val="000000"/>
          <w:szCs w:val="24"/>
        </w:rPr>
        <w:t>)</w:t>
      </w:r>
      <w:r w:rsidR="009C5EF2">
        <w:rPr>
          <w:rFonts w:cs="Times New Roman"/>
          <w:color w:val="000000"/>
          <w:szCs w:val="24"/>
        </w:rPr>
        <w:t>.</w:t>
      </w:r>
      <w:r w:rsidR="00126F54" w:rsidRPr="00126F54">
        <w:rPr>
          <w:rFonts w:cs="Times New Roman"/>
          <w:color w:val="000000"/>
          <w:szCs w:val="24"/>
        </w:rPr>
        <w:t xml:space="preserve"> </w:t>
      </w:r>
      <w:r w:rsidR="009411C0" w:rsidRPr="009C5EF2">
        <w:rPr>
          <w:rFonts w:cs="Times New Roman"/>
          <w:szCs w:val="24"/>
        </w:rPr>
        <w:t xml:space="preserve">Po diskusijų darbo grupėje, sprendimas dėl šios priemonės turėtų būti priimtas gegužės </w:t>
      </w:r>
      <w:r w:rsidR="00126F54" w:rsidRPr="009C5EF2">
        <w:rPr>
          <w:rFonts w:cs="Times New Roman"/>
          <w:szCs w:val="24"/>
        </w:rPr>
        <w:t>13 d. COREPER II po</w:t>
      </w:r>
      <w:r w:rsidR="009C5EF2">
        <w:rPr>
          <w:rFonts w:cs="Times New Roman"/>
          <w:szCs w:val="24"/>
        </w:rPr>
        <w:t>sėdyje.</w:t>
      </w:r>
      <w:r w:rsidR="00D22BC3">
        <w:rPr>
          <w:rFonts w:cs="Times New Roman"/>
          <w:szCs w:val="24"/>
        </w:rPr>
        <w:t xml:space="preserve"> Išlieka pozicijų skirtumai </w:t>
      </w:r>
      <w:r w:rsidR="00962666">
        <w:rPr>
          <w:rFonts w:cs="Times New Roman"/>
          <w:szCs w:val="24"/>
        </w:rPr>
        <w:t>dėl šalių suteikiamų garantijų trukmės.</w:t>
      </w:r>
    </w:p>
    <w:p w:rsidR="00AB31B4" w:rsidRPr="003D4291" w:rsidRDefault="00AB31B4" w:rsidP="00AB31B4">
      <w:pPr>
        <w:numPr>
          <w:ilvl w:val="0"/>
          <w:numId w:val="36"/>
        </w:numPr>
        <w:autoSpaceDE w:val="0"/>
        <w:autoSpaceDN w:val="0"/>
        <w:adjustRightInd w:val="0"/>
        <w:spacing w:after="0" w:line="240" w:lineRule="auto"/>
        <w:jc w:val="both"/>
        <w:rPr>
          <w:rFonts w:cs="Times New Roman"/>
          <w:bCs/>
          <w:color w:val="000000"/>
          <w:szCs w:val="24"/>
        </w:rPr>
      </w:pPr>
      <w:r w:rsidRPr="003D4291">
        <w:rPr>
          <w:rFonts w:cs="Times New Roman"/>
          <w:b/>
          <w:bCs/>
          <w:color w:val="000000"/>
          <w:szCs w:val="24"/>
        </w:rPr>
        <w:t xml:space="preserve">ESM </w:t>
      </w:r>
      <w:r w:rsidRPr="00126F54">
        <w:rPr>
          <w:rFonts w:cs="Times New Roman"/>
          <w:b/>
          <w:bCs/>
          <w:color w:val="000000"/>
          <w:szCs w:val="24"/>
        </w:rPr>
        <w:t>gr</w:t>
      </w:r>
      <w:r w:rsidRPr="003D4291">
        <w:rPr>
          <w:rFonts w:cs="Times New Roman"/>
          <w:b/>
          <w:bCs/>
          <w:color w:val="000000"/>
          <w:szCs w:val="24"/>
        </w:rPr>
        <w:t>iežtesnių sąlygų kredito linija</w:t>
      </w:r>
      <w:r w:rsidRPr="00126F54">
        <w:rPr>
          <w:rFonts w:cs="Times New Roman"/>
          <w:color w:val="000000"/>
          <w:szCs w:val="24"/>
        </w:rPr>
        <w:t xml:space="preserve">. </w:t>
      </w:r>
      <w:r w:rsidRPr="003D4291">
        <w:rPr>
          <w:rFonts w:cs="Times New Roman"/>
          <w:b/>
          <w:bCs/>
          <w:color w:val="000000"/>
          <w:szCs w:val="24"/>
        </w:rPr>
        <w:t xml:space="preserve">Gegužės 8 d. Euro grupės posėdyje pasiektas sutarimas </w:t>
      </w:r>
      <w:r w:rsidRPr="003D4291">
        <w:rPr>
          <w:rFonts w:cs="Times New Roman"/>
          <w:bCs/>
          <w:color w:val="000000"/>
          <w:szCs w:val="24"/>
        </w:rPr>
        <w:t>dėl šios priemonės svarbiausių elementų:</w:t>
      </w:r>
    </w:p>
    <w:p w:rsidR="00AB31B4" w:rsidRPr="003D4291" w:rsidRDefault="00AB31B4" w:rsidP="00AB31B4">
      <w:pPr>
        <w:numPr>
          <w:ilvl w:val="0"/>
          <w:numId w:val="36"/>
        </w:numPr>
        <w:autoSpaceDE w:val="0"/>
        <w:autoSpaceDN w:val="0"/>
        <w:adjustRightInd w:val="0"/>
        <w:spacing w:after="0" w:line="240" w:lineRule="auto"/>
        <w:ind w:left="851" w:hanging="284"/>
        <w:jc w:val="both"/>
        <w:rPr>
          <w:rFonts w:cs="Times New Roman"/>
          <w:bCs/>
          <w:color w:val="000000"/>
          <w:szCs w:val="24"/>
        </w:rPr>
      </w:pPr>
      <w:r w:rsidRPr="003D4291">
        <w:rPr>
          <w:rFonts w:cs="Times New Roman"/>
          <w:bCs/>
          <w:color w:val="000000"/>
          <w:szCs w:val="24"/>
        </w:rPr>
        <w:t xml:space="preserve">kredito linija bus prieinama visoms euro zonos šalims ir galės sudaryti iki 2 proc. šalies BVP </w:t>
      </w:r>
    </w:p>
    <w:p w:rsidR="00AB31B4" w:rsidRPr="003D4291" w:rsidRDefault="00AB31B4" w:rsidP="00AB31B4">
      <w:pPr>
        <w:numPr>
          <w:ilvl w:val="0"/>
          <w:numId w:val="36"/>
        </w:numPr>
        <w:autoSpaceDE w:val="0"/>
        <w:autoSpaceDN w:val="0"/>
        <w:adjustRightInd w:val="0"/>
        <w:spacing w:after="0" w:line="240" w:lineRule="auto"/>
        <w:ind w:left="851" w:hanging="284"/>
        <w:jc w:val="both"/>
        <w:rPr>
          <w:rFonts w:cs="Times New Roman"/>
          <w:bCs/>
          <w:color w:val="000000"/>
          <w:szCs w:val="24"/>
        </w:rPr>
      </w:pPr>
      <w:r w:rsidRPr="003D4291">
        <w:rPr>
          <w:rFonts w:cs="Times New Roman"/>
          <w:bCs/>
          <w:color w:val="000000"/>
          <w:szCs w:val="24"/>
        </w:rPr>
        <w:t xml:space="preserve">Instrumentas skirtas tiesioginėms ir netiesioginėms sveikatos priežiūros, gydymo ir prevencijos išlaidoms, susijusioms su COVID19 krize; </w:t>
      </w:r>
    </w:p>
    <w:p w:rsidR="00AB31B4" w:rsidRPr="003D4291" w:rsidRDefault="00AB31B4" w:rsidP="00AB31B4">
      <w:pPr>
        <w:numPr>
          <w:ilvl w:val="0"/>
          <w:numId w:val="36"/>
        </w:numPr>
        <w:autoSpaceDE w:val="0"/>
        <w:autoSpaceDN w:val="0"/>
        <w:adjustRightInd w:val="0"/>
        <w:spacing w:after="0" w:line="240" w:lineRule="auto"/>
        <w:ind w:left="851" w:hanging="284"/>
        <w:jc w:val="both"/>
        <w:rPr>
          <w:rFonts w:cs="Times New Roman"/>
          <w:bCs/>
          <w:color w:val="000000"/>
          <w:szCs w:val="24"/>
        </w:rPr>
      </w:pPr>
      <w:r w:rsidRPr="003D4291">
        <w:rPr>
          <w:rFonts w:cs="Times New Roman"/>
          <w:bCs/>
          <w:color w:val="000000"/>
          <w:szCs w:val="24"/>
        </w:rPr>
        <w:t xml:space="preserve">Instrumentas galios iki 2022 m. gruodžio 31 d. su galimybe vienbalsiu </w:t>
      </w:r>
      <w:proofErr w:type="spellStart"/>
      <w:r w:rsidRPr="003D4291">
        <w:rPr>
          <w:rFonts w:cs="Times New Roman"/>
          <w:bCs/>
          <w:color w:val="000000"/>
          <w:szCs w:val="24"/>
        </w:rPr>
        <w:t>BoG</w:t>
      </w:r>
      <w:proofErr w:type="spellEnd"/>
      <w:r w:rsidRPr="003D4291">
        <w:rPr>
          <w:rFonts w:cs="Times New Roman"/>
          <w:bCs/>
          <w:color w:val="000000"/>
          <w:szCs w:val="24"/>
        </w:rPr>
        <w:t xml:space="preserve"> sprendimu šį terminą pratęsti. </w:t>
      </w:r>
    </w:p>
    <w:p w:rsidR="00AB31B4" w:rsidRPr="00AB31B4" w:rsidRDefault="00AB31B4" w:rsidP="00AB31B4">
      <w:pPr>
        <w:numPr>
          <w:ilvl w:val="0"/>
          <w:numId w:val="36"/>
        </w:numPr>
        <w:autoSpaceDE w:val="0"/>
        <w:autoSpaceDN w:val="0"/>
        <w:adjustRightInd w:val="0"/>
        <w:spacing w:after="0" w:line="240" w:lineRule="auto"/>
        <w:ind w:left="851" w:hanging="284"/>
        <w:jc w:val="both"/>
        <w:rPr>
          <w:rFonts w:cs="Times New Roman"/>
          <w:bCs/>
          <w:color w:val="000000"/>
          <w:szCs w:val="24"/>
        </w:rPr>
      </w:pPr>
      <w:r w:rsidRPr="003D4291">
        <w:rPr>
          <w:rFonts w:cs="Times New Roman"/>
          <w:bCs/>
          <w:color w:val="000000"/>
          <w:szCs w:val="24"/>
        </w:rPr>
        <w:t xml:space="preserve">Kredito linijos grąžinimo trukmė vidutiniškai sieks iki 10 metų. </w:t>
      </w:r>
    </w:p>
    <w:p w:rsidR="00962666" w:rsidRDefault="00962666" w:rsidP="009C5EF2">
      <w:pPr>
        <w:autoSpaceDE w:val="0"/>
        <w:autoSpaceDN w:val="0"/>
        <w:adjustRightInd w:val="0"/>
        <w:spacing w:after="0" w:line="240" w:lineRule="auto"/>
        <w:jc w:val="both"/>
        <w:rPr>
          <w:rFonts w:cs="Times New Roman"/>
          <w:color w:val="000000"/>
          <w:szCs w:val="24"/>
        </w:rPr>
      </w:pPr>
    </w:p>
    <w:p w:rsidR="00076A9E" w:rsidRPr="00076A9E" w:rsidRDefault="00076A9E" w:rsidP="009C5EF2">
      <w:pPr>
        <w:autoSpaceDE w:val="0"/>
        <w:autoSpaceDN w:val="0"/>
        <w:adjustRightInd w:val="0"/>
        <w:spacing w:after="0" w:line="240" w:lineRule="auto"/>
        <w:jc w:val="both"/>
        <w:rPr>
          <w:rFonts w:cs="Times New Roman"/>
          <w:color w:val="000000"/>
          <w:szCs w:val="24"/>
        </w:rPr>
      </w:pPr>
      <w:r w:rsidRPr="00076A9E">
        <w:rPr>
          <w:rFonts w:cs="Times New Roman"/>
        </w:rPr>
        <w:t xml:space="preserve">Balandžio 23 d. EVT metu Europos lyderiai </w:t>
      </w:r>
      <w:r>
        <w:rPr>
          <w:rFonts w:cs="Times New Roman"/>
        </w:rPr>
        <w:t xml:space="preserve">taip pat </w:t>
      </w:r>
      <w:r w:rsidRPr="00076A9E">
        <w:rPr>
          <w:rFonts w:cs="Times New Roman"/>
        </w:rPr>
        <w:t>sutarė dėl atsigavimo instrumento (</w:t>
      </w:r>
      <w:proofErr w:type="spellStart"/>
      <w:r w:rsidRPr="00076A9E">
        <w:rPr>
          <w:rFonts w:cs="Times New Roman"/>
          <w:i/>
          <w:iCs/>
        </w:rPr>
        <w:t>Recovery</w:t>
      </w:r>
      <w:proofErr w:type="spellEnd"/>
      <w:r w:rsidRPr="00076A9E">
        <w:rPr>
          <w:rFonts w:cs="Times New Roman"/>
          <w:i/>
          <w:iCs/>
        </w:rPr>
        <w:t xml:space="preserve"> </w:t>
      </w:r>
      <w:proofErr w:type="spellStart"/>
      <w:r w:rsidRPr="00076A9E">
        <w:rPr>
          <w:rFonts w:cs="Times New Roman"/>
          <w:i/>
          <w:iCs/>
        </w:rPr>
        <w:t>instrument</w:t>
      </w:r>
      <w:proofErr w:type="spellEnd"/>
      <w:r w:rsidRPr="00076A9E">
        <w:rPr>
          <w:rFonts w:cs="Times New Roman"/>
        </w:rPr>
        <w:t>) būtinybės, tačiau dėl jo turinio – visų pirma, ar instrumentas būtų skiriamas per dotacijas ar per paskolas – pozicijų skirtumai išlieka.  EVT taip pat įpareigojo COM pateikus  pavasario BVP augimo prognozes, pateikti ir pasiūlymus dėl ES Daugiametės Finansinės Programos (DPF) ir atsigavimo instrumento. COM šiuo metu rengia minėtus pasiūlymus ir juos ketina pateikti artimiausiomis savaitėmis.</w:t>
      </w:r>
    </w:p>
    <w:p w:rsidR="00962666" w:rsidRPr="009C5EF2" w:rsidRDefault="00962666" w:rsidP="009C5EF2">
      <w:pPr>
        <w:autoSpaceDE w:val="0"/>
        <w:autoSpaceDN w:val="0"/>
        <w:adjustRightInd w:val="0"/>
        <w:spacing w:after="0" w:line="240" w:lineRule="auto"/>
        <w:jc w:val="both"/>
        <w:rPr>
          <w:rFonts w:cs="Times New Roman"/>
          <w:szCs w:val="24"/>
        </w:rPr>
      </w:pPr>
    </w:p>
    <w:p w:rsidR="005A1557" w:rsidRDefault="005A1557" w:rsidP="00214FF8">
      <w:pPr>
        <w:spacing w:after="0" w:line="240" w:lineRule="auto"/>
        <w:jc w:val="both"/>
        <w:rPr>
          <w:rFonts w:cs="Times New Roman"/>
          <w:szCs w:val="24"/>
        </w:rPr>
      </w:pPr>
      <w:r w:rsidRPr="005A1557">
        <w:rPr>
          <w:rFonts w:eastAsia="Calibri" w:cs="Times New Roman"/>
          <w:b/>
          <w:color w:val="000000"/>
          <w:szCs w:val="24"/>
          <w:u w:val="single"/>
        </w:rPr>
        <w:t>Lietuvos pozicija.</w:t>
      </w:r>
      <w:r w:rsidRPr="005A1557">
        <w:rPr>
          <w:rFonts w:eastAsia="Calibri" w:cs="Times New Roman"/>
          <w:b/>
          <w:color w:val="000000"/>
          <w:szCs w:val="24"/>
        </w:rPr>
        <w:t xml:space="preserve"> </w:t>
      </w:r>
      <w:r w:rsidR="00874104" w:rsidRPr="0038198B">
        <w:rPr>
          <w:rFonts w:cs="Times New Roman"/>
          <w:color w:val="000000"/>
          <w:szCs w:val="24"/>
        </w:rPr>
        <w:t xml:space="preserve">Siekiant suvaldyti COVID-19 pasekmes ekonomikai, turi būti priimti greiti ir konkretūs sprendimai. Todėl pirmiausia turėtų būti išnaudoti esami ES lygmens instrumentai. Dėl to pasisakome už </w:t>
      </w:r>
      <w:r w:rsidR="0038198B">
        <w:rPr>
          <w:rFonts w:cs="Times New Roman"/>
          <w:color w:val="000000"/>
          <w:szCs w:val="24"/>
        </w:rPr>
        <w:t>ES biudžeto, Europos investicijų banko ir</w:t>
      </w:r>
      <w:r w:rsidR="00874104" w:rsidRPr="0038198B">
        <w:rPr>
          <w:rFonts w:cs="Times New Roman"/>
          <w:color w:val="000000"/>
          <w:szCs w:val="24"/>
        </w:rPr>
        <w:t xml:space="preserve"> Europos stabilumo mechanizmo (ESM) pajėgumų išnaudojimą.</w:t>
      </w:r>
      <w:r w:rsidR="00874104" w:rsidRPr="0038198B">
        <w:rPr>
          <w:rFonts w:cs="Times New Roman"/>
          <w:szCs w:val="24"/>
        </w:rPr>
        <w:t xml:space="preserve"> Manome, kad susidariusioje situacijoje turime maksimaliai išnaudoti ES biudžeto galimybes</w:t>
      </w:r>
      <w:r w:rsidR="0038198B">
        <w:rPr>
          <w:rFonts w:cs="Times New Roman"/>
          <w:szCs w:val="24"/>
        </w:rPr>
        <w:t>, o galimus naujus ES ekonomikos gaivinimo finansinius instrumentus svar</w:t>
      </w:r>
      <w:r w:rsidR="00377706">
        <w:rPr>
          <w:rFonts w:cs="Times New Roman"/>
          <w:szCs w:val="24"/>
        </w:rPr>
        <w:t>s</w:t>
      </w:r>
      <w:r w:rsidR="0038198B">
        <w:rPr>
          <w:rFonts w:cs="Times New Roman"/>
          <w:szCs w:val="24"/>
        </w:rPr>
        <w:t>tyti derybų dėl kitos Daugiametės finansinės programos kontekste.</w:t>
      </w:r>
    </w:p>
    <w:p w:rsidR="00076A9E" w:rsidRDefault="00076A9E" w:rsidP="00214FF8">
      <w:pPr>
        <w:spacing w:after="0" w:line="240" w:lineRule="auto"/>
        <w:jc w:val="both"/>
        <w:rPr>
          <w:rFonts w:cs="Times New Roman"/>
          <w:szCs w:val="24"/>
        </w:rPr>
      </w:pPr>
    </w:p>
    <w:p w:rsidR="00076A9E" w:rsidRPr="00076A9E" w:rsidRDefault="00076A9E" w:rsidP="00214FF8">
      <w:pPr>
        <w:spacing w:after="0" w:line="240" w:lineRule="auto"/>
        <w:contextualSpacing/>
        <w:jc w:val="both"/>
        <w:rPr>
          <w:rFonts w:cs="Times New Roman"/>
          <w:color w:val="000000" w:themeColor="text1"/>
          <w:szCs w:val="24"/>
        </w:rPr>
      </w:pPr>
      <w:r w:rsidRPr="00076A9E">
        <w:rPr>
          <w:rFonts w:cs="Times New Roman"/>
          <w:szCs w:val="24"/>
        </w:rPr>
        <w:t>Laikomės pozicijos, kad ekonomikos atsigavimo plano pagrindu turėtų būti ES DFP, joje numatant adekvačius, šiandienos realijas at</w:t>
      </w:r>
      <w:r>
        <w:rPr>
          <w:rFonts w:cs="Times New Roman"/>
          <w:szCs w:val="24"/>
        </w:rPr>
        <w:t>itinkančius resursus. Gaivinimo</w:t>
      </w:r>
      <w:r w:rsidRPr="00076A9E">
        <w:rPr>
          <w:rFonts w:cs="Times New Roman"/>
          <w:szCs w:val="24"/>
        </w:rPr>
        <w:t xml:space="preserve"> fondas turėtų papildyti esamas ES finansines priemones bei jas sustiprinanti, todėl</w:t>
      </w:r>
      <w:r w:rsidRPr="00076A9E">
        <w:rPr>
          <w:rFonts w:eastAsia="Times New Roman" w:cs="Times New Roman"/>
          <w:szCs w:val="24"/>
        </w:rPr>
        <w:t xml:space="preserve"> turi būti išlaikytas glaudus ryšys tarp ES DFP ir Atsigavimo Fondo. Taip pat būtina užtikrinti, kad šis instrumentas būtų prie</w:t>
      </w:r>
      <w:r>
        <w:rPr>
          <w:rFonts w:eastAsia="Times New Roman" w:cs="Times New Roman"/>
          <w:szCs w:val="24"/>
        </w:rPr>
        <w:t>inamas visoms VN. Dėl Gaivinimo</w:t>
      </w:r>
      <w:r w:rsidRPr="00076A9E">
        <w:rPr>
          <w:rFonts w:eastAsia="Times New Roman" w:cs="Times New Roman"/>
          <w:szCs w:val="24"/>
        </w:rPr>
        <w:t xml:space="preserve"> fondo išlaidų klausimo (t.y., ar Fondas turėtų būti skiriamas per dotacijas, ar per paskolas) laukiame daugiau detalių iš Komisijos. </w:t>
      </w:r>
      <w:r w:rsidRPr="00076A9E">
        <w:rPr>
          <w:rFonts w:eastAsia="Calibri" w:cs="Times New Roman"/>
          <w:szCs w:val="24"/>
        </w:rPr>
        <w:t xml:space="preserve">Lietuvai svarbiausia, kad būtų išlaikyti objektyvūs ir sąžiningi papildomo Fondo finansavimo skyrimo per esamus instrumentus (Sanglaudos politiką, BICC, </w:t>
      </w:r>
      <w:proofErr w:type="spellStart"/>
      <w:r w:rsidRPr="00076A9E">
        <w:rPr>
          <w:rFonts w:eastAsia="Calibri" w:cs="Times New Roman"/>
          <w:szCs w:val="24"/>
        </w:rPr>
        <w:t>InvestEU</w:t>
      </w:r>
      <w:proofErr w:type="spellEnd"/>
      <w:r w:rsidRPr="00076A9E">
        <w:rPr>
          <w:rFonts w:eastAsia="Calibri" w:cs="Times New Roman"/>
          <w:szCs w:val="24"/>
        </w:rPr>
        <w:t xml:space="preserve">, etc.) kriterijai, išlaikant elementus, dėl kurių jau buvo pasiektas susitarimas (pvz., BICC priemonės modalumai). </w:t>
      </w:r>
    </w:p>
    <w:p w:rsidR="000F4400" w:rsidRDefault="000F4400" w:rsidP="005A1557">
      <w:pPr>
        <w:spacing w:after="0" w:line="240" w:lineRule="auto"/>
        <w:jc w:val="both"/>
        <w:rPr>
          <w:rFonts w:eastAsia="Calibri" w:cs="Times New Roman"/>
          <w:szCs w:val="24"/>
        </w:rPr>
      </w:pPr>
    </w:p>
    <w:p w:rsidR="000F4400" w:rsidRDefault="000F4400" w:rsidP="005A1557">
      <w:pPr>
        <w:spacing w:after="0" w:line="240" w:lineRule="auto"/>
        <w:jc w:val="both"/>
        <w:rPr>
          <w:rFonts w:eastAsia="Calibri" w:cs="Times New Roman"/>
          <w:szCs w:val="24"/>
        </w:rPr>
      </w:pPr>
    </w:p>
    <w:p w:rsidR="00D62032" w:rsidRDefault="00D62032" w:rsidP="005A1557">
      <w:pPr>
        <w:spacing w:after="0" w:line="240" w:lineRule="auto"/>
        <w:jc w:val="both"/>
        <w:rPr>
          <w:rFonts w:eastAsia="Calibri" w:cs="Times New Roman"/>
          <w:szCs w:val="24"/>
        </w:rPr>
      </w:pPr>
    </w:p>
    <w:p w:rsidR="000F4400" w:rsidRPr="005A1557" w:rsidRDefault="002817F5" w:rsidP="000F440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Fonts w:cs="Times New Roman"/>
          <w:b/>
          <w:szCs w:val="24"/>
        </w:rPr>
        <w:lastRenderedPageBreak/>
        <w:t>Kova su pinigų plovimu</w:t>
      </w:r>
      <w:r w:rsidR="005A7E67">
        <w:rPr>
          <w:rFonts w:cs="Times New Roman"/>
          <w:b/>
          <w:szCs w:val="24"/>
        </w:rPr>
        <w:t>: Komisijos komunikatas ir rizikingų trečiųjų šalių vertinimo metodologijos pakeitimai</w:t>
      </w:r>
    </w:p>
    <w:p w:rsidR="000F4400" w:rsidRDefault="000F4400" w:rsidP="005A1557">
      <w:pPr>
        <w:spacing w:after="0" w:line="240" w:lineRule="auto"/>
        <w:jc w:val="both"/>
        <w:rPr>
          <w:rFonts w:eastAsia="Calibri" w:cs="Times New Roman"/>
          <w:szCs w:val="24"/>
        </w:rPr>
      </w:pPr>
    </w:p>
    <w:p w:rsidR="00652FBD" w:rsidRPr="00652FBD" w:rsidRDefault="00CB3447" w:rsidP="003D4291">
      <w:pPr>
        <w:spacing w:after="0"/>
        <w:jc w:val="both"/>
        <w:rPr>
          <w:rFonts w:eastAsia="Times New Roman" w:cs="Times New Roman"/>
          <w:sz w:val="22"/>
        </w:rPr>
      </w:pPr>
      <w:r w:rsidRPr="00CB3447">
        <w:rPr>
          <w:rFonts w:eastAsia="Times New Roman" w:cs="Times New Roman"/>
          <w:b/>
          <w:szCs w:val="24"/>
          <w:u w:val="single"/>
          <w:lang w:eastAsia="fr-BE"/>
        </w:rPr>
        <w:t>Klausimo esmė.</w:t>
      </w:r>
      <w:r>
        <w:rPr>
          <w:rFonts w:eastAsia="Times New Roman" w:cs="Times New Roman"/>
          <w:szCs w:val="24"/>
          <w:lang w:eastAsia="fr-BE"/>
        </w:rPr>
        <w:t xml:space="preserve"> </w:t>
      </w:r>
      <w:r w:rsidR="00652FBD" w:rsidRPr="00652FBD">
        <w:rPr>
          <w:rFonts w:eastAsia="Times New Roman" w:cs="Times New Roman"/>
          <w:sz w:val="22"/>
          <w:lang w:eastAsia="lt-LT"/>
        </w:rPr>
        <w:t xml:space="preserve">2020 m. gegužės 7 d. EK paskelbė atnaujintą veiksmų planą skirtą visapusiškai </w:t>
      </w:r>
      <w:r w:rsidR="00652FBD" w:rsidRPr="00652FBD">
        <w:rPr>
          <w:rFonts w:eastAsia="Times New Roman" w:cs="Times New Roman"/>
          <w:sz w:val="22"/>
        </w:rPr>
        <w:t xml:space="preserve">Europos Sąjungos pinigų plovimo ir teroristų finansavimo prevencijos politikai (toliau – Veiksmų planas).  </w:t>
      </w:r>
    </w:p>
    <w:p w:rsidR="00652FBD" w:rsidRPr="00652FBD" w:rsidRDefault="00652FBD" w:rsidP="003D4291">
      <w:pPr>
        <w:spacing w:after="0" w:line="240" w:lineRule="auto"/>
        <w:contextualSpacing/>
        <w:jc w:val="both"/>
        <w:rPr>
          <w:rFonts w:eastAsia="Times New Roman" w:cs="Times New Roman"/>
          <w:sz w:val="22"/>
          <w:lang w:eastAsia="lt-LT"/>
        </w:rPr>
      </w:pPr>
      <w:r w:rsidRPr="00652FBD">
        <w:rPr>
          <w:rFonts w:eastAsia="Times New Roman" w:cs="Times New Roman"/>
          <w:sz w:val="22"/>
          <w:lang w:eastAsia="lt-LT"/>
        </w:rPr>
        <w:t>Planas remiasi 6 pagrindinėmis dalimis:</w:t>
      </w:r>
    </w:p>
    <w:p w:rsidR="00652FBD" w:rsidRPr="00652FBD" w:rsidRDefault="00652FBD" w:rsidP="003D4291">
      <w:pPr>
        <w:spacing w:after="0" w:line="240" w:lineRule="auto"/>
        <w:rPr>
          <w:rFonts w:eastAsia="Times New Roman" w:cs="Times New Roman"/>
          <w:color w:val="000000"/>
          <w:szCs w:val="24"/>
          <w:lang w:eastAsia="lt-LT"/>
        </w:rPr>
      </w:pPr>
      <w:r w:rsidRPr="00652FBD">
        <w:rPr>
          <w:rFonts w:eastAsia="Times New Roman" w:cs="Times New Roman"/>
          <w:b/>
          <w:color w:val="000000"/>
          <w:szCs w:val="24"/>
          <w:lang w:eastAsia="lt-LT"/>
        </w:rPr>
        <w:t>1)</w:t>
      </w:r>
      <w:r w:rsidRPr="00652FBD">
        <w:rPr>
          <w:rFonts w:eastAsia="Times New Roman" w:cs="Times New Roman"/>
          <w:color w:val="000000"/>
          <w:szCs w:val="24"/>
          <w:lang w:eastAsia="lt-LT"/>
        </w:rPr>
        <w:t xml:space="preserve"> </w:t>
      </w:r>
      <w:r w:rsidRPr="00652FBD">
        <w:rPr>
          <w:rFonts w:eastAsia="Times New Roman" w:cs="Times New Roman"/>
          <w:b/>
          <w:color w:val="000000"/>
          <w:szCs w:val="24"/>
          <w:lang w:eastAsia="lt-LT"/>
        </w:rPr>
        <w:t xml:space="preserve">Tinkamas esamos </w:t>
      </w:r>
      <w:r w:rsidR="003D4291">
        <w:rPr>
          <w:rFonts w:eastAsia="Times New Roman" w:cs="Times New Roman"/>
          <w:b/>
          <w:color w:val="000000"/>
          <w:szCs w:val="24"/>
          <w:lang w:eastAsia="lt-LT"/>
        </w:rPr>
        <w:t xml:space="preserve">kovos su pinigų plovimu (toliau – </w:t>
      </w:r>
      <w:r w:rsidRPr="00652FBD">
        <w:rPr>
          <w:rFonts w:eastAsia="Times New Roman" w:cs="Times New Roman"/>
          <w:b/>
          <w:color w:val="000000"/>
          <w:szCs w:val="24"/>
          <w:lang w:eastAsia="lt-LT"/>
        </w:rPr>
        <w:t>AML</w:t>
      </w:r>
      <w:r w:rsidR="003D4291">
        <w:rPr>
          <w:rFonts w:eastAsia="Times New Roman" w:cs="Times New Roman"/>
          <w:b/>
          <w:color w:val="000000"/>
          <w:szCs w:val="24"/>
          <w:lang w:eastAsia="lt-LT"/>
        </w:rPr>
        <w:t>)</w:t>
      </w:r>
      <w:r w:rsidRPr="00652FBD">
        <w:rPr>
          <w:rFonts w:eastAsia="Times New Roman" w:cs="Times New Roman"/>
          <w:b/>
          <w:color w:val="000000"/>
          <w:szCs w:val="24"/>
          <w:lang w:eastAsia="lt-LT"/>
        </w:rPr>
        <w:t xml:space="preserve"> teisinės bazės įgyvendinimas</w:t>
      </w:r>
      <w:r w:rsidR="00D8565B">
        <w:rPr>
          <w:rFonts w:eastAsia="Times New Roman" w:cs="Times New Roman"/>
          <w:b/>
          <w:color w:val="000000"/>
          <w:szCs w:val="24"/>
          <w:lang w:eastAsia="lt-LT"/>
        </w:rPr>
        <w:t>.</w:t>
      </w:r>
    </w:p>
    <w:p w:rsidR="00652FBD" w:rsidRPr="00652FBD" w:rsidRDefault="003D4291" w:rsidP="003D4291">
      <w:pPr>
        <w:spacing w:after="0" w:line="240" w:lineRule="auto"/>
        <w:jc w:val="both"/>
        <w:rPr>
          <w:rFonts w:eastAsia="Times New Roman" w:cs="Times New Roman"/>
          <w:color w:val="000000"/>
          <w:szCs w:val="24"/>
          <w:lang w:eastAsia="lt-LT"/>
        </w:rPr>
      </w:pPr>
      <w:r>
        <w:rPr>
          <w:rFonts w:eastAsia="Times New Roman" w:cs="Times New Roman"/>
          <w:color w:val="000000"/>
          <w:szCs w:val="24"/>
          <w:lang w:eastAsia="lt-LT"/>
        </w:rPr>
        <w:t>Apima AML</w:t>
      </w:r>
      <w:r w:rsidR="00652FBD" w:rsidRPr="00652FBD">
        <w:rPr>
          <w:rFonts w:eastAsia="Times New Roman" w:cs="Times New Roman"/>
          <w:color w:val="000000"/>
          <w:szCs w:val="24"/>
          <w:lang w:eastAsia="lt-LT"/>
        </w:rPr>
        <w:t xml:space="preserve"> tinkamą perkėlimą, tinkamą taikymą</w:t>
      </w:r>
      <w:r w:rsidR="00962666">
        <w:rPr>
          <w:rFonts w:eastAsia="Times New Roman" w:cs="Times New Roman"/>
          <w:color w:val="000000"/>
          <w:szCs w:val="24"/>
          <w:lang w:eastAsia="lt-LT"/>
        </w:rPr>
        <w:t>. EK toliau vertins šalių</w:t>
      </w:r>
      <w:r w:rsidR="00652FBD" w:rsidRPr="00652FBD">
        <w:rPr>
          <w:rFonts w:eastAsia="Times New Roman" w:cs="Times New Roman"/>
          <w:color w:val="000000"/>
          <w:szCs w:val="24"/>
          <w:lang w:eastAsia="lt-LT"/>
        </w:rPr>
        <w:t xml:space="preserve"> pastangas ir 2020 m. II ketvirtyje pateiks individualias rekomendacijas</w:t>
      </w:r>
    </w:p>
    <w:p w:rsidR="00652FBD" w:rsidRPr="00652FBD" w:rsidRDefault="00652FBD" w:rsidP="003D4291">
      <w:pPr>
        <w:spacing w:after="0" w:line="240" w:lineRule="auto"/>
        <w:rPr>
          <w:rFonts w:eastAsia="Times New Roman" w:cs="Times New Roman"/>
          <w:color w:val="000000"/>
          <w:szCs w:val="24"/>
          <w:lang w:eastAsia="lt-LT"/>
        </w:rPr>
      </w:pPr>
      <w:r w:rsidRPr="00652FBD">
        <w:rPr>
          <w:rFonts w:eastAsia="Times New Roman" w:cs="Times New Roman"/>
          <w:b/>
          <w:color w:val="000000"/>
          <w:szCs w:val="24"/>
          <w:lang w:eastAsia="lt-LT"/>
        </w:rPr>
        <w:t>2)</w:t>
      </w:r>
      <w:r w:rsidRPr="00652FBD">
        <w:rPr>
          <w:rFonts w:eastAsia="Times New Roman" w:cs="Times New Roman"/>
          <w:color w:val="000000"/>
          <w:szCs w:val="24"/>
          <w:lang w:eastAsia="lt-LT"/>
        </w:rPr>
        <w:t xml:space="preserve"> </w:t>
      </w:r>
      <w:r w:rsidRPr="00652FBD">
        <w:rPr>
          <w:rFonts w:eastAsia="Times New Roman" w:cs="Times New Roman"/>
          <w:b/>
          <w:color w:val="000000"/>
          <w:szCs w:val="24"/>
          <w:lang w:eastAsia="lt-LT"/>
        </w:rPr>
        <w:t>Vieningai taikomos AML nuostatos</w:t>
      </w:r>
      <w:r w:rsidR="00D8565B">
        <w:rPr>
          <w:rFonts w:eastAsia="Times New Roman" w:cs="Times New Roman"/>
          <w:b/>
          <w:color w:val="000000"/>
          <w:szCs w:val="24"/>
          <w:lang w:eastAsia="lt-LT"/>
        </w:rPr>
        <w:t>.</w:t>
      </w:r>
    </w:p>
    <w:p w:rsidR="00652FBD" w:rsidRPr="00652FBD" w:rsidRDefault="00652FBD" w:rsidP="003D4291">
      <w:pPr>
        <w:spacing w:after="0" w:line="240" w:lineRule="auto"/>
        <w:jc w:val="both"/>
        <w:rPr>
          <w:rFonts w:eastAsia="Times New Roman" w:cs="Times New Roman"/>
          <w:color w:val="000000"/>
          <w:szCs w:val="24"/>
          <w:lang w:eastAsia="lt-LT"/>
        </w:rPr>
      </w:pPr>
      <w:r w:rsidRPr="00652FBD">
        <w:rPr>
          <w:rFonts w:eastAsia="Times New Roman" w:cs="Times New Roman"/>
          <w:color w:val="000000"/>
          <w:szCs w:val="24"/>
          <w:lang w:eastAsia="lt-LT"/>
        </w:rPr>
        <w:t xml:space="preserve">2021 m. I ketvirtyje EK pateiks vieningas taisykles, skirtas tam, kad visos europinės AML nuostatos skirtingose </w:t>
      </w:r>
      <w:r w:rsidR="00962666">
        <w:rPr>
          <w:rFonts w:eastAsia="Times New Roman" w:cs="Times New Roman"/>
          <w:color w:val="000000"/>
          <w:szCs w:val="24"/>
          <w:lang w:eastAsia="lt-LT"/>
        </w:rPr>
        <w:t xml:space="preserve">šalyse </w:t>
      </w:r>
      <w:r w:rsidRPr="00652FBD">
        <w:rPr>
          <w:rFonts w:eastAsia="Times New Roman" w:cs="Times New Roman"/>
          <w:color w:val="000000"/>
          <w:szCs w:val="24"/>
          <w:lang w:eastAsia="lt-LT"/>
        </w:rPr>
        <w:t xml:space="preserve">būtų įgyvendinamos vienodai. </w:t>
      </w:r>
    </w:p>
    <w:p w:rsidR="00652FBD" w:rsidRPr="00652FBD" w:rsidRDefault="00652FBD" w:rsidP="003D4291">
      <w:pPr>
        <w:spacing w:after="0" w:line="240" w:lineRule="auto"/>
        <w:rPr>
          <w:rFonts w:eastAsia="Times New Roman" w:cs="Times New Roman"/>
          <w:color w:val="000000"/>
          <w:szCs w:val="24"/>
          <w:lang w:eastAsia="lt-LT"/>
        </w:rPr>
      </w:pPr>
      <w:r w:rsidRPr="00652FBD">
        <w:rPr>
          <w:rFonts w:eastAsia="Times New Roman" w:cs="Times New Roman"/>
          <w:b/>
          <w:color w:val="000000"/>
          <w:szCs w:val="24"/>
          <w:lang w:eastAsia="lt-LT"/>
        </w:rPr>
        <w:t>3)</w:t>
      </w:r>
      <w:r w:rsidRPr="00652FBD">
        <w:rPr>
          <w:rFonts w:eastAsia="Times New Roman" w:cs="Times New Roman"/>
          <w:color w:val="000000"/>
          <w:szCs w:val="24"/>
          <w:lang w:eastAsia="lt-LT"/>
        </w:rPr>
        <w:t xml:space="preserve"> </w:t>
      </w:r>
      <w:r w:rsidRPr="00652FBD">
        <w:rPr>
          <w:rFonts w:eastAsia="Times New Roman" w:cs="Times New Roman"/>
          <w:b/>
          <w:color w:val="000000"/>
          <w:szCs w:val="24"/>
          <w:lang w:eastAsia="lt-LT"/>
        </w:rPr>
        <w:t>ES lygio priežiūra</w:t>
      </w:r>
      <w:r w:rsidR="00D8565B">
        <w:rPr>
          <w:rFonts w:eastAsia="Times New Roman" w:cs="Times New Roman"/>
          <w:b/>
          <w:color w:val="000000"/>
          <w:szCs w:val="24"/>
          <w:lang w:eastAsia="lt-LT"/>
        </w:rPr>
        <w:t>.</w:t>
      </w:r>
    </w:p>
    <w:p w:rsidR="00652FBD" w:rsidRPr="00652FBD" w:rsidRDefault="00652FBD" w:rsidP="003D4291">
      <w:pPr>
        <w:spacing w:after="0" w:line="240" w:lineRule="auto"/>
        <w:jc w:val="both"/>
        <w:rPr>
          <w:rFonts w:eastAsia="Times New Roman" w:cs="Times New Roman"/>
          <w:color w:val="000000"/>
          <w:szCs w:val="24"/>
          <w:lang w:eastAsia="lt-LT"/>
        </w:rPr>
      </w:pPr>
      <w:r w:rsidRPr="00652FBD">
        <w:rPr>
          <w:rFonts w:eastAsia="Times New Roman" w:cs="Times New Roman"/>
          <w:color w:val="000000"/>
          <w:szCs w:val="24"/>
          <w:lang w:eastAsia="lt-LT"/>
        </w:rPr>
        <w:t xml:space="preserve">2021 m. I ketvirtį  EK pateiks teisinį pasiūlymą dėl ES priežiūros institucijos. Veiksmų plane minima tiek </w:t>
      </w:r>
      <w:r w:rsidR="00962666">
        <w:rPr>
          <w:rFonts w:eastAsia="Times New Roman" w:cs="Times New Roman"/>
          <w:color w:val="000000"/>
          <w:szCs w:val="24"/>
          <w:lang w:eastAsia="lt-LT"/>
        </w:rPr>
        <w:t>Europos bankininkystės institucijos (</w:t>
      </w:r>
      <w:r w:rsidRPr="00652FBD">
        <w:rPr>
          <w:rFonts w:eastAsia="Times New Roman" w:cs="Times New Roman"/>
          <w:color w:val="000000"/>
          <w:szCs w:val="24"/>
          <w:lang w:eastAsia="lt-LT"/>
        </w:rPr>
        <w:t>EBA</w:t>
      </w:r>
      <w:r w:rsidR="00962666">
        <w:rPr>
          <w:rFonts w:eastAsia="Times New Roman" w:cs="Times New Roman"/>
          <w:color w:val="000000"/>
          <w:szCs w:val="24"/>
          <w:lang w:eastAsia="lt-LT"/>
        </w:rPr>
        <w:t>)</w:t>
      </w:r>
      <w:r w:rsidRPr="00652FBD">
        <w:rPr>
          <w:rFonts w:eastAsia="Times New Roman" w:cs="Times New Roman"/>
          <w:color w:val="000000"/>
          <w:szCs w:val="24"/>
          <w:lang w:eastAsia="lt-LT"/>
        </w:rPr>
        <w:t xml:space="preserve"> opcija, tiek atskiros institucijos variantas. </w:t>
      </w:r>
    </w:p>
    <w:p w:rsidR="00652FBD" w:rsidRPr="00652FBD" w:rsidRDefault="00652FBD" w:rsidP="003D4291">
      <w:pPr>
        <w:spacing w:after="0" w:line="240" w:lineRule="auto"/>
        <w:rPr>
          <w:rFonts w:eastAsia="Times New Roman" w:cs="Times New Roman"/>
          <w:color w:val="000000"/>
          <w:szCs w:val="24"/>
          <w:lang w:eastAsia="lt-LT"/>
        </w:rPr>
      </w:pPr>
      <w:r w:rsidRPr="00652FBD">
        <w:rPr>
          <w:rFonts w:eastAsia="Times New Roman" w:cs="Times New Roman"/>
          <w:b/>
          <w:color w:val="000000"/>
          <w:szCs w:val="24"/>
          <w:lang w:eastAsia="lt-LT"/>
        </w:rPr>
        <w:t>4)</w:t>
      </w:r>
      <w:r w:rsidRPr="00652FBD">
        <w:rPr>
          <w:rFonts w:eastAsia="Times New Roman" w:cs="Times New Roman"/>
          <w:color w:val="000000"/>
          <w:szCs w:val="24"/>
          <w:lang w:eastAsia="lt-LT"/>
        </w:rPr>
        <w:t xml:space="preserve"> </w:t>
      </w:r>
      <w:r w:rsidR="00D8565B" w:rsidRPr="00D8565B">
        <w:rPr>
          <w:rFonts w:eastAsia="Times New Roman" w:cs="Times New Roman"/>
          <w:b/>
          <w:color w:val="000000"/>
          <w:szCs w:val="24"/>
          <w:lang w:eastAsia="lt-LT"/>
        </w:rPr>
        <w:t>Finansinės žvalgybos padalinių</w:t>
      </w:r>
      <w:r w:rsidR="00D8565B">
        <w:rPr>
          <w:rFonts w:eastAsia="Times New Roman" w:cs="Times New Roman"/>
          <w:color w:val="000000"/>
          <w:szCs w:val="24"/>
          <w:lang w:eastAsia="lt-LT"/>
        </w:rPr>
        <w:t xml:space="preserve"> </w:t>
      </w:r>
      <w:r w:rsidR="00D8565B" w:rsidRPr="00D8565B">
        <w:rPr>
          <w:rFonts w:eastAsia="Times New Roman" w:cs="Times New Roman"/>
          <w:color w:val="000000"/>
          <w:szCs w:val="24"/>
          <w:lang w:eastAsia="lt-LT"/>
        </w:rPr>
        <w:t xml:space="preserve">(toliau - </w:t>
      </w:r>
      <w:r w:rsidRPr="00652FBD">
        <w:rPr>
          <w:rFonts w:eastAsia="Times New Roman" w:cs="Times New Roman"/>
          <w:color w:val="000000"/>
          <w:szCs w:val="24"/>
          <w:lang w:eastAsia="lt-LT"/>
        </w:rPr>
        <w:t>FIU</w:t>
      </w:r>
      <w:r w:rsidR="00D8565B" w:rsidRPr="00D8565B">
        <w:rPr>
          <w:rFonts w:eastAsia="Times New Roman" w:cs="Times New Roman"/>
          <w:color w:val="000000"/>
          <w:szCs w:val="24"/>
          <w:lang w:eastAsia="lt-LT"/>
        </w:rPr>
        <w:t>)</w:t>
      </w:r>
      <w:r w:rsidRPr="00652FBD">
        <w:rPr>
          <w:rFonts w:eastAsia="Times New Roman" w:cs="Times New Roman"/>
          <w:b/>
          <w:color w:val="000000"/>
          <w:szCs w:val="24"/>
          <w:lang w:eastAsia="lt-LT"/>
        </w:rPr>
        <w:t xml:space="preserve"> veiklos rėmimas ir koordinavimas</w:t>
      </w:r>
      <w:r w:rsidR="00D8565B">
        <w:rPr>
          <w:rFonts w:eastAsia="Times New Roman" w:cs="Times New Roman"/>
          <w:b/>
          <w:color w:val="000000"/>
          <w:szCs w:val="24"/>
          <w:lang w:eastAsia="lt-LT"/>
        </w:rPr>
        <w:t>.</w:t>
      </w:r>
    </w:p>
    <w:p w:rsidR="00652FBD" w:rsidRPr="00652FBD" w:rsidRDefault="00652FBD" w:rsidP="003D4291">
      <w:pPr>
        <w:spacing w:after="0" w:line="240" w:lineRule="auto"/>
        <w:jc w:val="both"/>
        <w:rPr>
          <w:rFonts w:eastAsia="Times New Roman" w:cs="Times New Roman"/>
          <w:color w:val="000000"/>
          <w:szCs w:val="24"/>
          <w:lang w:eastAsia="lt-LT"/>
        </w:rPr>
      </w:pPr>
      <w:r w:rsidRPr="00652FBD">
        <w:rPr>
          <w:rFonts w:eastAsia="Times New Roman" w:cs="Times New Roman"/>
          <w:color w:val="000000"/>
          <w:szCs w:val="24"/>
          <w:lang w:eastAsia="lt-LT"/>
        </w:rPr>
        <w:t xml:space="preserve">2021 m. I ketvirtį EK pateiks teisinį pasiūlymą dėl FIU koordinavimo perkėlimo į ES lygį. Priklausomai nuo to, koks mechanizmas bus pasiūlytas, atitinkamai bus numatyta ir priežiūros institucija. </w:t>
      </w:r>
    </w:p>
    <w:p w:rsidR="00652FBD" w:rsidRPr="00652FBD" w:rsidRDefault="00652FBD" w:rsidP="003D4291">
      <w:pPr>
        <w:spacing w:after="0" w:line="240" w:lineRule="auto"/>
        <w:rPr>
          <w:rFonts w:eastAsia="Times New Roman" w:cs="Times New Roman"/>
          <w:color w:val="000000"/>
          <w:szCs w:val="24"/>
          <w:lang w:eastAsia="lt-LT"/>
        </w:rPr>
      </w:pPr>
      <w:r w:rsidRPr="00652FBD">
        <w:rPr>
          <w:rFonts w:eastAsia="Times New Roman" w:cs="Times New Roman"/>
          <w:b/>
          <w:color w:val="000000"/>
          <w:szCs w:val="24"/>
          <w:lang w:eastAsia="lt-LT"/>
        </w:rPr>
        <w:t>5)</w:t>
      </w:r>
      <w:r w:rsidRPr="00652FBD">
        <w:rPr>
          <w:rFonts w:eastAsia="Times New Roman" w:cs="Times New Roman"/>
          <w:color w:val="000000"/>
          <w:szCs w:val="24"/>
          <w:lang w:eastAsia="lt-LT"/>
        </w:rPr>
        <w:t xml:space="preserve"> </w:t>
      </w:r>
      <w:r w:rsidRPr="00652FBD">
        <w:rPr>
          <w:rFonts w:eastAsia="Times New Roman" w:cs="Times New Roman"/>
          <w:b/>
          <w:color w:val="000000"/>
          <w:szCs w:val="24"/>
          <w:lang w:eastAsia="lt-LT"/>
        </w:rPr>
        <w:t>ES lygio baudžiamosi</w:t>
      </w:r>
      <w:r w:rsidR="00D8565B">
        <w:rPr>
          <w:rFonts w:eastAsia="Times New Roman" w:cs="Times New Roman"/>
          <w:b/>
          <w:color w:val="000000"/>
          <w:szCs w:val="24"/>
          <w:lang w:eastAsia="lt-LT"/>
        </w:rPr>
        <w:t>o</w:t>
      </w:r>
      <w:r w:rsidRPr="00652FBD">
        <w:rPr>
          <w:rFonts w:eastAsia="Times New Roman" w:cs="Times New Roman"/>
          <w:b/>
          <w:color w:val="000000"/>
          <w:szCs w:val="24"/>
          <w:lang w:eastAsia="lt-LT"/>
        </w:rPr>
        <w:t>s teisės nuostatų užtikrinimas ir keitimasis informacija</w:t>
      </w:r>
      <w:r w:rsidR="00D8565B">
        <w:rPr>
          <w:rFonts w:eastAsia="Times New Roman" w:cs="Times New Roman"/>
          <w:b/>
          <w:color w:val="000000"/>
          <w:szCs w:val="24"/>
          <w:lang w:eastAsia="lt-LT"/>
        </w:rPr>
        <w:t>.</w:t>
      </w:r>
    </w:p>
    <w:p w:rsidR="00652FBD" w:rsidRPr="00652FBD" w:rsidRDefault="00652FBD" w:rsidP="003D4291">
      <w:pPr>
        <w:spacing w:after="0" w:line="240" w:lineRule="auto"/>
        <w:jc w:val="both"/>
        <w:rPr>
          <w:rFonts w:eastAsia="Times New Roman" w:cs="Times New Roman"/>
          <w:color w:val="000000"/>
          <w:szCs w:val="24"/>
          <w:lang w:eastAsia="lt-LT"/>
        </w:rPr>
      </w:pPr>
      <w:r w:rsidRPr="00652FBD">
        <w:rPr>
          <w:rFonts w:eastAsia="Times New Roman" w:cs="Times New Roman"/>
          <w:color w:val="000000"/>
          <w:szCs w:val="24"/>
          <w:lang w:eastAsia="lt-LT"/>
        </w:rPr>
        <w:t>2021 m. I ketvirtį EK pateiks gaires dėl viešojo ir privataus sektorių partnerystės  (PPP-</w:t>
      </w:r>
      <w:proofErr w:type="spellStart"/>
      <w:r w:rsidRPr="00652FBD">
        <w:rPr>
          <w:rFonts w:eastAsia="Times New Roman" w:cs="Times New Roman"/>
          <w:color w:val="000000"/>
          <w:szCs w:val="24"/>
          <w:lang w:eastAsia="lt-LT"/>
        </w:rPr>
        <w:t>public-private-partnership),</w:t>
      </w:r>
      <w:proofErr w:type="spellEnd"/>
      <w:r w:rsidRPr="00652FBD">
        <w:rPr>
          <w:rFonts w:eastAsia="Times New Roman" w:cs="Times New Roman"/>
          <w:color w:val="000000"/>
          <w:szCs w:val="24"/>
          <w:lang w:eastAsia="lt-LT"/>
        </w:rPr>
        <w:t xml:space="preserve"> taip pat bus prašoma ES duomenų apsaugos inspekcijos nuomonės dėl galimybės keistis informacija.</w:t>
      </w:r>
    </w:p>
    <w:p w:rsidR="00652FBD" w:rsidRPr="00652FBD" w:rsidRDefault="00652FBD" w:rsidP="003D4291">
      <w:pPr>
        <w:spacing w:after="0" w:line="240" w:lineRule="auto"/>
        <w:rPr>
          <w:rFonts w:eastAsia="Times New Roman" w:cs="Times New Roman"/>
          <w:color w:val="000000"/>
          <w:szCs w:val="24"/>
          <w:lang w:eastAsia="lt-LT"/>
        </w:rPr>
      </w:pPr>
      <w:r w:rsidRPr="00652FBD">
        <w:rPr>
          <w:rFonts w:eastAsia="Times New Roman" w:cs="Times New Roman"/>
          <w:b/>
          <w:color w:val="000000"/>
          <w:szCs w:val="24"/>
          <w:lang w:eastAsia="lt-LT"/>
        </w:rPr>
        <w:t>6)</w:t>
      </w:r>
      <w:r w:rsidRPr="00652FBD">
        <w:rPr>
          <w:rFonts w:eastAsia="Times New Roman" w:cs="Times New Roman"/>
          <w:color w:val="000000"/>
          <w:szCs w:val="24"/>
          <w:lang w:eastAsia="lt-LT"/>
        </w:rPr>
        <w:t xml:space="preserve"> </w:t>
      </w:r>
      <w:r w:rsidRPr="00652FBD">
        <w:rPr>
          <w:rFonts w:eastAsia="Times New Roman" w:cs="Times New Roman"/>
          <w:b/>
          <w:color w:val="000000"/>
          <w:szCs w:val="24"/>
          <w:lang w:eastAsia="lt-LT"/>
        </w:rPr>
        <w:t>Tarptautinio AML elemento stiprinimas</w:t>
      </w:r>
    </w:p>
    <w:p w:rsidR="00AD6AE8" w:rsidRDefault="00652FBD" w:rsidP="003D4291">
      <w:pPr>
        <w:spacing w:after="0" w:line="240" w:lineRule="auto"/>
        <w:jc w:val="both"/>
        <w:rPr>
          <w:rFonts w:eastAsia="Times New Roman" w:cs="Times New Roman"/>
          <w:color w:val="000000"/>
          <w:szCs w:val="24"/>
          <w:lang w:eastAsia="lt-LT"/>
        </w:rPr>
      </w:pPr>
      <w:proofErr w:type="spellStart"/>
      <w:r w:rsidRPr="00652FBD">
        <w:rPr>
          <w:rFonts w:eastAsia="Times New Roman" w:cs="Times New Roman"/>
          <w:color w:val="000000"/>
          <w:szCs w:val="24"/>
          <w:lang w:eastAsia="lt-LT"/>
        </w:rPr>
        <w:t>Autonomiškas</w:t>
      </w:r>
      <w:proofErr w:type="spellEnd"/>
      <w:r w:rsidRPr="00652FBD">
        <w:rPr>
          <w:rFonts w:eastAsia="Times New Roman" w:cs="Times New Roman"/>
          <w:color w:val="000000"/>
          <w:szCs w:val="24"/>
          <w:lang w:eastAsia="lt-LT"/>
        </w:rPr>
        <w:t xml:space="preserve"> strateginių pinigų plovimo prevencijos trūkumų turinčių trečiųjų šalių vertinimas ir identifikavimas, vadovaujantis atnaujinta metodologija, kuri paskelbta kartu su Veiksmų planu. </w:t>
      </w:r>
    </w:p>
    <w:p w:rsidR="00D62032" w:rsidRDefault="00D62032" w:rsidP="003D4291">
      <w:pPr>
        <w:spacing w:after="0" w:line="240" w:lineRule="auto"/>
        <w:jc w:val="both"/>
        <w:rPr>
          <w:rFonts w:eastAsia="Times New Roman" w:cs="Times New Roman"/>
          <w:color w:val="000000"/>
          <w:szCs w:val="24"/>
          <w:lang w:eastAsia="lt-LT"/>
        </w:rPr>
      </w:pPr>
    </w:p>
    <w:p w:rsidR="00D62032" w:rsidRPr="00AD6AE8" w:rsidRDefault="00D62032" w:rsidP="003D4291">
      <w:pPr>
        <w:spacing w:after="0" w:line="240" w:lineRule="auto"/>
        <w:jc w:val="both"/>
        <w:rPr>
          <w:rFonts w:eastAsia="Times New Roman" w:cs="Times New Roman"/>
          <w:color w:val="000000"/>
          <w:szCs w:val="24"/>
          <w:lang w:eastAsia="lt-LT"/>
        </w:rPr>
      </w:pPr>
      <w:r>
        <w:rPr>
          <w:szCs w:val="24"/>
        </w:rPr>
        <w:t>EK taip pat</w:t>
      </w:r>
      <w:r w:rsidRPr="006073ED">
        <w:rPr>
          <w:szCs w:val="24"/>
        </w:rPr>
        <w:t xml:space="preserve"> </w:t>
      </w:r>
      <w:r>
        <w:rPr>
          <w:szCs w:val="24"/>
        </w:rPr>
        <w:t>atnaujino</w:t>
      </w:r>
      <w:r w:rsidRPr="006073ED">
        <w:rPr>
          <w:szCs w:val="24"/>
        </w:rPr>
        <w:t xml:space="preserve"> metodologiją, kurioje</w:t>
      </w:r>
      <w:r>
        <w:rPr>
          <w:color w:val="222222"/>
          <w:szCs w:val="24"/>
        </w:rPr>
        <w:t xml:space="preserve"> </w:t>
      </w:r>
      <w:r w:rsidRPr="006073ED">
        <w:rPr>
          <w:color w:val="222222"/>
          <w:szCs w:val="24"/>
        </w:rPr>
        <w:t xml:space="preserve"> </w:t>
      </w:r>
      <w:r w:rsidRPr="006073ED">
        <w:rPr>
          <w:szCs w:val="24"/>
        </w:rPr>
        <w:t>numat</w:t>
      </w:r>
      <w:r>
        <w:rPr>
          <w:szCs w:val="24"/>
        </w:rPr>
        <w:t>omo</w:t>
      </w:r>
      <w:r w:rsidRPr="006073ED">
        <w:rPr>
          <w:szCs w:val="24"/>
        </w:rPr>
        <w:t>s aiškesnės</w:t>
      </w:r>
      <w:r>
        <w:rPr>
          <w:szCs w:val="24"/>
        </w:rPr>
        <w:t xml:space="preserve"> ir</w:t>
      </w:r>
      <w:r w:rsidRPr="006073ED">
        <w:rPr>
          <w:szCs w:val="24"/>
        </w:rPr>
        <w:t xml:space="preserve"> skaidresnės trečiųjų valstybių įtraukimo į strateginių pinigų plovimo prevencijos trūkumų turinčių šalių sąrašą procedūros, </w:t>
      </w:r>
      <w:r>
        <w:rPr>
          <w:szCs w:val="24"/>
        </w:rPr>
        <w:t xml:space="preserve">nustatomas glaudesnis </w:t>
      </w:r>
      <w:r w:rsidRPr="006073ED">
        <w:rPr>
          <w:szCs w:val="24"/>
        </w:rPr>
        <w:t xml:space="preserve"> </w:t>
      </w:r>
      <w:r>
        <w:rPr>
          <w:szCs w:val="24"/>
        </w:rPr>
        <w:t>bendradarbiavimas su numatomomis įtraukti į sąrašą trečiosiomis šalimis</w:t>
      </w:r>
      <w:r w:rsidRPr="006073ED">
        <w:rPr>
          <w:szCs w:val="24"/>
        </w:rPr>
        <w:t xml:space="preserve">, kad </w:t>
      </w:r>
      <w:r>
        <w:rPr>
          <w:szCs w:val="24"/>
        </w:rPr>
        <w:t>trūkumai galėtų būti kuo greičiau pašalinti.</w:t>
      </w:r>
    </w:p>
    <w:p w:rsidR="00AD6AE8" w:rsidRPr="00AD6AE8" w:rsidRDefault="00AD6AE8" w:rsidP="003D4291">
      <w:pPr>
        <w:spacing w:after="0" w:line="240" w:lineRule="auto"/>
        <w:jc w:val="both"/>
        <w:rPr>
          <w:rFonts w:eastAsia="Times New Roman" w:cs="Times New Roman"/>
          <w:color w:val="000000"/>
          <w:szCs w:val="24"/>
          <w:lang w:eastAsia="lt-LT"/>
        </w:rPr>
      </w:pPr>
    </w:p>
    <w:p w:rsidR="000F4400" w:rsidRDefault="00AD6AE8" w:rsidP="00D62032">
      <w:pPr>
        <w:spacing w:after="0"/>
        <w:jc w:val="both"/>
        <w:rPr>
          <w:rFonts w:eastAsia="Times New Roman" w:cs="Times New Roman"/>
          <w:szCs w:val="24"/>
        </w:rPr>
      </w:pPr>
      <w:r w:rsidRPr="00AD6AE8">
        <w:rPr>
          <w:rFonts w:eastAsia="Times New Roman" w:cs="Times New Roman"/>
          <w:b/>
          <w:color w:val="000000"/>
          <w:szCs w:val="24"/>
          <w:u w:val="single"/>
          <w:lang w:eastAsia="lt-LT"/>
        </w:rPr>
        <w:t>Lietuvos pozicija.</w:t>
      </w:r>
      <w:r w:rsidRPr="00AD6AE8">
        <w:rPr>
          <w:rFonts w:eastAsia="Times New Roman" w:cs="Times New Roman"/>
          <w:color w:val="000000"/>
          <w:szCs w:val="24"/>
          <w:lang w:eastAsia="lt-LT"/>
        </w:rPr>
        <w:t xml:space="preserve"> </w:t>
      </w:r>
      <w:r w:rsidR="00D62032" w:rsidRPr="00D62032">
        <w:rPr>
          <w:rFonts w:eastAsia="Times New Roman" w:cs="Times New Roman"/>
          <w:szCs w:val="24"/>
        </w:rPr>
        <w:t>Remiame visas iniciatyvas ir pastangas, skirtas stiprinti ES ir jos narių pinigų plovimo ir teroristų finansavimo prevencijos sistemą.</w:t>
      </w:r>
      <w:r w:rsidR="00D62032">
        <w:rPr>
          <w:rFonts w:eastAsia="Times New Roman" w:cs="Times New Roman"/>
          <w:szCs w:val="24"/>
        </w:rPr>
        <w:t xml:space="preserve"> </w:t>
      </w:r>
      <w:r w:rsidR="00D62032" w:rsidRPr="00D62032">
        <w:rPr>
          <w:rFonts w:eastAsia="Times New Roman" w:cs="Times New Roman"/>
          <w:szCs w:val="24"/>
        </w:rPr>
        <w:t>Palaikome aiškesnes ir skaidresnes procedūras dėl trečiųjų valstybių įtraukimo į strateginių pinigų plovimo prevencijos trūkumų turinčių šalių sąrašą.</w:t>
      </w:r>
    </w:p>
    <w:p w:rsidR="005A7E67" w:rsidRDefault="005A7E67" w:rsidP="003D4291">
      <w:pPr>
        <w:spacing w:after="0"/>
        <w:jc w:val="both"/>
        <w:rPr>
          <w:rFonts w:eastAsia="Times New Roman" w:cs="Times New Roman"/>
          <w:szCs w:val="24"/>
        </w:rPr>
      </w:pPr>
    </w:p>
    <w:p w:rsidR="005A7E67" w:rsidRPr="00AB31B4" w:rsidRDefault="005A7E67" w:rsidP="005A7E6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AB31B4">
        <w:rPr>
          <w:rFonts w:cs="Times New Roman"/>
          <w:b/>
          <w:szCs w:val="24"/>
        </w:rPr>
        <w:t>Tarybos išvados dėl Europos semestro 2020 m. šalių ataskaitų, įskaitant</w:t>
      </w:r>
      <w:r w:rsidR="00AB31B4">
        <w:rPr>
          <w:rFonts w:cs="Times New Roman"/>
          <w:b/>
          <w:szCs w:val="24"/>
        </w:rPr>
        <w:t xml:space="preserve"> nuodugnias apžvalgas</w:t>
      </w:r>
      <w:r w:rsidRPr="00AB31B4">
        <w:rPr>
          <w:rFonts w:cs="Times New Roman"/>
          <w:b/>
          <w:szCs w:val="24"/>
        </w:rPr>
        <w:t xml:space="preserve"> ir 2019 m. rekomendacij</w:t>
      </w:r>
      <w:r w:rsidR="00047C8A">
        <w:rPr>
          <w:rFonts w:cs="Times New Roman"/>
          <w:b/>
          <w:szCs w:val="24"/>
        </w:rPr>
        <w:t>ų</w:t>
      </w:r>
      <w:r w:rsidRPr="00AB31B4">
        <w:rPr>
          <w:rFonts w:cs="Times New Roman"/>
          <w:b/>
          <w:szCs w:val="24"/>
        </w:rPr>
        <w:t xml:space="preserve"> šalims</w:t>
      </w:r>
      <w:r w:rsidR="00047C8A">
        <w:rPr>
          <w:rFonts w:cs="Times New Roman"/>
          <w:b/>
          <w:szCs w:val="24"/>
        </w:rPr>
        <w:t xml:space="preserve"> narėms</w:t>
      </w:r>
      <w:r w:rsidR="0048780D">
        <w:rPr>
          <w:rFonts w:cs="Times New Roman"/>
          <w:b/>
          <w:szCs w:val="24"/>
        </w:rPr>
        <w:t xml:space="preserve"> įgyvendinim</w:t>
      </w:r>
      <w:r w:rsidR="00047C8A">
        <w:rPr>
          <w:rFonts w:cs="Times New Roman"/>
          <w:b/>
          <w:szCs w:val="24"/>
        </w:rPr>
        <w:t>o</w:t>
      </w:r>
    </w:p>
    <w:p w:rsidR="005A7E67" w:rsidRDefault="005A7E67" w:rsidP="005A7E67">
      <w:pPr>
        <w:autoSpaceDE w:val="0"/>
        <w:autoSpaceDN w:val="0"/>
        <w:adjustRightInd w:val="0"/>
        <w:spacing w:after="0" w:line="240" w:lineRule="auto"/>
        <w:jc w:val="both"/>
        <w:rPr>
          <w:rFonts w:ascii="Tms Rmn" w:hAnsi="Tms Rmn"/>
          <w:szCs w:val="24"/>
        </w:rPr>
      </w:pPr>
    </w:p>
    <w:p w:rsidR="005A7E67" w:rsidRPr="00E8342B" w:rsidRDefault="005A7E67" w:rsidP="005A7E67">
      <w:pPr>
        <w:spacing w:after="0" w:line="240" w:lineRule="auto"/>
        <w:jc w:val="both"/>
        <w:rPr>
          <w:rFonts w:eastAsia="Times New Roman" w:cs="Times New Roman"/>
          <w:sz w:val="26"/>
          <w:szCs w:val="26"/>
          <w:lang w:eastAsia="fr-BE"/>
        </w:rPr>
      </w:pPr>
      <w:r w:rsidRPr="00B35CCF">
        <w:rPr>
          <w:rFonts w:cs="Times New Roman"/>
          <w:b/>
          <w:bCs/>
          <w:color w:val="000000"/>
          <w:szCs w:val="24"/>
          <w:u w:val="single"/>
        </w:rPr>
        <w:t>Klausimo esmė.</w:t>
      </w:r>
      <w:r>
        <w:rPr>
          <w:rFonts w:cs="Times New Roman"/>
          <w:b/>
          <w:bCs/>
          <w:color w:val="000000"/>
          <w:szCs w:val="24"/>
        </w:rPr>
        <w:t xml:space="preserve"> </w:t>
      </w:r>
      <w:r w:rsidRPr="00E8342B">
        <w:rPr>
          <w:rFonts w:cs="Times New Roman"/>
          <w:bCs/>
          <w:color w:val="000000"/>
          <w:szCs w:val="24"/>
        </w:rPr>
        <w:t>P</w:t>
      </w:r>
      <w:r>
        <w:rPr>
          <w:rFonts w:cs="Times New Roman"/>
          <w:bCs/>
          <w:color w:val="000000"/>
          <w:szCs w:val="24"/>
        </w:rPr>
        <w:t xml:space="preserve">irmininkaujanti šalis </w:t>
      </w:r>
      <w:r w:rsidR="00047C8A">
        <w:rPr>
          <w:rFonts w:cs="Times New Roman"/>
          <w:bCs/>
          <w:color w:val="000000"/>
          <w:szCs w:val="24"/>
        </w:rPr>
        <w:t xml:space="preserve">informuos apie </w:t>
      </w:r>
      <w:r>
        <w:rPr>
          <w:rFonts w:cs="Times New Roman"/>
          <w:bCs/>
          <w:color w:val="000000"/>
          <w:szCs w:val="24"/>
        </w:rPr>
        <w:t>rašytinės procedūros dėl Tarybos išvadų</w:t>
      </w:r>
      <w:r w:rsidRPr="00E8342B">
        <w:rPr>
          <w:rFonts w:cs="Times New Roman"/>
          <w:bCs/>
          <w:color w:val="000000"/>
          <w:szCs w:val="24"/>
        </w:rPr>
        <w:t xml:space="preserve"> </w:t>
      </w:r>
      <w:r w:rsidR="00047C8A">
        <w:rPr>
          <w:rFonts w:cs="Times New Roman"/>
          <w:bCs/>
          <w:color w:val="000000"/>
          <w:szCs w:val="24"/>
        </w:rPr>
        <w:t>(</w:t>
      </w:r>
      <w:r w:rsidRPr="00E8342B">
        <w:rPr>
          <w:rFonts w:cs="Times New Roman"/>
          <w:bCs/>
          <w:color w:val="000000"/>
          <w:szCs w:val="24"/>
        </w:rPr>
        <w:t>dėl 2020 m. Europos Semestro šalių ataskaitų bei 2019 m. rekomendacijų šalims narėms įgyvendinimo</w:t>
      </w:r>
      <w:r w:rsidR="00047C8A">
        <w:rPr>
          <w:rFonts w:cs="Times New Roman"/>
          <w:bCs/>
          <w:color w:val="000000"/>
          <w:szCs w:val="24"/>
        </w:rPr>
        <w:t>)</w:t>
      </w:r>
      <w:r>
        <w:rPr>
          <w:rFonts w:cs="Times New Roman"/>
          <w:bCs/>
          <w:color w:val="000000"/>
          <w:szCs w:val="24"/>
        </w:rPr>
        <w:t xml:space="preserve"> rezultatus</w:t>
      </w:r>
      <w:r w:rsidRPr="00E8342B">
        <w:rPr>
          <w:rFonts w:cs="Times New Roman"/>
          <w:bCs/>
          <w:color w:val="000000"/>
          <w:szCs w:val="24"/>
        </w:rPr>
        <w:t xml:space="preserve">. </w:t>
      </w:r>
      <w:r w:rsidRPr="00E8342B">
        <w:rPr>
          <w:rFonts w:eastAsia="Times New Roman" w:cs="Times New Roman"/>
          <w:szCs w:val="24"/>
          <w:lang w:eastAsia="fr-BE"/>
        </w:rPr>
        <w:t xml:space="preserve">Tarybos išvadų projekte pažymėta, kad būtinas koordinuotas ir išsamus atsakas šiai krizei bei būtina pilnai išnaudoti ES ekonominės politikos koordinavimo lankstumą. Be neatidėliotino atsako siekiant sumažinti aukų skaičių ir žalą ekonomikai, svarbu spręsti struktūrinius iššūkius siekiant tvaraus atsigavimo. </w:t>
      </w:r>
      <w:r>
        <w:rPr>
          <w:rFonts w:eastAsia="Times New Roman" w:cs="Times New Roman"/>
          <w:szCs w:val="24"/>
          <w:lang w:eastAsia="fr-BE"/>
        </w:rPr>
        <w:t xml:space="preserve">Tam reikalingos </w:t>
      </w:r>
      <w:r w:rsidRPr="00E8342B">
        <w:rPr>
          <w:rFonts w:eastAsia="Times New Roman" w:cs="Times New Roman"/>
          <w:szCs w:val="24"/>
          <w:lang w:eastAsia="fr-BE"/>
        </w:rPr>
        <w:t>reformos ir aukštos kokybės investicijos siekiant: sustiprinti ekonominį atsparumą, palengvinti perėjimą prie tvarios, skaitmeninės ir neutralios klimatui ekonomikos bei atsakyti į visuomenė senėjimo keliamus iššūkius. Tačiau pažymėta, kad 2019 m. rekome</w:t>
      </w:r>
      <w:r w:rsidR="005F1C12">
        <w:rPr>
          <w:rFonts w:eastAsia="Times New Roman" w:cs="Times New Roman"/>
          <w:szCs w:val="24"/>
          <w:lang w:eastAsia="fr-BE"/>
        </w:rPr>
        <w:t xml:space="preserve">ndacijų įgyvendinimas buvo </w:t>
      </w:r>
      <w:r w:rsidR="005D1308">
        <w:rPr>
          <w:rFonts w:eastAsia="Times New Roman" w:cs="Times New Roman"/>
          <w:szCs w:val="24"/>
          <w:lang w:eastAsia="fr-BE"/>
        </w:rPr>
        <w:t>nepakankamas</w:t>
      </w:r>
      <w:r w:rsidRPr="00E8342B">
        <w:rPr>
          <w:rFonts w:eastAsia="Times New Roman" w:cs="Times New Roman"/>
          <w:szCs w:val="24"/>
          <w:lang w:eastAsia="fr-BE"/>
        </w:rPr>
        <w:t xml:space="preserve"> nepaisant palankios ekonominės aplinkos.</w:t>
      </w:r>
    </w:p>
    <w:p w:rsidR="005A7E67" w:rsidRDefault="005A7E67" w:rsidP="005A7E67">
      <w:pPr>
        <w:spacing w:after="0" w:line="240" w:lineRule="auto"/>
        <w:jc w:val="both"/>
        <w:rPr>
          <w:szCs w:val="24"/>
        </w:rPr>
      </w:pPr>
    </w:p>
    <w:p w:rsidR="005A7E67" w:rsidRPr="00B35CCF" w:rsidRDefault="005A7E67" w:rsidP="005A7E67">
      <w:pPr>
        <w:spacing w:after="0" w:line="240" w:lineRule="auto"/>
        <w:jc w:val="both"/>
        <w:rPr>
          <w:rFonts w:eastAsia="Calibri" w:cs="Times New Roman"/>
          <w:szCs w:val="24"/>
        </w:rPr>
      </w:pPr>
      <w:r w:rsidRPr="007F75CB">
        <w:rPr>
          <w:rFonts w:eastAsia="Calibri" w:cs="Times New Roman"/>
          <w:b/>
          <w:szCs w:val="24"/>
          <w:u w:val="single"/>
        </w:rPr>
        <w:t>Lietuvos pozicija</w:t>
      </w:r>
      <w:r w:rsidRPr="007F75CB">
        <w:rPr>
          <w:rFonts w:eastAsia="Calibri" w:cs="Times New Roman"/>
          <w:szCs w:val="24"/>
        </w:rPr>
        <w:t xml:space="preserve">. </w:t>
      </w:r>
      <w:r w:rsidR="00047C8A">
        <w:rPr>
          <w:rFonts w:eastAsia="Calibri" w:cs="Times New Roman"/>
          <w:szCs w:val="24"/>
        </w:rPr>
        <w:t>Pritariame Tarybos išvadų projektui.</w:t>
      </w:r>
    </w:p>
    <w:p w:rsidR="005A7E67" w:rsidRPr="00652FBD" w:rsidRDefault="005A7E67" w:rsidP="003D4291">
      <w:pPr>
        <w:spacing w:after="0"/>
        <w:jc w:val="both"/>
        <w:rPr>
          <w:rFonts w:eastAsia="Times New Roman" w:cs="Times New Roman"/>
          <w:szCs w:val="24"/>
        </w:rPr>
      </w:pPr>
    </w:p>
    <w:p w:rsidR="009E0F69" w:rsidRPr="00720C6E" w:rsidRDefault="009E0F69" w:rsidP="004F5635">
      <w:pPr>
        <w:spacing w:after="0" w:line="240" w:lineRule="auto"/>
        <w:jc w:val="both"/>
        <w:rPr>
          <w:rFonts w:cs="Times New Roman"/>
          <w:b/>
          <w:szCs w:val="24"/>
          <w:u w:val="single"/>
          <w:lang w:eastAsia="lt-LT" w:bidi="lt-LT"/>
        </w:rPr>
      </w:pPr>
    </w:p>
    <w:sectPr w:rsidR="009E0F69" w:rsidRPr="00720C6E" w:rsidSect="004F5635">
      <w:footerReference w:type="default" r:id="rId9"/>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BAA" w:rsidRDefault="00651BAA" w:rsidP="005059EB">
      <w:pPr>
        <w:spacing w:after="0" w:line="240" w:lineRule="auto"/>
      </w:pPr>
      <w:r>
        <w:separator/>
      </w:r>
    </w:p>
  </w:endnote>
  <w:endnote w:type="continuationSeparator" w:id="0">
    <w:p w:rsidR="00651BAA" w:rsidRDefault="00651BAA" w:rsidP="0050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732025"/>
      <w:docPartObj>
        <w:docPartGallery w:val="Page Numbers (Bottom of Page)"/>
        <w:docPartUnique/>
      </w:docPartObj>
    </w:sdtPr>
    <w:sdtEndPr/>
    <w:sdtContent>
      <w:p w:rsidR="005059EB" w:rsidRDefault="005059EB">
        <w:pPr>
          <w:pStyle w:val="Porat"/>
          <w:jc w:val="right"/>
        </w:pPr>
        <w:r>
          <w:fldChar w:fldCharType="begin"/>
        </w:r>
        <w:r>
          <w:instrText>PAGE   \* MERGEFORMAT</w:instrText>
        </w:r>
        <w:r>
          <w:fldChar w:fldCharType="separate"/>
        </w:r>
        <w:r w:rsidR="00D62032">
          <w:rPr>
            <w:noProof/>
          </w:rPr>
          <w:t>1</w:t>
        </w:r>
        <w:r>
          <w:fldChar w:fldCharType="end"/>
        </w:r>
      </w:p>
    </w:sdtContent>
  </w:sdt>
  <w:p w:rsidR="005059EB" w:rsidRDefault="005059E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BAA" w:rsidRDefault="00651BAA" w:rsidP="005059EB">
      <w:pPr>
        <w:spacing w:after="0" w:line="240" w:lineRule="auto"/>
      </w:pPr>
      <w:r>
        <w:separator/>
      </w:r>
    </w:p>
  </w:footnote>
  <w:footnote w:type="continuationSeparator" w:id="0">
    <w:p w:rsidR="00651BAA" w:rsidRDefault="00651BAA" w:rsidP="00505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B107D1C"/>
    <w:lvl w:ilvl="0">
      <w:numFmt w:val="bullet"/>
      <w:lvlText w:val="*"/>
      <w:lvlJc w:val="left"/>
    </w:lvl>
  </w:abstractNum>
  <w:abstractNum w:abstractNumId="1">
    <w:nsid w:val="06495604"/>
    <w:multiLevelType w:val="multilevel"/>
    <w:tmpl w:val="3AE834CC"/>
    <w:name w:val="Points"/>
    <w:lvl w:ilvl="0">
      <w:start w:val="1"/>
      <w:numFmt w:val="decimal"/>
      <w:pStyle w:val="Point123"/>
      <w:lvlText w:val="%1."/>
      <w:lvlJc w:val="left"/>
      <w:pPr>
        <w:tabs>
          <w:tab w:val="num" w:pos="567"/>
        </w:tabs>
        <w:ind w:left="567" w:hanging="567"/>
      </w:pPr>
      <w:rPr>
        <w:bdr w:val="none" w:sz="0" w:space="0" w:color="auto" w:frame="1"/>
      </w:rPr>
    </w:lvl>
    <w:lvl w:ilvl="1">
      <w:start w:val="1"/>
      <w:numFmt w:val="lowerLetter"/>
      <w:pStyle w:val="Pointabc"/>
      <w:lvlText w:val="%2)"/>
      <w:lvlJc w:val="left"/>
      <w:pPr>
        <w:tabs>
          <w:tab w:val="num" w:pos="567"/>
        </w:tabs>
        <w:ind w:left="567" w:hanging="567"/>
      </w:pPr>
      <w:rPr>
        <w:bdr w:val="none" w:sz="0" w:space="0" w:color="auto" w:frame="1"/>
      </w:rPr>
    </w:lvl>
    <w:lvl w:ilvl="2">
      <w:start w:val="1"/>
      <w:numFmt w:val="bullet"/>
      <w:pStyle w:val="Point1231"/>
      <w:lvlText w:val=""/>
      <w:lvlJc w:val="left"/>
      <w:pPr>
        <w:tabs>
          <w:tab w:val="num" w:pos="1134"/>
        </w:tabs>
        <w:ind w:left="1134" w:hanging="567"/>
      </w:pPr>
      <w:rPr>
        <w:rFonts w:ascii="Symbol" w:hAnsi="Symbol" w:hint="default"/>
        <w:bdr w:val="none" w:sz="0" w:space="0" w:color="auto" w:frame="1"/>
      </w:rPr>
    </w:lvl>
    <w:lvl w:ilvl="3">
      <w:start w:val="1"/>
      <w:numFmt w:val="lowerLetter"/>
      <w:pStyle w:val="Pointabc1"/>
      <w:lvlText w:val="%4)"/>
      <w:lvlJc w:val="left"/>
      <w:pPr>
        <w:tabs>
          <w:tab w:val="num" w:pos="1134"/>
        </w:tabs>
        <w:ind w:left="1134" w:hanging="567"/>
      </w:pPr>
      <w:rPr>
        <w:bdr w:val="none" w:sz="0" w:space="0" w:color="auto" w:frame="1"/>
      </w:rPr>
    </w:lvl>
    <w:lvl w:ilvl="4">
      <w:start w:val="1"/>
      <w:numFmt w:val="decimal"/>
      <w:pStyle w:val="Point1232"/>
      <w:lvlText w:val="%5."/>
      <w:lvlJc w:val="left"/>
      <w:pPr>
        <w:tabs>
          <w:tab w:val="num" w:pos="1701"/>
        </w:tabs>
        <w:ind w:left="1701" w:hanging="567"/>
      </w:pPr>
      <w:rPr>
        <w:bdr w:val="none" w:sz="0" w:space="0" w:color="auto" w:frame="1"/>
      </w:rPr>
    </w:lvl>
    <w:lvl w:ilvl="5">
      <w:start w:val="1"/>
      <w:numFmt w:val="bullet"/>
      <w:pStyle w:val="Pointabc2"/>
      <w:lvlText w:val=""/>
      <w:lvlJc w:val="left"/>
      <w:pPr>
        <w:tabs>
          <w:tab w:val="num" w:pos="1701"/>
        </w:tabs>
        <w:ind w:left="1701" w:hanging="567"/>
      </w:pPr>
      <w:rPr>
        <w:rFonts w:ascii="Symbol" w:hAnsi="Symbol" w:hint="default"/>
        <w:bdr w:val="none" w:sz="0" w:space="0" w:color="auto" w:frame="1"/>
      </w:rPr>
    </w:lvl>
    <w:lvl w:ilvl="6">
      <w:start w:val="1"/>
      <w:numFmt w:val="decimal"/>
      <w:pStyle w:val="Point1233"/>
      <w:lvlText w:val="%7."/>
      <w:lvlJc w:val="left"/>
      <w:pPr>
        <w:tabs>
          <w:tab w:val="num" w:pos="2268"/>
        </w:tabs>
        <w:ind w:left="2268" w:hanging="567"/>
      </w:pPr>
      <w:rPr>
        <w:bdr w:val="none" w:sz="0" w:space="0" w:color="auto" w:frame="1"/>
      </w:rPr>
    </w:lvl>
    <w:lvl w:ilvl="7">
      <w:start w:val="1"/>
      <w:numFmt w:val="lowerLetter"/>
      <w:pStyle w:val="Pointabc3"/>
      <w:lvlText w:val="%8)"/>
      <w:lvlJc w:val="left"/>
      <w:pPr>
        <w:tabs>
          <w:tab w:val="num" w:pos="2268"/>
        </w:tabs>
        <w:ind w:left="2268" w:hanging="567"/>
      </w:pPr>
      <w:rPr>
        <w:bdr w:val="none" w:sz="0" w:space="0" w:color="auto" w:frame="1"/>
      </w:rPr>
    </w:lvl>
    <w:lvl w:ilvl="8">
      <w:start w:val="1"/>
      <w:numFmt w:val="lowerLetter"/>
      <w:pStyle w:val="Pointabc4"/>
      <w:lvlText w:val="%9)"/>
      <w:lvlJc w:val="left"/>
      <w:pPr>
        <w:tabs>
          <w:tab w:val="num" w:pos="2835"/>
        </w:tabs>
        <w:ind w:left="2835" w:hanging="567"/>
      </w:pPr>
      <w:rPr>
        <w:bdr w:val="none" w:sz="0" w:space="0" w:color="auto" w:frame="1"/>
      </w:rPr>
    </w:lvl>
  </w:abstractNum>
  <w:abstractNum w:abstractNumId="2">
    <w:nsid w:val="07BE4261"/>
    <w:multiLevelType w:val="hybridMultilevel"/>
    <w:tmpl w:val="AC420682"/>
    <w:lvl w:ilvl="0" w:tplc="FA788C58">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2136AF"/>
    <w:multiLevelType w:val="hybridMultilevel"/>
    <w:tmpl w:val="F2BA493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D1E5BF0"/>
    <w:multiLevelType w:val="hybridMultilevel"/>
    <w:tmpl w:val="25465962"/>
    <w:lvl w:ilvl="0" w:tplc="BD76F8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F863213"/>
    <w:multiLevelType w:val="hybridMultilevel"/>
    <w:tmpl w:val="C3F2D49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2D47BA3"/>
    <w:multiLevelType w:val="hybridMultilevel"/>
    <w:tmpl w:val="3DF4205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6404C02"/>
    <w:multiLevelType w:val="multilevel"/>
    <w:tmpl w:val="595E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8E62BD"/>
    <w:multiLevelType w:val="hybridMultilevel"/>
    <w:tmpl w:val="4BC41A4A"/>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1F499822"/>
    <w:multiLevelType w:val="hybridMultilevel"/>
    <w:tmpl w:val="F49ED158"/>
    <w:lvl w:ilvl="0" w:tplc="BB10EDF8">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10">
    <w:nsid w:val="2A8145C4"/>
    <w:multiLevelType w:val="hybridMultilevel"/>
    <w:tmpl w:val="48D0C9FE"/>
    <w:lvl w:ilvl="0" w:tplc="FECA3C00">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DAB3284"/>
    <w:multiLevelType w:val="hybridMultilevel"/>
    <w:tmpl w:val="9166747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F44098B"/>
    <w:multiLevelType w:val="hybridMultilevel"/>
    <w:tmpl w:val="870E9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FF91C04"/>
    <w:multiLevelType w:val="hybridMultilevel"/>
    <w:tmpl w:val="A56CA3DC"/>
    <w:lvl w:ilvl="0" w:tplc="B18481F2">
      <w:start w:val="1"/>
      <w:numFmt w:val="decimal"/>
      <w:lvlText w:val="%1."/>
      <w:lvlJc w:val="left"/>
      <w:pPr>
        <w:ind w:left="927" w:hanging="360"/>
      </w:pPr>
      <w:rPr>
        <w:rFonts w:ascii="Times New Roman" w:eastAsiaTheme="minorHAnsi" w:hAnsi="Times New Roman" w:cstheme="minorBid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nsid w:val="3308644A"/>
    <w:multiLevelType w:val="hybridMultilevel"/>
    <w:tmpl w:val="7DF2440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nsid w:val="34D514B1"/>
    <w:multiLevelType w:val="hybridMultilevel"/>
    <w:tmpl w:val="45F2CF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5733647"/>
    <w:multiLevelType w:val="hybridMultilevel"/>
    <w:tmpl w:val="CFD84F18"/>
    <w:lvl w:ilvl="0" w:tplc="DA1E6FFE">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17">
    <w:nsid w:val="388D3953"/>
    <w:multiLevelType w:val="hybridMultilevel"/>
    <w:tmpl w:val="099E550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A5471F4"/>
    <w:multiLevelType w:val="hybridMultilevel"/>
    <w:tmpl w:val="0E0C574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CAE28BE"/>
    <w:multiLevelType w:val="hybridMultilevel"/>
    <w:tmpl w:val="51E4F896"/>
    <w:lvl w:ilvl="0" w:tplc="50BEDB2C">
      <w:start w:val="1"/>
      <w:numFmt w:val="decimal"/>
      <w:lvlText w:val="%1."/>
      <w:lvlJc w:val="left"/>
      <w:pPr>
        <w:ind w:left="927" w:hanging="360"/>
      </w:pPr>
      <w:rPr>
        <w:rFonts w:ascii="Times New Roman" w:eastAsiaTheme="minorHAnsi" w:hAnsi="Times New Roman" w:cstheme="minorBid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nsid w:val="3CEA3074"/>
    <w:multiLevelType w:val="hybridMultilevel"/>
    <w:tmpl w:val="4E2698BE"/>
    <w:lvl w:ilvl="0" w:tplc="15747510">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74600CE"/>
    <w:multiLevelType w:val="hybridMultilevel"/>
    <w:tmpl w:val="1E529E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8425F45"/>
    <w:multiLevelType w:val="hybridMultilevel"/>
    <w:tmpl w:val="EEAA7810"/>
    <w:lvl w:ilvl="0" w:tplc="8738EAF2">
      <w:start w:val="1"/>
      <w:numFmt w:val="decimal"/>
      <w:lvlText w:val="%1."/>
      <w:lvlJc w:val="left"/>
      <w:pPr>
        <w:ind w:left="927" w:hanging="360"/>
      </w:pPr>
      <w:rPr>
        <w:rFonts w:ascii="Times New Roman" w:eastAsiaTheme="minorHAnsi" w:hAnsi="Times New Roman" w:cstheme="minorBid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4F9962D8"/>
    <w:multiLevelType w:val="hybridMultilevel"/>
    <w:tmpl w:val="1DE41CF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14B60A3"/>
    <w:multiLevelType w:val="hybridMultilevel"/>
    <w:tmpl w:val="118444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nsid w:val="51AE34EA"/>
    <w:multiLevelType w:val="hybridMultilevel"/>
    <w:tmpl w:val="2042E2E8"/>
    <w:lvl w:ilvl="0" w:tplc="8D72D7F8">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27">
    <w:nsid w:val="55225063"/>
    <w:multiLevelType w:val="hybridMultilevel"/>
    <w:tmpl w:val="8F449C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52A74C7"/>
    <w:multiLevelType w:val="hybridMultilevel"/>
    <w:tmpl w:val="1EBC91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9CA6777"/>
    <w:multiLevelType w:val="hybridMultilevel"/>
    <w:tmpl w:val="CABAD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ADC62E8"/>
    <w:multiLevelType w:val="hybridMultilevel"/>
    <w:tmpl w:val="4EB62B3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nsid w:val="5E2E5BDC"/>
    <w:multiLevelType w:val="hybridMultilevel"/>
    <w:tmpl w:val="9B88267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nsid w:val="663F3CE0"/>
    <w:multiLevelType w:val="multilevel"/>
    <w:tmpl w:val="3456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854BCA"/>
    <w:multiLevelType w:val="hybridMultilevel"/>
    <w:tmpl w:val="7AE043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4246296"/>
    <w:multiLevelType w:val="hybridMultilevel"/>
    <w:tmpl w:val="7482FB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B3F7B7A"/>
    <w:multiLevelType w:val="hybridMultilevel"/>
    <w:tmpl w:val="91388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1"/>
  </w:num>
  <w:num w:numId="4">
    <w:abstractNumId w:val="1"/>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9"/>
  </w:num>
  <w:num w:numId="6">
    <w:abstractNumId w:val="26"/>
  </w:num>
  <w:num w:numId="7">
    <w:abstractNumId w:val="16"/>
  </w:num>
  <w:num w:numId="8">
    <w:abstractNumId w:val="2"/>
  </w:num>
  <w:num w:numId="9">
    <w:abstractNumId w:val="17"/>
  </w:num>
  <w:num w:numId="10">
    <w:abstractNumId w:val="15"/>
  </w:num>
  <w:num w:numId="11">
    <w:abstractNumId w:val="6"/>
  </w:num>
  <w:num w:numId="12">
    <w:abstractNumId w:val="20"/>
  </w:num>
  <w:num w:numId="13">
    <w:abstractNumId w:val="10"/>
  </w:num>
  <w:num w:numId="14">
    <w:abstractNumId w:val="25"/>
  </w:num>
  <w:num w:numId="15">
    <w:abstractNumId w:val="33"/>
  </w:num>
  <w:num w:numId="16">
    <w:abstractNumId w:val="12"/>
  </w:num>
  <w:num w:numId="17">
    <w:abstractNumId w:val="22"/>
  </w:num>
  <w:num w:numId="18">
    <w:abstractNumId w:val="29"/>
  </w:num>
  <w:num w:numId="19">
    <w:abstractNumId w:val="31"/>
  </w:num>
  <w:num w:numId="20">
    <w:abstractNumId w:val="30"/>
  </w:num>
  <w:num w:numId="21">
    <w:abstractNumId w:val="14"/>
  </w:num>
  <w:num w:numId="22">
    <w:abstractNumId w:val="8"/>
  </w:num>
  <w:num w:numId="23">
    <w:abstractNumId w:val="23"/>
  </w:num>
  <w:num w:numId="24">
    <w:abstractNumId w:val="13"/>
  </w:num>
  <w:num w:numId="25">
    <w:abstractNumId w:val="4"/>
  </w:num>
  <w:num w:numId="26">
    <w:abstractNumId w:val="19"/>
  </w:num>
  <w:num w:numId="27">
    <w:abstractNumId w:val="3"/>
  </w:num>
  <w:num w:numId="28">
    <w:abstractNumId w:val="18"/>
  </w:num>
  <w:num w:numId="29">
    <w:abstractNumId w:val="24"/>
  </w:num>
  <w:num w:numId="30">
    <w:abstractNumId w:val="5"/>
  </w:num>
  <w:num w:numId="31">
    <w:abstractNumId w:val="34"/>
  </w:num>
  <w:num w:numId="32">
    <w:abstractNumId w:val="28"/>
  </w:num>
  <w:num w:numId="33">
    <w:abstractNumId w:val="27"/>
  </w:num>
  <w:num w:numId="34">
    <w:abstractNumId w:val="11"/>
  </w:num>
  <w:num w:numId="35">
    <w:abstractNumId w:val="32"/>
  </w:num>
  <w:num w:numId="36">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70"/>
    <w:rsid w:val="00047C8A"/>
    <w:rsid w:val="000678AA"/>
    <w:rsid w:val="000713A4"/>
    <w:rsid w:val="000769A5"/>
    <w:rsid w:val="00076A9E"/>
    <w:rsid w:val="000E1051"/>
    <w:rsid w:val="000F2114"/>
    <w:rsid w:val="000F4400"/>
    <w:rsid w:val="000F589C"/>
    <w:rsid w:val="0011678C"/>
    <w:rsid w:val="00126F54"/>
    <w:rsid w:val="00144F3B"/>
    <w:rsid w:val="001815A1"/>
    <w:rsid w:val="0018263F"/>
    <w:rsid w:val="00187F2F"/>
    <w:rsid w:val="001E0AC8"/>
    <w:rsid w:val="001E3961"/>
    <w:rsid w:val="00201304"/>
    <w:rsid w:val="00214FF8"/>
    <w:rsid w:val="00244C46"/>
    <w:rsid w:val="00261FBA"/>
    <w:rsid w:val="002817F5"/>
    <w:rsid w:val="002836CE"/>
    <w:rsid w:val="002914B1"/>
    <w:rsid w:val="00293E2E"/>
    <w:rsid w:val="002E7316"/>
    <w:rsid w:val="00334CDB"/>
    <w:rsid w:val="00342933"/>
    <w:rsid w:val="0037377D"/>
    <w:rsid w:val="00377706"/>
    <w:rsid w:val="00380F9D"/>
    <w:rsid w:val="0038198B"/>
    <w:rsid w:val="0039677B"/>
    <w:rsid w:val="003B2B69"/>
    <w:rsid w:val="003D4291"/>
    <w:rsid w:val="003E5320"/>
    <w:rsid w:val="004030AB"/>
    <w:rsid w:val="00405345"/>
    <w:rsid w:val="0040729F"/>
    <w:rsid w:val="00421F1D"/>
    <w:rsid w:val="00455FB7"/>
    <w:rsid w:val="00472B78"/>
    <w:rsid w:val="0048780D"/>
    <w:rsid w:val="00492AE1"/>
    <w:rsid w:val="004E03CD"/>
    <w:rsid w:val="004F5635"/>
    <w:rsid w:val="005059EB"/>
    <w:rsid w:val="00511707"/>
    <w:rsid w:val="00544006"/>
    <w:rsid w:val="00547D85"/>
    <w:rsid w:val="005706F9"/>
    <w:rsid w:val="005A1557"/>
    <w:rsid w:val="005A7E67"/>
    <w:rsid w:val="005D1308"/>
    <w:rsid w:val="005F1C12"/>
    <w:rsid w:val="006356C2"/>
    <w:rsid w:val="00651BAA"/>
    <w:rsid w:val="00652FBD"/>
    <w:rsid w:val="006C29E0"/>
    <w:rsid w:val="006E224F"/>
    <w:rsid w:val="00705E0F"/>
    <w:rsid w:val="00707F09"/>
    <w:rsid w:val="00713B84"/>
    <w:rsid w:val="00720C6E"/>
    <w:rsid w:val="00723FC9"/>
    <w:rsid w:val="00745E44"/>
    <w:rsid w:val="007569CF"/>
    <w:rsid w:val="007633CD"/>
    <w:rsid w:val="007731A8"/>
    <w:rsid w:val="0078551E"/>
    <w:rsid w:val="00793E3C"/>
    <w:rsid w:val="0079438B"/>
    <w:rsid w:val="007B02BB"/>
    <w:rsid w:val="007C2CFB"/>
    <w:rsid w:val="007D4C6A"/>
    <w:rsid w:val="007F75CB"/>
    <w:rsid w:val="00873647"/>
    <w:rsid w:val="00874104"/>
    <w:rsid w:val="0088529B"/>
    <w:rsid w:val="008E21A0"/>
    <w:rsid w:val="008E7545"/>
    <w:rsid w:val="008F1E61"/>
    <w:rsid w:val="009178E9"/>
    <w:rsid w:val="009202C6"/>
    <w:rsid w:val="0094073A"/>
    <w:rsid w:val="009411C0"/>
    <w:rsid w:val="00962666"/>
    <w:rsid w:val="009633E2"/>
    <w:rsid w:val="009B3952"/>
    <w:rsid w:val="009C336F"/>
    <w:rsid w:val="009C5EF2"/>
    <w:rsid w:val="009D4D70"/>
    <w:rsid w:val="009E0F69"/>
    <w:rsid w:val="00A00AAA"/>
    <w:rsid w:val="00A0435E"/>
    <w:rsid w:val="00A051EB"/>
    <w:rsid w:val="00A369D4"/>
    <w:rsid w:val="00A67809"/>
    <w:rsid w:val="00AA132A"/>
    <w:rsid w:val="00AB31B4"/>
    <w:rsid w:val="00AC6837"/>
    <w:rsid w:val="00AD6AE8"/>
    <w:rsid w:val="00B11566"/>
    <w:rsid w:val="00B35CCF"/>
    <w:rsid w:val="00B85E5A"/>
    <w:rsid w:val="00B9638E"/>
    <w:rsid w:val="00B97A6B"/>
    <w:rsid w:val="00BB562B"/>
    <w:rsid w:val="00BB78AE"/>
    <w:rsid w:val="00BD4191"/>
    <w:rsid w:val="00BD577A"/>
    <w:rsid w:val="00BE1479"/>
    <w:rsid w:val="00C14B3D"/>
    <w:rsid w:val="00C47633"/>
    <w:rsid w:val="00C55FA8"/>
    <w:rsid w:val="00C7657E"/>
    <w:rsid w:val="00C83F3B"/>
    <w:rsid w:val="00C94D14"/>
    <w:rsid w:val="00CB3447"/>
    <w:rsid w:val="00D22BC3"/>
    <w:rsid w:val="00D252B6"/>
    <w:rsid w:val="00D33DBA"/>
    <w:rsid w:val="00D4154B"/>
    <w:rsid w:val="00D62032"/>
    <w:rsid w:val="00D8565B"/>
    <w:rsid w:val="00DE5FBF"/>
    <w:rsid w:val="00DF72D6"/>
    <w:rsid w:val="00E551ED"/>
    <w:rsid w:val="00E6493F"/>
    <w:rsid w:val="00E8342B"/>
    <w:rsid w:val="00EB0D85"/>
    <w:rsid w:val="00EB1704"/>
    <w:rsid w:val="00F502DC"/>
    <w:rsid w:val="00F83D27"/>
    <w:rsid w:val="00FB3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224F"/>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4"/>
      </w:numPr>
      <w:spacing w:before="200" w:after="0" w:line="240" w:lineRule="auto"/>
    </w:pPr>
    <w:rPr>
      <w:rFonts w:cs="Times New Roman"/>
      <w:lang w:val="en-GB"/>
    </w:rPr>
  </w:style>
  <w:style w:type="paragraph" w:customStyle="1" w:styleId="Pointabc1">
    <w:name w:val="Point abc (1)"/>
    <w:basedOn w:val="prastasis"/>
    <w:rsid w:val="004F5635"/>
    <w:pPr>
      <w:numPr>
        <w:ilvl w:val="3"/>
        <w:numId w:val="4"/>
      </w:numPr>
      <w:spacing w:after="0" w:line="240" w:lineRule="auto"/>
    </w:pPr>
    <w:rPr>
      <w:rFonts w:cs="Times New Roman"/>
      <w:lang w:val="en-GB"/>
    </w:rPr>
  </w:style>
  <w:style w:type="paragraph" w:customStyle="1" w:styleId="Pointabc2">
    <w:name w:val="Point abc (2)"/>
    <w:basedOn w:val="prastasis"/>
    <w:rsid w:val="004F5635"/>
    <w:pPr>
      <w:numPr>
        <w:ilvl w:val="5"/>
        <w:numId w:val="4"/>
      </w:numPr>
      <w:spacing w:after="0" w:line="240" w:lineRule="auto"/>
    </w:pPr>
    <w:rPr>
      <w:rFonts w:cs="Times New Roman"/>
      <w:lang w:val="en-GB"/>
    </w:rPr>
  </w:style>
  <w:style w:type="paragraph" w:customStyle="1" w:styleId="Pointabc3">
    <w:name w:val="Point abc (3)"/>
    <w:basedOn w:val="prastasis"/>
    <w:rsid w:val="004F5635"/>
    <w:pPr>
      <w:numPr>
        <w:ilvl w:val="7"/>
        <w:numId w:val="4"/>
      </w:numPr>
      <w:spacing w:after="0" w:line="240" w:lineRule="auto"/>
    </w:pPr>
    <w:rPr>
      <w:rFonts w:cs="Times New Roman"/>
      <w:lang w:val="en-GB"/>
    </w:rPr>
  </w:style>
  <w:style w:type="paragraph" w:customStyle="1" w:styleId="Pointabc4">
    <w:name w:val="Point abc (4)"/>
    <w:basedOn w:val="prastasis"/>
    <w:rsid w:val="004F5635"/>
    <w:pPr>
      <w:numPr>
        <w:ilvl w:val="8"/>
        <w:numId w:val="4"/>
      </w:numPr>
      <w:spacing w:after="0" w:line="240" w:lineRule="auto"/>
    </w:pPr>
    <w:rPr>
      <w:rFonts w:cs="Times New Roman"/>
      <w:lang w:val="en-GB"/>
    </w:rPr>
  </w:style>
  <w:style w:type="paragraph" w:customStyle="1" w:styleId="Point123">
    <w:name w:val="Point 123"/>
    <w:basedOn w:val="prastasis"/>
    <w:rsid w:val="004F5635"/>
    <w:pPr>
      <w:numPr>
        <w:numId w:val="4"/>
      </w:numPr>
      <w:spacing w:before="200" w:after="0" w:line="240" w:lineRule="auto"/>
    </w:pPr>
    <w:rPr>
      <w:rFonts w:cs="Times New Roman"/>
      <w:lang w:val="en-GB"/>
    </w:rPr>
  </w:style>
  <w:style w:type="paragraph" w:customStyle="1" w:styleId="Point1231">
    <w:name w:val="Point 123 (1)"/>
    <w:basedOn w:val="prastasis"/>
    <w:rsid w:val="004F5635"/>
    <w:pPr>
      <w:numPr>
        <w:ilvl w:val="2"/>
        <w:numId w:val="4"/>
      </w:numPr>
      <w:spacing w:after="0" w:line="240" w:lineRule="auto"/>
    </w:pPr>
    <w:rPr>
      <w:rFonts w:cs="Times New Roman"/>
      <w:lang w:val="en-GB"/>
    </w:rPr>
  </w:style>
  <w:style w:type="paragraph" w:customStyle="1" w:styleId="Point1232">
    <w:name w:val="Point 123 (2)"/>
    <w:basedOn w:val="prastasis"/>
    <w:rsid w:val="004F5635"/>
    <w:pPr>
      <w:numPr>
        <w:ilvl w:val="4"/>
        <w:numId w:val="4"/>
      </w:numPr>
      <w:spacing w:after="0" w:line="240" w:lineRule="auto"/>
    </w:pPr>
    <w:rPr>
      <w:rFonts w:cs="Times New Roman"/>
      <w:lang w:val="en-GB"/>
    </w:rPr>
  </w:style>
  <w:style w:type="paragraph" w:customStyle="1" w:styleId="Point1233">
    <w:name w:val="Point 123 (3)"/>
    <w:basedOn w:val="prastasis"/>
    <w:rsid w:val="004F5635"/>
    <w:pPr>
      <w:numPr>
        <w:ilvl w:val="6"/>
        <w:numId w:val="4"/>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 w:type="paragraph" w:styleId="Puslapioinaostekstas">
    <w:name w:val="footnote text"/>
    <w:basedOn w:val="prastasis"/>
    <w:link w:val="PuslapioinaostekstasDiagrama"/>
    <w:uiPriority w:val="99"/>
    <w:semiHidden/>
    <w:unhideWhenUsed/>
    <w:rsid w:val="009E0F69"/>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9E0F69"/>
    <w:rPr>
      <w:sz w:val="20"/>
      <w:szCs w:val="20"/>
    </w:rPr>
  </w:style>
  <w:style w:type="character" w:styleId="Puslapioinaosnuoroda">
    <w:name w:val="footnote reference"/>
    <w:basedOn w:val="Numatytasispastraiposriftas"/>
    <w:uiPriority w:val="99"/>
    <w:semiHidden/>
    <w:unhideWhenUsed/>
    <w:rsid w:val="009E0F69"/>
    <w:rPr>
      <w:vertAlign w:val="superscript"/>
    </w:rPr>
  </w:style>
  <w:style w:type="character" w:styleId="Komentaronuoroda">
    <w:name w:val="annotation reference"/>
    <w:basedOn w:val="Numatytasispastraiposriftas"/>
    <w:uiPriority w:val="99"/>
    <w:semiHidden/>
    <w:unhideWhenUsed/>
    <w:rsid w:val="003B2B69"/>
    <w:rPr>
      <w:sz w:val="16"/>
      <w:szCs w:val="16"/>
    </w:rPr>
  </w:style>
  <w:style w:type="paragraph" w:styleId="Komentarotekstas">
    <w:name w:val="annotation text"/>
    <w:basedOn w:val="prastasis"/>
    <w:link w:val="KomentarotekstasDiagrama"/>
    <w:uiPriority w:val="99"/>
    <w:semiHidden/>
    <w:unhideWhenUsed/>
    <w:rsid w:val="003B2B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B2B6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3B2B69"/>
    <w:rPr>
      <w:b/>
      <w:bCs/>
    </w:rPr>
  </w:style>
  <w:style w:type="character" w:customStyle="1" w:styleId="KomentarotemaDiagrama">
    <w:name w:val="Komentaro tema Diagrama"/>
    <w:basedOn w:val="KomentarotekstasDiagrama"/>
    <w:link w:val="Komentarotema"/>
    <w:uiPriority w:val="99"/>
    <w:semiHidden/>
    <w:rsid w:val="003B2B69"/>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3B2B6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2B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224F"/>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4"/>
      </w:numPr>
      <w:spacing w:before="200" w:after="0" w:line="240" w:lineRule="auto"/>
    </w:pPr>
    <w:rPr>
      <w:rFonts w:cs="Times New Roman"/>
      <w:lang w:val="en-GB"/>
    </w:rPr>
  </w:style>
  <w:style w:type="paragraph" w:customStyle="1" w:styleId="Pointabc1">
    <w:name w:val="Point abc (1)"/>
    <w:basedOn w:val="prastasis"/>
    <w:rsid w:val="004F5635"/>
    <w:pPr>
      <w:numPr>
        <w:ilvl w:val="3"/>
        <w:numId w:val="4"/>
      </w:numPr>
      <w:spacing w:after="0" w:line="240" w:lineRule="auto"/>
    </w:pPr>
    <w:rPr>
      <w:rFonts w:cs="Times New Roman"/>
      <w:lang w:val="en-GB"/>
    </w:rPr>
  </w:style>
  <w:style w:type="paragraph" w:customStyle="1" w:styleId="Pointabc2">
    <w:name w:val="Point abc (2)"/>
    <w:basedOn w:val="prastasis"/>
    <w:rsid w:val="004F5635"/>
    <w:pPr>
      <w:numPr>
        <w:ilvl w:val="5"/>
        <w:numId w:val="4"/>
      </w:numPr>
      <w:spacing w:after="0" w:line="240" w:lineRule="auto"/>
    </w:pPr>
    <w:rPr>
      <w:rFonts w:cs="Times New Roman"/>
      <w:lang w:val="en-GB"/>
    </w:rPr>
  </w:style>
  <w:style w:type="paragraph" w:customStyle="1" w:styleId="Pointabc3">
    <w:name w:val="Point abc (3)"/>
    <w:basedOn w:val="prastasis"/>
    <w:rsid w:val="004F5635"/>
    <w:pPr>
      <w:numPr>
        <w:ilvl w:val="7"/>
        <w:numId w:val="4"/>
      </w:numPr>
      <w:spacing w:after="0" w:line="240" w:lineRule="auto"/>
    </w:pPr>
    <w:rPr>
      <w:rFonts w:cs="Times New Roman"/>
      <w:lang w:val="en-GB"/>
    </w:rPr>
  </w:style>
  <w:style w:type="paragraph" w:customStyle="1" w:styleId="Pointabc4">
    <w:name w:val="Point abc (4)"/>
    <w:basedOn w:val="prastasis"/>
    <w:rsid w:val="004F5635"/>
    <w:pPr>
      <w:numPr>
        <w:ilvl w:val="8"/>
        <w:numId w:val="4"/>
      </w:numPr>
      <w:spacing w:after="0" w:line="240" w:lineRule="auto"/>
    </w:pPr>
    <w:rPr>
      <w:rFonts w:cs="Times New Roman"/>
      <w:lang w:val="en-GB"/>
    </w:rPr>
  </w:style>
  <w:style w:type="paragraph" w:customStyle="1" w:styleId="Point123">
    <w:name w:val="Point 123"/>
    <w:basedOn w:val="prastasis"/>
    <w:rsid w:val="004F5635"/>
    <w:pPr>
      <w:numPr>
        <w:numId w:val="4"/>
      </w:numPr>
      <w:spacing w:before="200" w:after="0" w:line="240" w:lineRule="auto"/>
    </w:pPr>
    <w:rPr>
      <w:rFonts w:cs="Times New Roman"/>
      <w:lang w:val="en-GB"/>
    </w:rPr>
  </w:style>
  <w:style w:type="paragraph" w:customStyle="1" w:styleId="Point1231">
    <w:name w:val="Point 123 (1)"/>
    <w:basedOn w:val="prastasis"/>
    <w:rsid w:val="004F5635"/>
    <w:pPr>
      <w:numPr>
        <w:ilvl w:val="2"/>
        <w:numId w:val="4"/>
      </w:numPr>
      <w:spacing w:after="0" w:line="240" w:lineRule="auto"/>
    </w:pPr>
    <w:rPr>
      <w:rFonts w:cs="Times New Roman"/>
      <w:lang w:val="en-GB"/>
    </w:rPr>
  </w:style>
  <w:style w:type="paragraph" w:customStyle="1" w:styleId="Point1232">
    <w:name w:val="Point 123 (2)"/>
    <w:basedOn w:val="prastasis"/>
    <w:rsid w:val="004F5635"/>
    <w:pPr>
      <w:numPr>
        <w:ilvl w:val="4"/>
        <w:numId w:val="4"/>
      </w:numPr>
      <w:spacing w:after="0" w:line="240" w:lineRule="auto"/>
    </w:pPr>
    <w:rPr>
      <w:rFonts w:cs="Times New Roman"/>
      <w:lang w:val="en-GB"/>
    </w:rPr>
  </w:style>
  <w:style w:type="paragraph" w:customStyle="1" w:styleId="Point1233">
    <w:name w:val="Point 123 (3)"/>
    <w:basedOn w:val="prastasis"/>
    <w:rsid w:val="004F5635"/>
    <w:pPr>
      <w:numPr>
        <w:ilvl w:val="6"/>
        <w:numId w:val="4"/>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 w:type="paragraph" w:styleId="Puslapioinaostekstas">
    <w:name w:val="footnote text"/>
    <w:basedOn w:val="prastasis"/>
    <w:link w:val="PuslapioinaostekstasDiagrama"/>
    <w:uiPriority w:val="99"/>
    <w:semiHidden/>
    <w:unhideWhenUsed/>
    <w:rsid w:val="009E0F69"/>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9E0F69"/>
    <w:rPr>
      <w:sz w:val="20"/>
      <w:szCs w:val="20"/>
    </w:rPr>
  </w:style>
  <w:style w:type="character" w:styleId="Puslapioinaosnuoroda">
    <w:name w:val="footnote reference"/>
    <w:basedOn w:val="Numatytasispastraiposriftas"/>
    <w:uiPriority w:val="99"/>
    <w:semiHidden/>
    <w:unhideWhenUsed/>
    <w:rsid w:val="009E0F69"/>
    <w:rPr>
      <w:vertAlign w:val="superscript"/>
    </w:rPr>
  </w:style>
  <w:style w:type="character" w:styleId="Komentaronuoroda">
    <w:name w:val="annotation reference"/>
    <w:basedOn w:val="Numatytasispastraiposriftas"/>
    <w:uiPriority w:val="99"/>
    <w:semiHidden/>
    <w:unhideWhenUsed/>
    <w:rsid w:val="003B2B69"/>
    <w:rPr>
      <w:sz w:val="16"/>
      <w:szCs w:val="16"/>
    </w:rPr>
  </w:style>
  <w:style w:type="paragraph" w:styleId="Komentarotekstas">
    <w:name w:val="annotation text"/>
    <w:basedOn w:val="prastasis"/>
    <w:link w:val="KomentarotekstasDiagrama"/>
    <w:uiPriority w:val="99"/>
    <w:semiHidden/>
    <w:unhideWhenUsed/>
    <w:rsid w:val="003B2B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B2B6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3B2B69"/>
    <w:rPr>
      <w:b/>
      <w:bCs/>
    </w:rPr>
  </w:style>
  <w:style w:type="character" w:customStyle="1" w:styleId="KomentarotemaDiagrama">
    <w:name w:val="Komentaro tema Diagrama"/>
    <w:basedOn w:val="KomentarotekstasDiagrama"/>
    <w:link w:val="Komentarotema"/>
    <w:uiPriority w:val="99"/>
    <w:semiHidden/>
    <w:rsid w:val="003B2B69"/>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3B2B6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2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23899">
      <w:bodyDiv w:val="1"/>
      <w:marLeft w:val="0"/>
      <w:marRight w:val="0"/>
      <w:marTop w:val="0"/>
      <w:marBottom w:val="0"/>
      <w:divBdr>
        <w:top w:val="none" w:sz="0" w:space="0" w:color="auto"/>
        <w:left w:val="none" w:sz="0" w:space="0" w:color="auto"/>
        <w:bottom w:val="none" w:sz="0" w:space="0" w:color="auto"/>
        <w:right w:val="none" w:sz="0" w:space="0" w:color="auto"/>
      </w:divBdr>
    </w:div>
    <w:div w:id="1337684271">
      <w:bodyDiv w:val="1"/>
      <w:marLeft w:val="0"/>
      <w:marRight w:val="0"/>
      <w:marTop w:val="0"/>
      <w:marBottom w:val="0"/>
      <w:divBdr>
        <w:top w:val="none" w:sz="0" w:space="0" w:color="auto"/>
        <w:left w:val="none" w:sz="0" w:space="0" w:color="auto"/>
        <w:bottom w:val="none" w:sz="0" w:space="0" w:color="auto"/>
        <w:right w:val="none" w:sz="0" w:space="0" w:color="auto"/>
      </w:divBdr>
    </w:div>
    <w:div w:id="1415591921">
      <w:bodyDiv w:val="1"/>
      <w:marLeft w:val="0"/>
      <w:marRight w:val="0"/>
      <w:marTop w:val="0"/>
      <w:marBottom w:val="0"/>
      <w:divBdr>
        <w:top w:val="none" w:sz="0" w:space="0" w:color="auto"/>
        <w:left w:val="none" w:sz="0" w:space="0" w:color="auto"/>
        <w:bottom w:val="none" w:sz="0" w:space="0" w:color="auto"/>
        <w:right w:val="none" w:sz="0" w:space="0" w:color="auto"/>
      </w:divBdr>
    </w:div>
    <w:div w:id="1438871682">
      <w:bodyDiv w:val="1"/>
      <w:marLeft w:val="0"/>
      <w:marRight w:val="0"/>
      <w:marTop w:val="0"/>
      <w:marBottom w:val="0"/>
      <w:divBdr>
        <w:top w:val="none" w:sz="0" w:space="0" w:color="auto"/>
        <w:left w:val="none" w:sz="0" w:space="0" w:color="auto"/>
        <w:bottom w:val="none" w:sz="0" w:space="0" w:color="auto"/>
        <w:right w:val="none" w:sz="0" w:space="0" w:color="auto"/>
      </w:divBdr>
    </w:div>
    <w:div w:id="1461992523">
      <w:bodyDiv w:val="1"/>
      <w:marLeft w:val="0"/>
      <w:marRight w:val="0"/>
      <w:marTop w:val="0"/>
      <w:marBottom w:val="0"/>
      <w:divBdr>
        <w:top w:val="none" w:sz="0" w:space="0" w:color="auto"/>
        <w:left w:val="none" w:sz="0" w:space="0" w:color="auto"/>
        <w:bottom w:val="none" w:sz="0" w:space="0" w:color="auto"/>
        <w:right w:val="none" w:sz="0" w:space="0" w:color="auto"/>
      </w:divBdr>
      <w:divsChild>
        <w:div w:id="320502628">
          <w:marLeft w:val="0"/>
          <w:marRight w:val="0"/>
          <w:marTop w:val="0"/>
          <w:marBottom w:val="0"/>
          <w:divBdr>
            <w:top w:val="none" w:sz="0" w:space="0" w:color="auto"/>
            <w:left w:val="none" w:sz="0" w:space="0" w:color="auto"/>
            <w:bottom w:val="none" w:sz="0" w:space="0" w:color="auto"/>
            <w:right w:val="none" w:sz="0" w:space="0" w:color="auto"/>
          </w:divBdr>
          <w:divsChild>
            <w:div w:id="518472175">
              <w:marLeft w:val="0"/>
              <w:marRight w:val="0"/>
              <w:marTop w:val="0"/>
              <w:marBottom w:val="0"/>
              <w:divBdr>
                <w:top w:val="none" w:sz="0" w:space="0" w:color="auto"/>
                <w:left w:val="none" w:sz="0" w:space="0" w:color="auto"/>
                <w:bottom w:val="none" w:sz="0" w:space="0" w:color="auto"/>
                <w:right w:val="none" w:sz="0" w:space="0" w:color="auto"/>
              </w:divBdr>
              <w:divsChild>
                <w:div w:id="15245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324">
      <w:bodyDiv w:val="1"/>
      <w:marLeft w:val="0"/>
      <w:marRight w:val="0"/>
      <w:marTop w:val="0"/>
      <w:marBottom w:val="0"/>
      <w:divBdr>
        <w:top w:val="none" w:sz="0" w:space="0" w:color="auto"/>
        <w:left w:val="none" w:sz="0" w:space="0" w:color="auto"/>
        <w:bottom w:val="none" w:sz="0" w:space="0" w:color="auto"/>
        <w:right w:val="none" w:sz="0" w:space="0" w:color="auto"/>
      </w:divBdr>
      <w:divsChild>
        <w:div w:id="788744897">
          <w:marLeft w:val="0"/>
          <w:marRight w:val="0"/>
          <w:marTop w:val="0"/>
          <w:marBottom w:val="0"/>
          <w:divBdr>
            <w:top w:val="none" w:sz="0" w:space="0" w:color="auto"/>
            <w:left w:val="none" w:sz="0" w:space="0" w:color="auto"/>
            <w:bottom w:val="none" w:sz="0" w:space="0" w:color="auto"/>
            <w:right w:val="none" w:sz="0" w:space="0" w:color="auto"/>
          </w:divBdr>
          <w:divsChild>
            <w:div w:id="10256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FF652-3161-4DE7-98BF-29989E44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4489</Words>
  <Characters>2559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Markevičius</dc:creator>
  <cp:lastModifiedBy>Simona Narkevičienė</cp:lastModifiedBy>
  <cp:revision>3</cp:revision>
  <dcterms:created xsi:type="dcterms:W3CDTF">2020-05-11T11:20:00Z</dcterms:created>
  <dcterms:modified xsi:type="dcterms:W3CDTF">2020-05-11T11:29:00Z</dcterms:modified>
</cp:coreProperties>
</file>