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10893" w:rsidRDefault="007471D4">
      <w:pPr>
        <w:pBdr>
          <w:top w:val="nil"/>
          <w:left w:val="nil"/>
          <w:bottom w:val="nil"/>
          <w:right w:val="nil"/>
          <w:between w:val="nil"/>
        </w:pBdr>
        <w:ind w:firstLine="312"/>
        <w:jc w:val="center"/>
        <w:rPr>
          <w:b/>
          <w:color w:val="000000"/>
        </w:rPr>
      </w:pPr>
      <w:r>
        <w:rPr>
          <w:b/>
          <w:color w:val="000000"/>
        </w:rPr>
        <w:t xml:space="preserve">SCHEME FOR THE FINANCIAL </w:t>
      </w:r>
      <w:r>
        <w:rPr>
          <w:b/>
          <w:smallCaps/>
          <w:color w:val="000000"/>
        </w:rPr>
        <w:t>INSTRUMENT “AID FUND FOR BUSINESS”</w:t>
      </w:r>
    </w:p>
    <w:p w:rsidR="00E10893" w:rsidRDefault="00E10893">
      <w:pPr>
        <w:pBdr>
          <w:top w:val="nil"/>
          <w:left w:val="nil"/>
          <w:bottom w:val="nil"/>
          <w:right w:val="nil"/>
          <w:between w:val="nil"/>
        </w:pBdr>
        <w:ind w:firstLine="312"/>
        <w:jc w:val="both"/>
        <w:rPr>
          <w:color w:val="000000"/>
        </w:rPr>
      </w:pPr>
    </w:p>
    <w:tbl>
      <w:tblPr>
        <w:tblStyle w:val="a3"/>
        <w:tblW w:w="9915" w:type="dxa"/>
        <w:tblInd w:w="-17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10"/>
        <w:gridCol w:w="1815"/>
        <w:gridCol w:w="7590"/>
      </w:tblGrid>
      <w:tr w:rsidR="00E10893">
        <w:trPr>
          <w:trHeight w:val="60"/>
        </w:trPr>
        <w:tc>
          <w:tcPr>
            <w:tcW w:w="510"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cPr>
          <w:p w:rsidR="00E10893" w:rsidRDefault="007471D4">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No</w:t>
            </w:r>
          </w:p>
        </w:tc>
        <w:tc>
          <w:tcPr>
            <w:tcW w:w="1815"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cPr>
          <w:p w:rsidR="00E10893" w:rsidRDefault="007471D4">
            <w:pPr>
              <w:pBdr>
                <w:top w:val="nil"/>
                <w:left w:val="nil"/>
                <w:bottom w:val="nil"/>
                <w:right w:val="nil"/>
                <w:between w:val="nil"/>
              </w:pBd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Main elements</w:t>
            </w:r>
          </w:p>
        </w:tc>
        <w:tc>
          <w:tcPr>
            <w:tcW w:w="7590"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cPr>
          <w:p w:rsidR="00E10893" w:rsidRDefault="007471D4">
            <w:pPr>
              <w:pBdr>
                <w:top w:val="nil"/>
                <w:left w:val="nil"/>
                <w:bottom w:val="nil"/>
                <w:right w:val="nil"/>
                <w:between w:val="nil"/>
              </w:pBd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Explanation</w:t>
            </w:r>
          </w:p>
        </w:tc>
      </w:tr>
      <w:tr w:rsidR="00E10893">
        <w:trPr>
          <w:trHeight w:val="60"/>
        </w:trPr>
        <w:tc>
          <w:tcPr>
            <w:tcW w:w="510" w:type="dxa"/>
            <w:tcBorders>
              <w:top w:val="single" w:sz="4" w:space="0" w:color="000000"/>
              <w:left w:val="single" w:sz="4" w:space="0" w:color="000000"/>
              <w:bottom w:val="single" w:sz="4" w:space="0" w:color="000000"/>
              <w:right w:val="single" w:sz="4" w:space="0" w:color="000000"/>
            </w:tcBorders>
          </w:tcPr>
          <w:p w:rsidR="00E10893" w:rsidRDefault="007471D4">
            <w:pPr>
              <w:pBdr>
                <w:top w:val="nil"/>
                <w:left w:val="nil"/>
                <w:bottom w:val="nil"/>
                <w:right w:val="nil"/>
                <w:between w:val="nil"/>
              </w:pBd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1815"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cPr>
          <w:p w:rsidR="00E10893" w:rsidRDefault="007471D4">
            <w:pPr>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Legal basis</w:t>
            </w:r>
          </w:p>
          <w:p w:rsidR="00E10893" w:rsidRDefault="00E10893">
            <w:pPr>
              <w:pBdr>
                <w:top w:val="nil"/>
                <w:left w:val="nil"/>
                <w:bottom w:val="nil"/>
                <w:right w:val="nil"/>
                <w:between w:val="nil"/>
              </w:pBdr>
              <w:rPr>
                <w:rFonts w:ascii="Times New Roman" w:eastAsia="Times New Roman" w:hAnsi="Times New Roman" w:cs="Times New Roman"/>
                <w:color w:val="000000"/>
                <w:sz w:val="24"/>
                <w:szCs w:val="24"/>
              </w:rPr>
            </w:pPr>
          </w:p>
        </w:tc>
        <w:tc>
          <w:tcPr>
            <w:tcW w:w="7590"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cPr>
          <w:p w:rsidR="00E10893" w:rsidRDefault="007471D4">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Communication of the European Commission of 19 March 2020 on the Temporary Framework for State aid measures to support the economy in the current COVID-19 outbreak, </w:t>
            </w:r>
            <w:r>
              <w:rPr>
                <w:rFonts w:ascii="Times New Roman" w:eastAsia="Times New Roman" w:hAnsi="Times New Roman" w:cs="Times New Roman"/>
                <w:sz w:val="24"/>
                <w:szCs w:val="24"/>
                <w:highlight w:val="yellow"/>
              </w:rPr>
              <w:t>with latest amend</w:t>
            </w:r>
            <w:bookmarkStart w:id="0" w:name="_GoBack"/>
            <w:bookmarkEnd w:id="0"/>
            <w:r>
              <w:rPr>
                <w:rFonts w:ascii="Times New Roman" w:eastAsia="Times New Roman" w:hAnsi="Times New Roman" w:cs="Times New Roman"/>
                <w:sz w:val="24"/>
                <w:szCs w:val="24"/>
                <w:highlight w:val="yellow"/>
              </w:rPr>
              <w:t>ments of 3 April 2020</w:t>
            </w:r>
            <w:r>
              <w:rPr>
                <w:rFonts w:ascii="Times New Roman" w:eastAsia="Times New Roman" w:hAnsi="Times New Roman" w:cs="Times New Roman"/>
                <w:sz w:val="24"/>
                <w:szCs w:val="24"/>
              </w:rPr>
              <w:t>, Communication of the European Commission on the</w:t>
            </w:r>
            <w:r>
              <w:rPr>
                <w:rFonts w:ascii="Times New Roman" w:eastAsia="Times New Roman" w:hAnsi="Times New Roman" w:cs="Times New Roman"/>
                <w:sz w:val="24"/>
                <w:szCs w:val="24"/>
              </w:rPr>
              <w:t xml:space="preserve"> Amendment to the Temporary Framework for State aid measures to support the economy in the current COVID-19 outbreak (hereinafter – Communication).</w:t>
            </w:r>
          </w:p>
          <w:p w:rsidR="00E10893" w:rsidRDefault="007471D4">
            <w:pPr>
              <w:jc w:val="both"/>
              <w:rPr>
                <w:rFonts w:ascii="Times New Roman" w:eastAsia="Times New Roman" w:hAnsi="Times New Roman" w:cs="Times New Roman"/>
                <w:sz w:val="24"/>
                <w:szCs w:val="24"/>
                <w:highlight w:val="yellow"/>
              </w:rPr>
            </w:pPr>
            <w:r>
              <w:rPr>
                <w:rFonts w:ascii="Times New Roman" w:eastAsia="Times New Roman" w:hAnsi="Times New Roman" w:cs="Times New Roman"/>
                <w:sz w:val="24"/>
                <w:szCs w:val="24"/>
                <w:highlight w:val="yellow"/>
              </w:rPr>
              <w:t>Decision No ... of the European Commission Directorate-General for Competition of ... April 2020.</w:t>
            </w:r>
          </w:p>
          <w:p w:rsidR="00E10893" w:rsidRDefault="00E10893">
            <w:pPr>
              <w:pBdr>
                <w:top w:val="nil"/>
                <w:left w:val="nil"/>
                <w:bottom w:val="nil"/>
                <w:right w:val="nil"/>
                <w:between w:val="nil"/>
              </w:pBdr>
              <w:jc w:val="both"/>
              <w:rPr>
                <w:rFonts w:ascii="Times New Roman" w:eastAsia="Times New Roman" w:hAnsi="Times New Roman" w:cs="Times New Roman"/>
                <w:color w:val="000000"/>
                <w:sz w:val="24"/>
                <w:szCs w:val="24"/>
              </w:rPr>
            </w:pPr>
          </w:p>
        </w:tc>
      </w:tr>
      <w:tr w:rsidR="00E10893">
        <w:trPr>
          <w:trHeight w:val="512"/>
        </w:trPr>
        <w:tc>
          <w:tcPr>
            <w:tcW w:w="510" w:type="dxa"/>
            <w:tcBorders>
              <w:top w:val="single" w:sz="4" w:space="0" w:color="000000"/>
              <w:left w:val="single" w:sz="4" w:space="0" w:color="000000"/>
              <w:bottom w:val="single" w:sz="4" w:space="0" w:color="000000"/>
              <w:right w:val="single" w:sz="4" w:space="0" w:color="000000"/>
            </w:tcBorders>
          </w:tcPr>
          <w:p w:rsidR="00E10893" w:rsidRDefault="007471D4">
            <w:pPr>
              <w:pBdr>
                <w:top w:val="nil"/>
                <w:left w:val="nil"/>
                <w:bottom w:val="nil"/>
                <w:right w:val="nil"/>
                <w:between w:val="nil"/>
              </w:pBd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1815"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cPr>
          <w:p w:rsidR="00E10893" w:rsidRDefault="007471D4">
            <w:pPr>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Goals of </w:t>
            </w:r>
            <w:r>
              <w:rPr>
                <w:rFonts w:ascii="Times New Roman" w:eastAsia="Times New Roman" w:hAnsi="Times New Roman" w:cs="Times New Roman"/>
                <w:sz w:val="24"/>
                <w:szCs w:val="24"/>
              </w:rPr>
              <w:t>the financial incentive instrument</w:t>
            </w:r>
          </w:p>
        </w:tc>
        <w:tc>
          <w:tcPr>
            <w:tcW w:w="7590"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cPr>
          <w:p w:rsidR="00E10893" w:rsidRDefault="007471D4">
            <w:pPr>
              <w:rPr>
                <w:rFonts w:ascii="Times New Roman" w:eastAsia="Times New Roman" w:hAnsi="Times New Roman" w:cs="Times New Roman"/>
                <w:sz w:val="24"/>
                <w:szCs w:val="24"/>
              </w:rPr>
            </w:pPr>
            <w:r>
              <w:rPr>
                <w:rFonts w:ascii="Times New Roman" w:eastAsia="Times New Roman" w:hAnsi="Times New Roman" w:cs="Times New Roman"/>
                <w:sz w:val="24"/>
                <w:szCs w:val="24"/>
              </w:rPr>
              <w:t>Goals of the financial incentive instrument “Aid Fund for Business” (hereinafter – the Instrument) are as follows:</w:t>
            </w:r>
          </w:p>
          <w:p w:rsidR="00E10893" w:rsidRDefault="00E10893">
            <w:pPr>
              <w:pBdr>
                <w:top w:val="nil"/>
                <w:left w:val="nil"/>
                <w:bottom w:val="nil"/>
                <w:right w:val="nil"/>
                <w:between w:val="nil"/>
              </w:pBdr>
              <w:tabs>
                <w:tab w:val="left" w:pos="591"/>
              </w:tabs>
              <w:jc w:val="both"/>
              <w:rPr>
                <w:rFonts w:ascii="Times New Roman" w:eastAsia="Times New Roman" w:hAnsi="Times New Roman" w:cs="Times New Roman"/>
                <w:sz w:val="24"/>
                <w:szCs w:val="24"/>
              </w:rPr>
            </w:pPr>
          </w:p>
          <w:p w:rsidR="00E10893" w:rsidRDefault="007471D4">
            <w:pPr>
              <w:numPr>
                <w:ilvl w:val="0"/>
                <w:numId w:val="11"/>
              </w:numPr>
              <w:pBdr>
                <w:top w:val="nil"/>
                <w:left w:val="nil"/>
                <w:bottom w:val="nil"/>
                <w:right w:val="nil"/>
                <w:between w:val="nil"/>
              </w:pBd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Provision of investment to medium-sized and large enterprises, if termination of their activitie</w:t>
            </w:r>
            <w:r>
              <w:rPr>
                <w:rFonts w:ascii="Times New Roman" w:eastAsia="Times New Roman" w:hAnsi="Times New Roman" w:cs="Times New Roman"/>
                <w:sz w:val="24"/>
                <w:szCs w:val="24"/>
              </w:rPr>
              <w:t>s is likely to cause a chain reaction and affect related entities and/or have significant socio-economic consequences;</w:t>
            </w:r>
          </w:p>
          <w:p w:rsidR="00E10893" w:rsidRDefault="007471D4">
            <w:pPr>
              <w:numPr>
                <w:ilvl w:val="0"/>
                <w:numId w:val="11"/>
              </w:numPr>
              <w:pBdr>
                <w:top w:val="nil"/>
                <w:left w:val="nil"/>
                <w:bottom w:val="nil"/>
                <w:right w:val="nil"/>
                <w:between w:val="nil"/>
              </w:pBd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Preservation of the key economic sectors which will be better prepared for the recovery period;</w:t>
            </w:r>
          </w:p>
          <w:p w:rsidR="00E10893" w:rsidRDefault="007471D4">
            <w:pPr>
              <w:numPr>
                <w:ilvl w:val="0"/>
                <w:numId w:val="11"/>
              </w:numPr>
              <w:pBdr>
                <w:top w:val="nil"/>
                <w:left w:val="nil"/>
                <w:bottom w:val="nil"/>
                <w:right w:val="nil"/>
                <w:between w:val="nil"/>
              </w:pBd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Stimulation of the capital market by prio</w:t>
            </w:r>
            <w:r>
              <w:rPr>
                <w:rFonts w:ascii="Times New Roman" w:eastAsia="Times New Roman" w:hAnsi="Times New Roman" w:cs="Times New Roman"/>
                <w:sz w:val="24"/>
                <w:szCs w:val="24"/>
              </w:rPr>
              <w:t>ritising capital market instruments;</w:t>
            </w:r>
          </w:p>
          <w:p w:rsidR="00E10893" w:rsidRDefault="007471D4">
            <w:pPr>
              <w:numPr>
                <w:ilvl w:val="0"/>
                <w:numId w:val="11"/>
              </w:numPr>
              <w:pBdr>
                <w:top w:val="nil"/>
                <w:left w:val="nil"/>
                <w:bottom w:val="nil"/>
                <w:right w:val="nil"/>
                <w:between w:val="nil"/>
              </w:pBd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Attraction of private investors;</w:t>
            </w:r>
          </w:p>
          <w:p w:rsidR="00E10893" w:rsidRDefault="007471D4">
            <w:pPr>
              <w:numPr>
                <w:ilvl w:val="0"/>
                <w:numId w:val="11"/>
              </w:numPr>
              <w:pBdr>
                <w:top w:val="nil"/>
                <w:left w:val="nil"/>
                <w:bottom w:val="nil"/>
                <w:right w:val="nil"/>
                <w:between w:val="nil"/>
              </w:pBd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Implementation of specific objectives (e.g. sustainable and green investment) set out in the Investor Agreement in certain economic sectors.</w:t>
            </w:r>
          </w:p>
        </w:tc>
      </w:tr>
      <w:tr w:rsidR="00E10893">
        <w:trPr>
          <w:trHeight w:val="512"/>
        </w:trPr>
        <w:tc>
          <w:tcPr>
            <w:tcW w:w="510" w:type="dxa"/>
            <w:tcBorders>
              <w:top w:val="single" w:sz="4" w:space="0" w:color="000000"/>
              <w:left w:val="single" w:sz="4" w:space="0" w:color="000000"/>
              <w:bottom w:val="single" w:sz="4" w:space="0" w:color="000000"/>
              <w:right w:val="single" w:sz="4" w:space="0" w:color="000000"/>
            </w:tcBorders>
          </w:tcPr>
          <w:p w:rsidR="00E10893" w:rsidRDefault="007471D4">
            <w:pPr>
              <w:pBdr>
                <w:top w:val="nil"/>
                <w:left w:val="nil"/>
                <w:bottom w:val="nil"/>
                <w:right w:val="nil"/>
                <w:between w:val="nil"/>
              </w:pBd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3.</w:t>
            </w:r>
          </w:p>
        </w:tc>
        <w:tc>
          <w:tcPr>
            <w:tcW w:w="1815"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cPr>
          <w:p w:rsidR="00E10893" w:rsidRDefault="007471D4">
            <w:pPr>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Amount of planned funding</w:t>
            </w:r>
          </w:p>
        </w:tc>
        <w:tc>
          <w:tcPr>
            <w:tcW w:w="7590"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cPr>
          <w:p w:rsidR="00E10893" w:rsidRDefault="007471D4">
            <w:pPr>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xml:space="preserve">Up to €100 million (one hundred million euro) of the State budget of the Republic of Lithuania and up to €400 million (four hundred million euro) for government-guaranteed bonds issued by the </w:t>
            </w:r>
            <w:r>
              <w:rPr>
                <w:rFonts w:ascii="Times New Roman" w:eastAsia="Times New Roman" w:hAnsi="Times New Roman" w:cs="Times New Roman"/>
                <w:sz w:val="24"/>
                <w:szCs w:val="24"/>
              </w:rPr>
              <w:t>private limited liability company established by the State</w:t>
            </w:r>
            <w:r>
              <w:rPr>
                <w:rFonts w:ascii="Times New Roman" w:eastAsia="Times New Roman" w:hAnsi="Times New Roman" w:cs="Times New Roman"/>
                <w:color w:val="000000"/>
                <w:sz w:val="24"/>
                <w:szCs w:val="24"/>
              </w:rPr>
              <w:t>.</w:t>
            </w:r>
          </w:p>
        </w:tc>
      </w:tr>
      <w:tr w:rsidR="00E10893">
        <w:trPr>
          <w:trHeight w:val="554"/>
        </w:trPr>
        <w:tc>
          <w:tcPr>
            <w:tcW w:w="510" w:type="dxa"/>
            <w:tcBorders>
              <w:top w:val="single" w:sz="4" w:space="0" w:color="000000"/>
              <w:left w:val="single" w:sz="4" w:space="0" w:color="000000"/>
              <w:bottom w:val="single" w:sz="4" w:space="0" w:color="000000"/>
              <w:right w:val="single" w:sz="4" w:space="0" w:color="000000"/>
            </w:tcBorders>
          </w:tcPr>
          <w:p w:rsidR="00E10893" w:rsidRDefault="007471D4">
            <w:pPr>
              <w:pBdr>
                <w:top w:val="nil"/>
                <w:left w:val="nil"/>
                <w:bottom w:val="nil"/>
                <w:right w:val="nil"/>
                <w:between w:val="nil"/>
              </w:pBd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4.</w:t>
            </w:r>
          </w:p>
        </w:tc>
        <w:tc>
          <w:tcPr>
            <w:tcW w:w="1815"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cPr>
          <w:p w:rsidR="00E10893" w:rsidRDefault="007471D4">
            <w:pPr>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Duration of the scheme</w:t>
            </w:r>
          </w:p>
        </w:tc>
        <w:tc>
          <w:tcPr>
            <w:tcW w:w="7590"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cPr>
          <w:p w:rsidR="00E10893" w:rsidRDefault="007471D4">
            <w:pPr>
              <w:pBdr>
                <w:top w:val="nil"/>
                <w:left w:val="nil"/>
                <w:bottom w:val="nil"/>
                <w:right w:val="nil"/>
                <w:between w:val="nil"/>
              </w:pBd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Until 31 December 2030, but financing agreements are concluded during the period of the application of the Communication of the European Commission of 19 March 2020 on the Temporary Framework for State aid measures to support the economy in the current COV</w:t>
            </w:r>
            <w:r>
              <w:rPr>
                <w:rFonts w:ascii="Times New Roman" w:eastAsia="Times New Roman" w:hAnsi="Times New Roman" w:cs="Times New Roman"/>
                <w:color w:val="000000"/>
                <w:sz w:val="24"/>
                <w:szCs w:val="24"/>
              </w:rPr>
              <w:t xml:space="preserve">ID-19 outbreak, i.e. until </w:t>
            </w:r>
            <w:r>
              <w:rPr>
                <w:rFonts w:ascii="Times New Roman" w:eastAsia="Times New Roman" w:hAnsi="Times New Roman" w:cs="Times New Roman"/>
                <w:color w:val="000000"/>
                <w:sz w:val="24"/>
                <w:szCs w:val="24"/>
                <w:highlight w:val="yellow"/>
              </w:rPr>
              <w:t>[30 June 2021</w:t>
            </w:r>
            <w:r>
              <w:rPr>
                <w:rFonts w:ascii="Times New Roman" w:eastAsia="Times New Roman" w:hAnsi="Times New Roman" w:cs="Times New Roman"/>
                <w:sz w:val="24"/>
                <w:szCs w:val="24"/>
                <w:highlight w:val="yellow"/>
              </w:rPr>
              <w:t>]</w:t>
            </w:r>
            <w:r>
              <w:rPr>
                <w:rFonts w:ascii="Times New Roman" w:eastAsia="Times New Roman" w:hAnsi="Times New Roman" w:cs="Times New Roman"/>
                <w:color w:val="000000"/>
                <w:sz w:val="24"/>
                <w:szCs w:val="24"/>
              </w:rPr>
              <w:t>, or if the period of application is extended – until the indicated date.</w:t>
            </w:r>
          </w:p>
        </w:tc>
      </w:tr>
      <w:tr w:rsidR="00E10893">
        <w:trPr>
          <w:trHeight w:val="715"/>
        </w:trPr>
        <w:tc>
          <w:tcPr>
            <w:tcW w:w="510" w:type="dxa"/>
            <w:tcBorders>
              <w:top w:val="single" w:sz="4" w:space="0" w:color="000000"/>
              <w:left w:val="single" w:sz="4" w:space="0" w:color="000000"/>
              <w:bottom w:val="single" w:sz="4" w:space="0" w:color="000000"/>
              <w:right w:val="single" w:sz="4" w:space="0" w:color="000000"/>
            </w:tcBorders>
          </w:tcPr>
          <w:p w:rsidR="00E10893" w:rsidRDefault="007471D4">
            <w:pPr>
              <w:pBdr>
                <w:top w:val="nil"/>
                <w:left w:val="nil"/>
                <w:bottom w:val="nil"/>
                <w:right w:val="nil"/>
                <w:between w:val="nil"/>
              </w:pBd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5.</w:t>
            </w:r>
          </w:p>
        </w:tc>
        <w:tc>
          <w:tcPr>
            <w:tcW w:w="1815"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cPr>
          <w:p w:rsidR="00E10893" w:rsidRDefault="007471D4">
            <w:pPr>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Management of the </w:t>
            </w:r>
            <w:r>
              <w:rPr>
                <w:rFonts w:ascii="Times New Roman" w:eastAsia="Times New Roman" w:hAnsi="Times New Roman" w:cs="Times New Roman"/>
                <w:sz w:val="24"/>
                <w:szCs w:val="24"/>
              </w:rPr>
              <w:t>I</w:t>
            </w:r>
            <w:r>
              <w:rPr>
                <w:rFonts w:ascii="Times New Roman" w:eastAsia="Times New Roman" w:hAnsi="Times New Roman" w:cs="Times New Roman"/>
                <w:color w:val="000000"/>
                <w:sz w:val="24"/>
                <w:szCs w:val="24"/>
              </w:rPr>
              <w:t xml:space="preserve">nstrument </w:t>
            </w:r>
          </w:p>
          <w:p w:rsidR="00E10893" w:rsidRDefault="00E10893">
            <w:pPr>
              <w:pBdr>
                <w:top w:val="nil"/>
                <w:left w:val="nil"/>
                <w:bottom w:val="nil"/>
                <w:right w:val="nil"/>
                <w:between w:val="nil"/>
              </w:pBdr>
              <w:rPr>
                <w:rFonts w:ascii="Times New Roman" w:eastAsia="Times New Roman" w:hAnsi="Times New Roman" w:cs="Times New Roman"/>
                <w:color w:val="000000"/>
                <w:sz w:val="24"/>
                <w:szCs w:val="24"/>
              </w:rPr>
            </w:pPr>
          </w:p>
        </w:tc>
        <w:tc>
          <w:tcPr>
            <w:tcW w:w="7590"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cPr>
          <w:p w:rsidR="00E10893" w:rsidRDefault="007471D4">
            <w:pPr>
              <w:pBdr>
                <w:top w:val="nil"/>
                <w:left w:val="nil"/>
                <w:bottom w:val="nil"/>
                <w:right w:val="nil"/>
                <w:between w:val="nil"/>
              </w:pBdr>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Structure</w:t>
            </w:r>
          </w:p>
          <w:p w:rsidR="00E10893" w:rsidRDefault="007471D4">
            <w:pPr>
              <w:numPr>
                <w:ilvl w:val="0"/>
                <w:numId w:val="11"/>
              </w:numPr>
              <w:pBdr>
                <w:top w:val="nil"/>
                <w:left w:val="nil"/>
                <w:bottom w:val="nil"/>
                <w:right w:val="nil"/>
                <w:between w:val="nil"/>
              </w:pBd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Instrument </w:t>
            </w:r>
            <w:r>
              <w:rPr>
                <w:rFonts w:ascii="Times New Roman" w:eastAsia="Times New Roman" w:hAnsi="Times New Roman" w:cs="Times New Roman"/>
                <w:sz w:val="24"/>
                <w:szCs w:val="24"/>
              </w:rPr>
              <w:t xml:space="preserve">will be implemented by the State established Fund which is structured as a limited partnership (hereinafter – Fund). </w:t>
            </w:r>
          </w:p>
          <w:p w:rsidR="00E10893" w:rsidRDefault="007471D4">
            <w:pPr>
              <w:numPr>
                <w:ilvl w:val="0"/>
                <w:numId w:val="11"/>
              </w:numPr>
              <w:pBdr>
                <w:top w:val="nil"/>
                <w:left w:val="nil"/>
                <w:bottom w:val="nil"/>
                <w:right w:val="nil"/>
                <w:between w:val="nil"/>
              </w:pBd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State participates as a Founding Limited Partner through a private limited liability company established by the State with the Ministr</w:t>
            </w:r>
            <w:r>
              <w:rPr>
                <w:rFonts w:ascii="Times New Roman" w:eastAsia="Times New Roman" w:hAnsi="Times New Roman" w:cs="Times New Roman"/>
                <w:sz w:val="24"/>
                <w:szCs w:val="24"/>
              </w:rPr>
              <w:t>y of Economy and Innovation of the Republic of Lithuania. This Founding Limited Partner shall provide the initial capital for the Fund (€100 million) and have a right to issue bonds (not exceeding €400 million) with a State guarantee.</w:t>
            </w:r>
          </w:p>
          <w:p w:rsidR="00E10893" w:rsidRDefault="007471D4">
            <w:pPr>
              <w:numPr>
                <w:ilvl w:val="0"/>
                <w:numId w:val="11"/>
              </w:num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Bank of Lithuania</w:t>
            </w:r>
            <w:r>
              <w:rPr>
                <w:rFonts w:ascii="Times New Roman" w:eastAsia="Times New Roman" w:hAnsi="Times New Roman" w:cs="Times New Roman"/>
                <w:sz w:val="24"/>
                <w:szCs w:val="24"/>
              </w:rPr>
              <w:t xml:space="preserve"> will also act as a Founding Limited Partner.</w:t>
            </w:r>
          </w:p>
          <w:p w:rsidR="00E10893" w:rsidRDefault="007471D4">
            <w:pPr>
              <w:numPr>
                <w:ilvl w:val="0"/>
                <w:numId w:val="11"/>
              </w:numPr>
              <w:pBdr>
                <w:top w:val="nil"/>
                <w:left w:val="nil"/>
                <w:bottom w:val="nil"/>
                <w:right w:val="nil"/>
                <w:between w:val="nil"/>
              </w:pBd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total target size of the Fund (€1 billion) shall be achieved with participation of private Limited Partners. Private investors shall be </w:t>
            </w:r>
            <w:r>
              <w:rPr>
                <w:rFonts w:ascii="Times New Roman" w:eastAsia="Times New Roman" w:hAnsi="Times New Roman" w:cs="Times New Roman"/>
                <w:sz w:val="24"/>
                <w:szCs w:val="24"/>
              </w:rPr>
              <w:lastRenderedPageBreak/>
              <w:t>selected through an open, transparent and non-discriminatory call. Int</w:t>
            </w:r>
            <w:r>
              <w:rPr>
                <w:rFonts w:ascii="Times New Roman" w:eastAsia="Times New Roman" w:hAnsi="Times New Roman" w:cs="Times New Roman"/>
                <w:sz w:val="24"/>
                <w:szCs w:val="24"/>
              </w:rPr>
              <w:t>ernational financial institutions will be also invited to invest.</w:t>
            </w:r>
          </w:p>
          <w:p w:rsidR="00E10893" w:rsidRDefault="007471D4">
            <w:pPr>
              <w:numPr>
                <w:ilvl w:val="0"/>
                <w:numId w:val="11"/>
              </w:numPr>
              <w:pBdr>
                <w:top w:val="nil"/>
                <w:left w:val="nil"/>
                <w:bottom w:val="nil"/>
                <w:right w:val="nil"/>
                <w:between w:val="nil"/>
              </w:pBd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General Partner (responsible for managing the Fund) shall be the subsidiary of the Ministry of Finance of the Republic of Lithuania. The General Partner will be remunerated through </w:t>
            </w:r>
            <w:r>
              <w:rPr>
                <w:rFonts w:ascii="Times New Roman" w:eastAsia="Times New Roman" w:hAnsi="Times New Roman" w:cs="Times New Roman"/>
                <w:sz w:val="24"/>
                <w:szCs w:val="24"/>
              </w:rPr>
              <w:t>the investment management fee.</w:t>
            </w:r>
          </w:p>
          <w:p w:rsidR="00E10893" w:rsidRDefault="00E10893">
            <w:pPr>
              <w:pBdr>
                <w:top w:val="nil"/>
                <w:left w:val="nil"/>
                <w:bottom w:val="nil"/>
                <w:right w:val="nil"/>
                <w:between w:val="nil"/>
              </w:pBdr>
              <w:jc w:val="both"/>
              <w:rPr>
                <w:rFonts w:ascii="Times New Roman" w:eastAsia="Times New Roman" w:hAnsi="Times New Roman" w:cs="Times New Roman"/>
                <w:sz w:val="24"/>
                <w:szCs w:val="24"/>
              </w:rPr>
            </w:pPr>
          </w:p>
          <w:p w:rsidR="00E10893" w:rsidRDefault="007471D4">
            <w:pPr>
              <w:pBdr>
                <w:top w:val="nil"/>
                <w:left w:val="nil"/>
                <w:bottom w:val="nil"/>
                <w:right w:val="nil"/>
                <w:between w:val="nil"/>
              </w:pBdr>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Open call for private investors</w:t>
            </w:r>
          </w:p>
          <w:p w:rsidR="00E10893" w:rsidRDefault="007471D4">
            <w:pPr>
              <w:numPr>
                <w:ilvl w:val="0"/>
                <w:numId w:val="1"/>
              </w:numPr>
              <w:pBdr>
                <w:top w:val="nil"/>
                <w:left w:val="nil"/>
                <w:bottom w:val="nil"/>
                <w:right w:val="nil"/>
                <w:between w:val="nil"/>
              </w:pBd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State will announce an </w:t>
            </w:r>
            <w:proofErr w:type="spellStart"/>
            <w:r>
              <w:rPr>
                <w:rFonts w:ascii="Times New Roman" w:eastAsia="Times New Roman" w:hAnsi="Times New Roman" w:cs="Times New Roman"/>
                <w:sz w:val="24"/>
                <w:szCs w:val="24"/>
              </w:rPr>
              <w:t>ongoing</w:t>
            </w:r>
            <w:proofErr w:type="spellEnd"/>
            <w:r>
              <w:rPr>
                <w:rFonts w:ascii="Times New Roman" w:eastAsia="Times New Roman" w:hAnsi="Times New Roman" w:cs="Times New Roman"/>
                <w:sz w:val="24"/>
                <w:szCs w:val="24"/>
              </w:rPr>
              <w:t xml:space="preserve"> public call to select private investors. All institutional investors of good repute may apply during the period for signing investment contracts.</w:t>
            </w:r>
          </w:p>
          <w:p w:rsidR="00E10893" w:rsidRDefault="007471D4">
            <w:pPr>
              <w:numPr>
                <w:ilvl w:val="0"/>
                <w:numId w:val="1"/>
              </w:numPr>
              <w:pBdr>
                <w:top w:val="nil"/>
                <w:left w:val="nil"/>
                <w:bottom w:val="nil"/>
                <w:right w:val="nil"/>
                <w:between w:val="nil"/>
              </w:pBd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selecte</w:t>
            </w:r>
            <w:r>
              <w:rPr>
                <w:rFonts w:ascii="Times New Roman" w:eastAsia="Times New Roman" w:hAnsi="Times New Roman" w:cs="Times New Roman"/>
                <w:sz w:val="24"/>
                <w:szCs w:val="24"/>
              </w:rPr>
              <w:t>d private investors are subject to national security screening by the Commission for Coordination of Protection of Objects of Importance to Ensuring National Security.</w:t>
            </w:r>
          </w:p>
          <w:p w:rsidR="00E10893" w:rsidRDefault="007471D4">
            <w:pPr>
              <w:numPr>
                <w:ilvl w:val="0"/>
                <w:numId w:val="1"/>
              </w:num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discounted management fee would be offered for the first 3 investors in order to att</w:t>
            </w:r>
            <w:r>
              <w:rPr>
                <w:rFonts w:ascii="Times New Roman" w:eastAsia="Times New Roman" w:hAnsi="Times New Roman" w:cs="Times New Roman"/>
                <w:sz w:val="24"/>
                <w:szCs w:val="24"/>
              </w:rPr>
              <w:t>ract initial contenders to the open call.</w:t>
            </w:r>
          </w:p>
          <w:p w:rsidR="00E10893" w:rsidRDefault="00E10893">
            <w:pPr>
              <w:pBdr>
                <w:top w:val="nil"/>
                <w:left w:val="nil"/>
                <w:bottom w:val="nil"/>
                <w:right w:val="nil"/>
                <w:between w:val="nil"/>
              </w:pBdr>
              <w:jc w:val="both"/>
              <w:rPr>
                <w:rFonts w:ascii="Times New Roman" w:eastAsia="Times New Roman" w:hAnsi="Times New Roman" w:cs="Times New Roman"/>
                <w:sz w:val="24"/>
                <w:szCs w:val="24"/>
              </w:rPr>
            </w:pPr>
          </w:p>
          <w:p w:rsidR="00E10893" w:rsidRDefault="007471D4">
            <w:pPr>
              <w:pBdr>
                <w:top w:val="nil"/>
                <w:left w:val="nil"/>
                <w:bottom w:val="nil"/>
                <w:right w:val="nil"/>
                <w:between w:val="nil"/>
              </w:pBdr>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Distribution Waterfall</w:t>
            </w:r>
          </w:p>
          <w:p w:rsidR="00E10893" w:rsidRDefault="007471D4">
            <w:pPr>
              <w:pBdr>
                <w:top w:val="nil"/>
                <w:left w:val="nil"/>
                <w:bottom w:val="nil"/>
                <w:right w:val="nil"/>
                <w:between w:val="nil"/>
              </w:pBd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 Limited Partners share the cash flow from investments in the following waterfall:</w:t>
            </w:r>
          </w:p>
          <w:p w:rsidR="00E10893" w:rsidRDefault="007471D4">
            <w:pPr>
              <w:pBdr>
                <w:top w:val="nil"/>
                <w:left w:val="nil"/>
                <w:bottom w:val="nil"/>
                <w:right w:val="nil"/>
                <w:between w:val="nil"/>
              </w:pBdr>
              <w:ind w:left="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o   Management fee (see in detail below)</w:t>
            </w:r>
          </w:p>
          <w:p w:rsidR="00E10893" w:rsidRDefault="007471D4">
            <w:pPr>
              <w:pBdr>
                <w:top w:val="nil"/>
                <w:left w:val="nil"/>
                <w:bottom w:val="nil"/>
                <w:right w:val="nil"/>
                <w:between w:val="nil"/>
              </w:pBdr>
              <w:ind w:left="720"/>
              <w:jc w:val="both"/>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o  Limited</w:t>
            </w:r>
            <w:proofErr w:type="gramEnd"/>
            <w:r>
              <w:rPr>
                <w:rFonts w:ascii="Times New Roman" w:eastAsia="Times New Roman" w:hAnsi="Times New Roman" w:cs="Times New Roman"/>
                <w:sz w:val="24"/>
                <w:szCs w:val="24"/>
              </w:rPr>
              <w:t xml:space="preserve"> Partners up to their hurdle rate (</w:t>
            </w:r>
            <w:r>
              <w:rPr>
                <w:rFonts w:ascii="Times New Roman" w:eastAsia="Times New Roman" w:hAnsi="Times New Roman" w:cs="Times New Roman"/>
                <w:sz w:val="24"/>
                <w:szCs w:val="24"/>
              </w:rPr>
              <w:t>derived from euro high yield bond index at the time of entry to the Fund) proportionate to their investment stakes except the initial anchor investment of the State (€100 million). In case of State only: initial investment of the State (€100 million) + hur</w:t>
            </w:r>
            <w:r>
              <w:rPr>
                <w:rFonts w:ascii="Times New Roman" w:eastAsia="Times New Roman" w:hAnsi="Times New Roman" w:cs="Times New Roman"/>
                <w:sz w:val="24"/>
                <w:szCs w:val="24"/>
              </w:rPr>
              <w:t>dle rate of 4%.</w:t>
            </w:r>
          </w:p>
          <w:p w:rsidR="00E10893" w:rsidRDefault="007471D4">
            <w:pPr>
              <w:pBdr>
                <w:top w:val="nil"/>
                <w:left w:val="nil"/>
                <w:bottom w:val="nil"/>
                <w:right w:val="nil"/>
                <w:between w:val="nil"/>
              </w:pBd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 Initial investment of the State (€100 million) + hurdle rate of 4%. </w:t>
            </w:r>
          </w:p>
          <w:p w:rsidR="00E10893" w:rsidRDefault="007471D4">
            <w:pPr>
              <w:pBdr>
                <w:top w:val="nil"/>
                <w:left w:val="nil"/>
                <w:bottom w:val="nil"/>
                <w:right w:val="nil"/>
                <w:between w:val="nil"/>
              </w:pBd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 General Partner and Limited Partners split: General Partner interest carry (X%) / (1-X%) to Limited Partners according to capital invested:</w:t>
            </w:r>
          </w:p>
          <w:p w:rsidR="00E10893" w:rsidRDefault="007471D4">
            <w:pPr>
              <w:numPr>
                <w:ilvl w:val="0"/>
                <w:numId w:val="11"/>
              </w:numPr>
              <w:pBdr>
                <w:top w:val="nil"/>
                <w:left w:val="nil"/>
                <w:bottom w:val="nil"/>
                <w:right w:val="nil"/>
                <w:between w:val="nil"/>
              </w:pBd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If annualized fund perf</w:t>
            </w:r>
            <w:r>
              <w:rPr>
                <w:rFonts w:ascii="Times New Roman" w:eastAsia="Times New Roman" w:hAnsi="Times New Roman" w:cs="Times New Roman"/>
                <w:sz w:val="24"/>
                <w:szCs w:val="24"/>
              </w:rPr>
              <w:t>ormance is &gt; 10%, X = 10%</w:t>
            </w:r>
          </w:p>
          <w:p w:rsidR="00E10893" w:rsidRDefault="007471D4">
            <w:pPr>
              <w:numPr>
                <w:ilvl w:val="0"/>
                <w:numId w:val="11"/>
              </w:numPr>
              <w:pBdr>
                <w:top w:val="nil"/>
                <w:left w:val="nil"/>
                <w:bottom w:val="nil"/>
                <w:right w:val="nil"/>
                <w:between w:val="nil"/>
              </w:pBd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If annualized fund performance is &gt; 50%, X = 20%</w:t>
            </w:r>
          </w:p>
          <w:p w:rsidR="00E10893" w:rsidRDefault="00E10893">
            <w:pPr>
              <w:jc w:val="both"/>
              <w:rPr>
                <w:rFonts w:ascii="Times New Roman" w:eastAsia="Times New Roman" w:hAnsi="Times New Roman" w:cs="Times New Roman"/>
                <w:sz w:val="24"/>
                <w:szCs w:val="24"/>
              </w:rPr>
            </w:pPr>
          </w:p>
          <w:p w:rsidR="00E10893" w:rsidRDefault="007471D4">
            <w:pPr>
              <w:spacing w:before="120" w:after="12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Management Fee</w:t>
            </w:r>
          </w:p>
          <w:p w:rsidR="00E10893" w:rsidRDefault="007471D4">
            <w:pPr>
              <w:spacing w:before="120" w:after="1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Fund Manager shall be entitled to receive from the Fund, in respect of each Investor, a Management Fee (the “</w:t>
            </w:r>
            <w:r>
              <w:rPr>
                <w:rFonts w:ascii="Times New Roman" w:eastAsia="Times New Roman" w:hAnsi="Times New Roman" w:cs="Times New Roman"/>
                <w:b/>
                <w:sz w:val="24"/>
                <w:szCs w:val="24"/>
              </w:rPr>
              <w:t>Management Fee</w:t>
            </w:r>
            <w:r>
              <w:rPr>
                <w:rFonts w:ascii="Times New Roman" w:eastAsia="Times New Roman" w:hAnsi="Times New Roman" w:cs="Times New Roman"/>
                <w:sz w:val="24"/>
                <w:szCs w:val="24"/>
              </w:rPr>
              <w:t>”) calculated as follows:</w:t>
            </w:r>
          </w:p>
          <w:p w:rsidR="00E10893" w:rsidRDefault="007471D4">
            <w:pPr>
              <w:spacing w:before="120" w:after="120"/>
              <w:ind w:left="2120" w:hanging="700"/>
              <w:jc w:val="both"/>
              <w:rPr>
                <w:rFonts w:ascii="Times New Roman" w:eastAsia="Times New Roman" w:hAnsi="Times New Roman" w:cs="Times New Roman"/>
                <w:sz w:val="24"/>
                <w:szCs w:val="24"/>
                <w:u w:val="single"/>
              </w:rPr>
            </w:pPr>
            <w:r>
              <w:rPr>
                <w:rFonts w:ascii="Times New Roman" w:eastAsia="Times New Roman" w:hAnsi="Times New Roman" w:cs="Times New Roman"/>
                <w:sz w:val="24"/>
                <w:szCs w:val="24"/>
              </w:rPr>
              <w:t>(</w:t>
            </w:r>
            <w:proofErr w:type="spellStart"/>
            <w:r>
              <w:rPr>
                <w:rFonts w:ascii="Times New Roman" w:eastAsia="Times New Roman" w:hAnsi="Times New Roman" w:cs="Times New Roman"/>
                <w:sz w:val="24"/>
                <w:szCs w:val="24"/>
              </w:rPr>
              <w:t>i</w:t>
            </w:r>
            <w:proofErr w:type="spellEnd"/>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u w:val="single"/>
              </w:rPr>
              <w:t>until the end of the Investment Period:</w:t>
            </w:r>
          </w:p>
          <w:p w:rsidR="00E10893" w:rsidRDefault="007471D4">
            <w:pPr>
              <w:spacing w:before="120" w:after="120"/>
              <w:ind w:left="2120" w:hanging="70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          2 % per annum of Invested capital up to 100 million euro</w:t>
            </w:r>
          </w:p>
          <w:p w:rsidR="00E10893" w:rsidRDefault="007471D4">
            <w:pPr>
              <w:spacing w:before="120" w:after="120"/>
              <w:ind w:left="2120" w:hanging="70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(b)           1 % per annum of Invested capital more than 100 million euro</w:t>
            </w:r>
          </w:p>
          <w:p w:rsidR="00E10893" w:rsidRDefault="007471D4">
            <w:pPr>
              <w:spacing w:before="120" w:after="120"/>
              <w:ind w:left="2120" w:hanging="700"/>
              <w:jc w:val="both"/>
              <w:rPr>
                <w:rFonts w:ascii="Times New Roman" w:eastAsia="Times New Roman" w:hAnsi="Times New Roman" w:cs="Times New Roman"/>
                <w:sz w:val="24"/>
                <w:szCs w:val="24"/>
                <w:u w:val="single"/>
              </w:rPr>
            </w:pPr>
            <w:r>
              <w:rPr>
                <w:rFonts w:ascii="Times New Roman" w:eastAsia="Times New Roman" w:hAnsi="Times New Roman" w:cs="Times New Roman"/>
                <w:sz w:val="24"/>
                <w:szCs w:val="24"/>
              </w:rPr>
              <w:t xml:space="preserve">(ii)              </w:t>
            </w:r>
            <w:r>
              <w:rPr>
                <w:rFonts w:ascii="Times New Roman" w:eastAsia="Times New Roman" w:hAnsi="Times New Roman" w:cs="Times New Roman"/>
                <w:sz w:val="24"/>
                <w:szCs w:val="24"/>
                <w:u w:val="single"/>
              </w:rPr>
              <w:t xml:space="preserve">after expiration of the Investment </w:t>
            </w:r>
            <w:r>
              <w:rPr>
                <w:rFonts w:ascii="Times New Roman" w:eastAsia="Times New Roman" w:hAnsi="Times New Roman" w:cs="Times New Roman"/>
                <w:sz w:val="24"/>
                <w:szCs w:val="24"/>
                <w:u w:val="single"/>
              </w:rPr>
              <w:t>Period:</w:t>
            </w:r>
          </w:p>
          <w:p w:rsidR="00E10893" w:rsidRDefault="007471D4">
            <w:pPr>
              <w:spacing w:before="120" w:after="120"/>
              <w:ind w:left="2120" w:hanging="70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        1.0 % per annum of Invested Capital at the beginning of each respective quarter of the Accounting Period if the Invested Capital is up to 100 million euro</w:t>
            </w:r>
          </w:p>
          <w:p w:rsidR="00E10893" w:rsidRDefault="007471D4">
            <w:pPr>
              <w:spacing w:before="120" w:after="120"/>
              <w:ind w:left="2120" w:hanging="70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(b)          0.75 % per annum of Invested Capital at the beginning of each respect</w:t>
            </w:r>
            <w:r>
              <w:rPr>
                <w:rFonts w:ascii="Times New Roman" w:eastAsia="Times New Roman" w:hAnsi="Times New Roman" w:cs="Times New Roman"/>
                <w:sz w:val="24"/>
                <w:szCs w:val="24"/>
              </w:rPr>
              <w:t xml:space="preserve">ive quarter of the Accounting Period if the Invested Capital is from 100 </w:t>
            </w:r>
            <w:r>
              <w:rPr>
                <w:rFonts w:ascii="Times New Roman" w:eastAsia="Times New Roman" w:hAnsi="Times New Roman" w:cs="Times New Roman"/>
                <w:sz w:val="24"/>
                <w:szCs w:val="24"/>
              </w:rPr>
              <w:lastRenderedPageBreak/>
              <w:t>million euro to 200 million euro</w:t>
            </w:r>
          </w:p>
          <w:p w:rsidR="00E10893" w:rsidRDefault="007471D4">
            <w:pPr>
              <w:spacing w:before="120" w:after="120"/>
              <w:ind w:left="2120" w:hanging="70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           0.5 % per annum of Invested Capital at the beginning of each respective quarter of the Accounting Period if the Invested Capital more th</w:t>
            </w:r>
            <w:r>
              <w:rPr>
                <w:rFonts w:ascii="Times New Roman" w:eastAsia="Times New Roman" w:hAnsi="Times New Roman" w:cs="Times New Roman"/>
                <w:sz w:val="24"/>
                <w:szCs w:val="24"/>
              </w:rPr>
              <w:t>an 200 million euro</w:t>
            </w:r>
          </w:p>
        </w:tc>
      </w:tr>
      <w:tr w:rsidR="00E10893">
        <w:trPr>
          <w:trHeight w:val="60"/>
        </w:trPr>
        <w:tc>
          <w:tcPr>
            <w:tcW w:w="510" w:type="dxa"/>
            <w:tcBorders>
              <w:top w:val="single" w:sz="4" w:space="0" w:color="000000"/>
              <w:left w:val="single" w:sz="4" w:space="0" w:color="000000"/>
              <w:bottom w:val="single" w:sz="4" w:space="0" w:color="000000"/>
              <w:right w:val="single" w:sz="4" w:space="0" w:color="000000"/>
            </w:tcBorders>
          </w:tcPr>
          <w:p w:rsidR="00E10893" w:rsidRDefault="007471D4">
            <w:pPr>
              <w:pBdr>
                <w:top w:val="nil"/>
                <w:left w:val="nil"/>
                <w:bottom w:val="nil"/>
                <w:right w:val="nil"/>
                <w:between w:val="nil"/>
              </w:pBd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 6.</w:t>
            </w:r>
          </w:p>
        </w:tc>
        <w:tc>
          <w:tcPr>
            <w:tcW w:w="1815"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cPr>
          <w:p w:rsidR="00E10893" w:rsidRDefault="007471D4">
            <w:pPr>
              <w:pBdr>
                <w:top w:val="nil"/>
                <w:left w:val="nil"/>
                <w:bottom w:val="nil"/>
                <w:right w:val="nil"/>
                <w:between w:val="nil"/>
              </w:pBdr>
              <w:spacing w:after="24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Recipient of the funding</w:t>
            </w:r>
          </w:p>
          <w:p w:rsidR="00E10893" w:rsidRDefault="00E10893">
            <w:pPr>
              <w:pBdr>
                <w:top w:val="nil"/>
                <w:left w:val="nil"/>
                <w:bottom w:val="nil"/>
                <w:right w:val="nil"/>
                <w:between w:val="nil"/>
              </w:pBdr>
              <w:spacing w:after="240"/>
              <w:rPr>
                <w:rFonts w:ascii="Times New Roman" w:eastAsia="Times New Roman" w:hAnsi="Times New Roman" w:cs="Times New Roman"/>
                <w:color w:val="000000"/>
                <w:sz w:val="24"/>
                <w:szCs w:val="24"/>
              </w:rPr>
            </w:pPr>
          </w:p>
          <w:p w:rsidR="00E10893" w:rsidRDefault="00E10893">
            <w:pPr>
              <w:pBdr>
                <w:top w:val="nil"/>
                <w:left w:val="nil"/>
                <w:bottom w:val="nil"/>
                <w:right w:val="nil"/>
                <w:between w:val="nil"/>
              </w:pBdr>
              <w:spacing w:after="240"/>
              <w:rPr>
                <w:rFonts w:ascii="Times New Roman" w:eastAsia="Times New Roman" w:hAnsi="Times New Roman" w:cs="Times New Roman"/>
                <w:color w:val="000000"/>
                <w:sz w:val="24"/>
                <w:szCs w:val="24"/>
              </w:rPr>
            </w:pPr>
          </w:p>
        </w:tc>
        <w:tc>
          <w:tcPr>
            <w:tcW w:w="7590"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cPr>
          <w:p w:rsidR="00E10893" w:rsidRDefault="007471D4">
            <w:pPr>
              <w:spacing w:after="2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Fund will invest in medium-sized and large enterprises, which will be in accordance with the status of medium-sized and large enterprises, in accordance with the provisions of the Law on Small and Medium-Size Business Development. The companies which a</w:t>
            </w:r>
            <w:r>
              <w:rPr>
                <w:rFonts w:ascii="Times New Roman" w:eastAsia="Times New Roman" w:hAnsi="Times New Roman" w:cs="Times New Roman"/>
                <w:sz w:val="24"/>
                <w:szCs w:val="24"/>
              </w:rPr>
              <w:t>re receiving funding from the Fund (hereinafter – beneficiaries) will have to satisfy the following conditions:</w:t>
            </w:r>
          </w:p>
          <w:p w:rsidR="00E10893" w:rsidRDefault="007471D4">
            <w:pPr>
              <w:numPr>
                <w:ilvl w:val="0"/>
                <w:numId w:val="5"/>
              </w:numPr>
              <w:pBdr>
                <w:top w:val="nil"/>
                <w:left w:val="nil"/>
                <w:bottom w:val="nil"/>
                <w:right w:val="nil"/>
                <w:between w:val="nil"/>
              </w:pBdr>
              <w:tabs>
                <w:tab w:val="left" w:pos="308"/>
              </w:tabs>
              <w:spacing w:line="276" w:lineRule="auto"/>
              <w:jc w:val="both"/>
              <w:rPr>
                <w:color w:val="000000"/>
                <w:sz w:val="24"/>
                <w:szCs w:val="24"/>
              </w:rPr>
            </w:pPr>
            <w:proofErr w:type="gramStart"/>
            <w:r>
              <w:rPr>
                <w:rFonts w:ascii="Times New Roman" w:eastAsia="Times New Roman" w:hAnsi="Times New Roman" w:cs="Times New Roman"/>
                <w:color w:val="000000"/>
                <w:sz w:val="24"/>
                <w:szCs w:val="24"/>
              </w:rPr>
              <w:t>the</w:t>
            </w:r>
            <w:proofErr w:type="gramEnd"/>
            <w:r>
              <w:rPr>
                <w:rFonts w:ascii="Times New Roman" w:eastAsia="Times New Roman" w:hAnsi="Times New Roman" w:cs="Times New Roman"/>
                <w:sz w:val="24"/>
                <w:szCs w:val="24"/>
              </w:rPr>
              <w:t xml:space="preserve"> beneficiar</w:t>
            </w:r>
            <w:r>
              <w:rPr>
                <w:rFonts w:ascii="Times New Roman" w:eastAsia="Times New Roman" w:hAnsi="Times New Roman" w:cs="Times New Roman"/>
                <w:color w:val="000000"/>
                <w:sz w:val="24"/>
                <w:szCs w:val="24"/>
              </w:rPr>
              <w:t>y’s</w:t>
            </w:r>
            <w:r>
              <w:rPr>
                <w:rFonts w:ascii="Times New Roman" w:eastAsia="Times New Roman" w:hAnsi="Times New Roman" w:cs="Times New Roman"/>
                <w:sz w:val="24"/>
                <w:szCs w:val="24"/>
              </w:rPr>
              <w:t xml:space="preserve"> (</w:t>
            </w:r>
            <w:r>
              <w:rPr>
                <w:rFonts w:ascii="Times New Roman" w:eastAsia="Times New Roman" w:hAnsi="Times New Roman" w:cs="Times New Roman"/>
                <w:color w:val="000000"/>
                <w:sz w:val="24"/>
                <w:szCs w:val="24"/>
              </w:rPr>
              <w:t xml:space="preserve"> financial statements must be submitted to the State Enterprise Centre of Registers and audited, if required by law. If, on t</w:t>
            </w:r>
            <w:r>
              <w:rPr>
                <w:rFonts w:ascii="Times New Roman" w:eastAsia="Times New Roman" w:hAnsi="Times New Roman" w:cs="Times New Roman"/>
                <w:color w:val="000000"/>
                <w:sz w:val="24"/>
                <w:szCs w:val="24"/>
              </w:rPr>
              <w:t xml:space="preserve">he day of submission of the application, a </w:t>
            </w:r>
            <w:r>
              <w:rPr>
                <w:rFonts w:ascii="Times New Roman" w:eastAsia="Times New Roman" w:hAnsi="Times New Roman" w:cs="Times New Roman"/>
                <w:sz w:val="24"/>
                <w:szCs w:val="24"/>
              </w:rPr>
              <w:t xml:space="preserve">beneficiary’s </w:t>
            </w:r>
            <w:r>
              <w:rPr>
                <w:rFonts w:ascii="Times New Roman" w:eastAsia="Times New Roman" w:hAnsi="Times New Roman" w:cs="Times New Roman"/>
                <w:color w:val="000000"/>
                <w:sz w:val="24"/>
                <w:szCs w:val="24"/>
              </w:rPr>
              <w:t xml:space="preserve">financial statements for 2019 are not yet approved by the general meeting of shareholders, the application must be accompanied by provisional financial statements (if the </w:t>
            </w:r>
            <w:r>
              <w:rPr>
                <w:rFonts w:ascii="Times New Roman" w:eastAsia="Times New Roman" w:hAnsi="Times New Roman" w:cs="Times New Roman"/>
                <w:sz w:val="24"/>
                <w:szCs w:val="24"/>
              </w:rPr>
              <w:t xml:space="preserve">beneficiary </w:t>
            </w:r>
            <w:r>
              <w:rPr>
                <w:rFonts w:ascii="Times New Roman" w:eastAsia="Times New Roman" w:hAnsi="Times New Roman" w:cs="Times New Roman"/>
                <w:color w:val="000000"/>
                <w:sz w:val="24"/>
                <w:szCs w:val="24"/>
              </w:rPr>
              <w:t>started its acti</w:t>
            </w:r>
            <w:r>
              <w:rPr>
                <w:rFonts w:ascii="Times New Roman" w:eastAsia="Times New Roman" w:hAnsi="Times New Roman" w:cs="Times New Roman"/>
                <w:color w:val="000000"/>
                <w:sz w:val="24"/>
                <w:szCs w:val="24"/>
              </w:rPr>
              <w:t xml:space="preserve">vities in 2019 or earlier); </w:t>
            </w:r>
          </w:p>
          <w:p w:rsidR="00E10893" w:rsidRDefault="007471D4">
            <w:pPr>
              <w:numPr>
                <w:ilvl w:val="0"/>
                <w:numId w:val="5"/>
              </w:numPr>
              <w:pBdr>
                <w:top w:val="nil"/>
                <w:left w:val="nil"/>
                <w:bottom w:val="nil"/>
                <w:right w:val="nil"/>
                <w:between w:val="nil"/>
              </w:pBdr>
              <w:spacing w:line="276" w:lineRule="auto"/>
              <w:rPr>
                <w:color w:val="000000"/>
                <w:sz w:val="24"/>
                <w:szCs w:val="24"/>
              </w:rPr>
            </w:pPr>
            <w:proofErr w:type="gramStart"/>
            <w:r>
              <w:rPr>
                <w:rFonts w:ascii="Times New Roman" w:eastAsia="Times New Roman" w:hAnsi="Times New Roman" w:cs="Times New Roman"/>
                <w:color w:val="000000"/>
                <w:sz w:val="24"/>
                <w:szCs w:val="24"/>
              </w:rPr>
              <w:t>the</w:t>
            </w:r>
            <w:proofErr w:type="gramEnd"/>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sz w:val="24"/>
                <w:szCs w:val="24"/>
              </w:rPr>
              <w:t xml:space="preserve">beneficiary </w:t>
            </w:r>
            <w:r>
              <w:rPr>
                <w:rFonts w:ascii="Times New Roman" w:eastAsia="Times New Roman" w:hAnsi="Times New Roman" w:cs="Times New Roman"/>
                <w:color w:val="000000"/>
                <w:sz w:val="24"/>
                <w:szCs w:val="24"/>
              </w:rPr>
              <w:t>is not included in the list of companies that do not meet the criteria of a reliable taxpayer published by the State Tax Inspectorate under the Ministry of Finance of the Republic of Lithuania.</w:t>
            </w:r>
          </w:p>
          <w:p w:rsidR="00E10893" w:rsidRDefault="007471D4">
            <w:pPr>
              <w:numPr>
                <w:ilvl w:val="0"/>
                <w:numId w:val="4"/>
              </w:numPr>
              <w:pBdr>
                <w:top w:val="nil"/>
                <w:left w:val="nil"/>
                <w:bottom w:val="nil"/>
                <w:right w:val="nil"/>
                <w:between w:val="nil"/>
              </w:pBdr>
              <w:spacing w:line="276" w:lineRule="auto"/>
              <w:rPr>
                <w:color w:val="000000"/>
                <w:sz w:val="24"/>
                <w:szCs w:val="24"/>
              </w:rPr>
            </w:pPr>
            <w:r>
              <w:rPr>
                <w:rFonts w:ascii="Times New Roman" w:eastAsia="Times New Roman" w:hAnsi="Times New Roman" w:cs="Times New Roman"/>
                <w:color w:val="000000"/>
                <w:sz w:val="24"/>
                <w:szCs w:val="24"/>
              </w:rPr>
              <w:t>as of 31 December</w:t>
            </w:r>
            <w:r>
              <w:rPr>
                <w:rFonts w:ascii="Times New Roman" w:eastAsia="Times New Roman" w:hAnsi="Times New Roman" w:cs="Times New Roman"/>
                <w:color w:val="000000"/>
                <w:sz w:val="24"/>
                <w:szCs w:val="24"/>
              </w:rPr>
              <w:t xml:space="preserve"> 2019, the </w:t>
            </w:r>
            <w:r>
              <w:rPr>
                <w:rFonts w:ascii="Times New Roman" w:eastAsia="Times New Roman" w:hAnsi="Times New Roman" w:cs="Times New Roman"/>
                <w:sz w:val="24"/>
                <w:szCs w:val="24"/>
              </w:rPr>
              <w:t xml:space="preserve">beneficiary </w:t>
            </w:r>
            <w:r>
              <w:rPr>
                <w:rFonts w:ascii="Times New Roman" w:eastAsia="Times New Roman" w:hAnsi="Times New Roman" w:cs="Times New Roman"/>
                <w:color w:val="000000"/>
                <w:sz w:val="24"/>
                <w:szCs w:val="24"/>
              </w:rPr>
              <w:t>has not been considered to be in difficulty within the meaning established in Article 2(18) of the Commission Regulation (EU) No 651/2014 of 17 June 2014 declaring certain categories of aid compatible with the internal market in appl</w:t>
            </w:r>
            <w:r>
              <w:rPr>
                <w:rFonts w:ascii="Times New Roman" w:eastAsia="Times New Roman" w:hAnsi="Times New Roman" w:cs="Times New Roman"/>
                <w:color w:val="000000"/>
                <w:sz w:val="24"/>
                <w:szCs w:val="24"/>
              </w:rPr>
              <w:t>ication of Articles 107 and 108, Article 2(18) of the Treaty;</w:t>
            </w:r>
          </w:p>
          <w:p w:rsidR="00E10893" w:rsidRDefault="007471D4">
            <w:pPr>
              <w:numPr>
                <w:ilvl w:val="0"/>
                <w:numId w:val="3"/>
              </w:numPr>
              <w:pBdr>
                <w:top w:val="nil"/>
                <w:left w:val="nil"/>
                <w:bottom w:val="nil"/>
                <w:right w:val="nil"/>
                <w:between w:val="nil"/>
              </w:pBdr>
              <w:spacing w:after="200" w:line="276" w:lineRule="auto"/>
              <w:rPr>
                <w:color w:val="000000"/>
                <w:sz w:val="24"/>
                <w:szCs w:val="24"/>
              </w:rPr>
            </w:pPr>
            <w:r>
              <w:rPr>
                <w:rFonts w:ascii="Times New Roman" w:eastAsia="Times New Roman" w:hAnsi="Times New Roman" w:cs="Times New Roman"/>
                <w:color w:val="000000"/>
                <w:sz w:val="24"/>
                <w:szCs w:val="24"/>
              </w:rPr>
              <w:t xml:space="preserve">without the investments </w:t>
            </w:r>
            <w:r>
              <w:rPr>
                <w:rFonts w:ascii="Times New Roman" w:eastAsia="Times New Roman" w:hAnsi="Times New Roman" w:cs="Times New Roman"/>
                <w:sz w:val="24"/>
                <w:szCs w:val="24"/>
              </w:rPr>
              <w:t xml:space="preserve">the beneficiary </w:t>
            </w:r>
            <w:r>
              <w:rPr>
                <w:rFonts w:ascii="Times New Roman" w:eastAsia="Times New Roman" w:hAnsi="Times New Roman" w:cs="Times New Roman"/>
                <w:color w:val="000000"/>
                <w:sz w:val="24"/>
                <w:szCs w:val="24"/>
              </w:rPr>
              <w:t xml:space="preserve">would go out of business or would face serious difficulties to maintain its operations </w:t>
            </w:r>
            <w:r>
              <w:rPr>
                <w:rFonts w:ascii="Times New Roman" w:eastAsia="Times New Roman" w:hAnsi="Times New Roman" w:cs="Times New Roman"/>
                <w:sz w:val="24"/>
                <w:szCs w:val="24"/>
              </w:rPr>
              <w:t>In case of investments in equity securities and/or debt instruments that have or may have an equity component, such difficulties must be shown by the deterioration of, in particular, the beneficiary's debt to equity ratio or similar indicators;</w:t>
            </w:r>
          </w:p>
          <w:p w:rsidR="00E10893" w:rsidRDefault="007471D4">
            <w:pPr>
              <w:numPr>
                <w:ilvl w:val="0"/>
                <w:numId w:val="3"/>
              </w:numPr>
              <w:pBdr>
                <w:top w:val="nil"/>
                <w:left w:val="nil"/>
                <w:bottom w:val="nil"/>
                <w:right w:val="nil"/>
                <w:between w:val="nil"/>
              </w:pBdr>
              <w:spacing w:after="200" w:line="276" w:lineRule="auto"/>
              <w:rPr>
                <w:sz w:val="24"/>
                <w:szCs w:val="24"/>
              </w:rPr>
            </w:pPr>
            <w:r>
              <w:rPr>
                <w:rFonts w:ascii="Times New Roman" w:eastAsia="Times New Roman" w:hAnsi="Times New Roman" w:cs="Times New Roman"/>
                <w:sz w:val="24"/>
                <w:szCs w:val="24"/>
              </w:rPr>
              <w:t xml:space="preserve">In case of </w:t>
            </w:r>
            <w:r>
              <w:rPr>
                <w:rFonts w:ascii="Times New Roman" w:eastAsia="Times New Roman" w:hAnsi="Times New Roman" w:cs="Times New Roman"/>
                <w:sz w:val="24"/>
                <w:szCs w:val="24"/>
              </w:rPr>
              <w:t>investments in equity securities and/or debt instruments that have or may have an equity component, such an investment could be made only in companies whose failure would likely involve social hardship or market failure.</w:t>
            </w:r>
          </w:p>
          <w:p w:rsidR="00E10893" w:rsidRDefault="007471D4">
            <w:pPr>
              <w:numPr>
                <w:ilvl w:val="0"/>
                <w:numId w:val="3"/>
              </w:numPr>
              <w:tabs>
                <w:tab w:val="left" w:pos="1701"/>
              </w:tabs>
              <w:jc w:val="both"/>
              <w:rPr>
                <w:sz w:val="24"/>
                <w:szCs w:val="24"/>
              </w:rPr>
            </w:pPr>
            <w:r>
              <w:rPr>
                <w:rFonts w:ascii="Times New Roman" w:eastAsia="Times New Roman" w:hAnsi="Times New Roman" w:cs="Times New Roman"/>
                <w:sz w:val="24"/>
                <w:szCs w:val="24"/>
              </w:rPr>
              <w:t>Beneficiaries are prohibited from a</w:t>
            </w:r>
            <w:r>
              <w:rPr>
                <w:rFonts w:ascii="Times New Roman" w:eastAsia="Times New Roman" w:hAnsi="Times New Roman" w:cs="Times New Roman"/>
                <w:sz w:val="24"/>
                <w:szCs w:val="24"/>
              </w:rPr>
              <w:t xml:space="preserve">dvertising the received investment for commercial purposes. They are also not allowed to acquire competitors or other operators in the same line of business, including upstream and downstream operations until repayment of </w:t>
            </w:r>
            <w:r>
              <w:rPr>
                <w:rFonts w:ascii="Times New Roman" w:eastAsia="Times New Roman" w:hAnsi="Times New Roman" w:cs="Times New Roman"/>
                <w:sz w:val="24"/>
                <w:szCs w:val="24"/>
                <w:highlight w:val="yellow"/>
              </w:rPr>
              <w:t>[75%]</w:t>
            </w:r>
            <w:r>
              <w:rPr>
                <w:rFonts w:ascii="Times New Roman" w:eastAsia="Times New Roman" w:hAnsi="Times New Roman" w:cs="Times New Roman"/>
                <w:sz w:val="24"/>
                <w:szCs w:val="24"/>
              </w:rPr>
              <w:t xml:space="preserve"> of investment by the Fund is</w:t>
            </w:r>
            <w:r>
              <w:rPr>
                <w:rFonts w:ascii="Times New Roman" w:eastAsia="Times New Roman" w:hAnsi="Times New Roman" w:cs="Times New Roman"/>
                <w:sz w:val="24"/>
                <w:szCs w:val="24"/>
              </w:rPr>
              <w:t xml:space="preserve"> made. Investments shall not be used on dividends, non-mandatory coupon payments, bonuses or </w:t>
            </w:r>
            <w:r>
              <w:rPr>
                <w:rFonts w:ascii="Times New Roman" w:eastAsia="Times New Roman" w:hAnsi="Times New Roman" w:cs="Times New Roman"/>
                <w:sz w:val="24"/>
                <w:szCs w:val="24"/>
              </w:rPr>
              <w:lastRenderedPageBreak/>
              <w:t>other shareholder or employee promotion payments, to repay shareholder loans or to grant loans to shareholders, including related companies, to finance the reducti</w:t>
            </w:r>
            <w:r>
              <w:rPr>
                <w:rFonts w:ascii="Times New Roman" w:eastAsia="Times New Roman" w:hAnsi="Times New Roman" w:cs="Times New Roman"/>
                <w:sz w:val="24"/>
                <w:szCs w:val="24"/>
              </w:rPr>
              <w:t>on of the company's authorised capital, to buy back shares (other than in relation to the Fund and the State), other actions that the company is not entitled to perform.</w:t>
            </w:r>
          </w:p>
          <w:p w:rsidR="00E10893" w:rsidRDefault="007471D4">
            <w:pPr>
              <w:numPr>
                <w:ilvl w:val="0"/>
                <w:numId w:val="3"/>
              </w:numPr>
              <w:tabs>
                <w:tab w:val="left" w:pos="1701"/>
              </w:tabs>
              <w:jc w:val="both"/>
              <w:rPr>
                <w:sz w:val="24"/>
                <w:szCs w:val="24"/>
              </w:rPr>
            </w:pPr>
            <w:r>
              <w:rPr>
                <w:rFonts w:ascii="Times New Roman" w:eastAsia="Times New Roman" w:hAnsi="Times New Roman" w:cs="Times New Roman"/>
                <w:sz w:val="24"/>
                <w:szCs w:val="24"/>
              </w:rPr>
              <w:t xml:space="preserve">In case any single beneficiary would apply for </w:t>
            </w:r>
            <w:proofErr w:type="gramStart"/>
            <w:r>
              <w:rPr>
                <w:rFonts w:ascii="Times New Roman" w:eastAsia="Times New Roman" w:hAnsi="Times New Roman" w:cs="Times New Roman"/>
                <w:sz w:val="24"/>
                <w:szCs w:val="24"/>
              </w:rPr>
              <w:t>funding  above</w:t>
            </w:r>
            <w:proofErr w:type="gramEnd"/>
            <w:r>
              <w:rPr>
                <w:rFonts w:ascii="Times New Roman" w:eastAsia="Times New Roman" w:hAnsi="Times New Roman" w:cs="Times New Roman"/>
                <w:sz w:val="24"/>
                <w:szCs w:val="24"/>
              </w:rPr>
              <w:t xml:space="preserve"> the threshold of </w:t>
            </w:r>
            <w:r>
              <w:rPr>
                <w:rFonts w:ascii="Times New Roman" w:eastAsia="Times New Roman" w:hAnsi="Times New Roman" w:cs="Times New Roman"/>
                <w:sz w:val="24"/>
                <w:szCs w:val="24"/>
                <w:highlight w:val="yellow"/>
              </w:rPr>
              <w:t>[EUR 25</w:t>
            </w:r>
            <w:r>
              <w:rPr>
                <w:rFonts w:ascii="Times New Roman" w:eastAsia="Times New Roman" w:hAnsi="Times New Roman" w:cs="Times New Roman"/>
                <w:sz w:val="24"/>
                <w:szCs w:val="24"/>
                <w:highlight w:val="yellow"/>
              </w:rPr>
              <w:t>0]</w:t>
            </w:r>
            <w:r>
              <w:rPr>
                <w:rFonts w:ascii="Times New Roman" w:eastAsia="Times New Roman" w:hAnsi="Times New Roman" w:cs="Times New Roman"/>
                <w:sz w:val="24"/>
                <w:szCs w:val="24"/>
              </w:rPr>
              <w:t xml:space="preserve"> million in total, a separate State Aid notification process will be triggered.</w:t>
            </w:r>
          </w:p>
          <w:p w:rsidR="00E10893" w:rsidRDefault="007471D4">
            <w:pPr>
              <w:numPr>
                <w:ilvl w:val="0"/>
                <w:numId w:val="3"/>
              </w:numPr>
              <w:tabs>
                <w:tab w:val="left" w:pos="1701"/>
              </w:tabs>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As long as equity resulting from recapitalisation by the Fund has not been redeemed the extent of </w:t>
            </w:r>
            <w:r>
              <w:rPr>
                <w:rFonts w:ascii="Times New Roman" w:eastAsia="Times New Roman" w:hAnsi="Times New Roman" w:cs="Times New Roman"/>
                <w:sz w:val="24"/>
                <w:szCs w:val="24"/>
                <w:highlight w:val="yellow"/>
              </w:rPr>
              <w:t>[75%]</w:t>
            </w:r>
            <w:r>
              <w:rPr>
                <w:rFonts w:ascii="Times New Roman" w:eastAsia="Times New Roman" w:hAnsi="Times New Roman" w:cs="Times New Roman"/>
                <w:sz w:val="24"/>
                <w:szCs w:val="24"/>
              </w:rPr>
              <w:t>, the remuneration of the each member of the management of the benefici</w:t>
            </w:r>
            <w:r>
              <w:rPr>
                <w:rFonts w:ascii="Times New Roman" w:eastAsia="Times New Roman" w:hAnsi="Times New Roman" w:cs="Times New Roman"/>
                <w:sz w:val="24"/>
                <w:szCs w:val="24"/>
              </w:rPr>
              <w:t>aries must not go beyond the fixed part of his/her remuneration on 31 December 2019. For persons becoming members of the management on or after the recapitalisation, the applicable limit is the lowest fixed remuneration of any of the members of the managem</w:t>
            </w:r>
            <w:r>
              <w:rPr>
                <w:rFonts w:ascii="Times New Roman" w:eastAsia="Times New Roman" w:hAnsi="Times New Roman" w:cs="Times New Roman"/>
                <w:sz w:val="24"/>
                <w:szCs w:val="24"/>
              </w:rPr>
              <w:t>ent on 31 December 2019. Under no circumstances, bonuses, other variable or comparable remuneration elements shall be paid.</w:t>
            </w:r>
          </w:p>
          <w:p w:rsidR="00E10893" w:rsidRDefault="007471D4">
            <w:pPr>
              <w:numPr>
                <w:ilvl w:val="0"/>
                <w:numId w:val="3"/>
              </w:numPr>
              <w:tabs>
                <w:tab w:val="left" w:pos="1701"/>
              </w:tabs>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Beneficiaries are prohibited from using the received investment to cross-subsidise other economic activities of integrated undertaki</w:t>
            </w:r>
            <w:r>
              <w:rPr>
                <w:rFonts w:ascii="Times New Roman" w:eastAsia="Times New Roman" w:hAnsi="Times New Roman" w:cs="Times New Roman"/>
                <w:sz w:val="24"/>
                <w:szCs w:val="24"/>
              </w:rPr>
              <w:t>ngs that were in economic difficulties on 31 December 2019. Clear account separation shall be put in place in integrated companies to demonstrate that the recapitalisation measure does not benefit those activities</w:t>
            </w:r>
          </w:p>
          <w:p w:rsidR="00E10893" w:rsidRDefault="00E10893">
            <w:pPr>
              <w:tabs>
                <w:tab w:val="left" w:pos="1701"/>
              </w:tabs>
              <w:jc w:val="both"/>
              <w:rPr>
                <w:rFonts w:ascii="Times New Roman" w:eastAsia="Times New Roman" w:hAnsi="Times New Roman" w:cs="Times New Roman"/>
                <w:sz w:val="24"/>
                <w:szCs w:val="24"/>
              </w:rPr>
            </w:pPr>
          </w:p>
          <w:p w:rsidR="00E10893" w:rsidRDefault="007471D4">
            <w:pPr>
              <w:keepNext/>
              <w:tabs>
                <w:tab w:val="left" w:pos="408"/>
              </w:tabs>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Fund will use indicative ranking syst</w:t>
            </w:r>
            <w:r>
              <w:rPr>
                <w:rFonts w:ascii="Times New Roman" w:eastAsia="Times New Roman" w:hAnsi="Times New Roman" w:cs="Times New Roman"/>
                <w:sz w:val="24"/>
                <w:szCs w:val="24"/>
              </w:rPr>
              <w:t>em to assess the applications. The following information shall be included in the analysis:</w:t>
            </w:r>
          </w:p>
          <w:p w:rsidR="00E10893" w:rsidRDefault="007471D4">
            <w:pPr>
              <w:numPr>
                <w:ilvl w:val="0"/>
                <w:numId w:val="3"/>
              </w:numPr>
              <w:pBdr>
                <w:top w:val="nil"/>
                <w:left w:val="nil"/>
                <w:bottom w:val="nil"/>
                <w:right w:val="nil"/>
                <w:between w:val="nil"/>
              </w:pBdr>
              <w:tabs>
                <w:tab w:val="left" w:pos="1701"/>
              </w:tabs>
              <w:jc w:val="both"/>
              <w:rPr>
                <w:sz w:val="24"/>
                <w:szCs w:val="24"/>
              </w:rPr>
            </w:pPr>
            <w:r>
              <w:rPr>
                <w:rFonts w:ascii="Times New Roman" w:eastAsia="Times New Roman" w:hAnsi="Times New Roman" w:cs="Times New Roman"/>
                <w:sz w:val="24"/>
                <w:szCs w:val="24"/>
              </w:rPr>
              <w:t>company’s ability to continue its operation and possibility to be profitable in the long term;</w:t>
            </w:r>
          </w:p>
          <w:p w:rsidR="00E10893" w:rsidRDefault="007471D4">
            <w:pPr>
              <w:numPr>
                <w:ilvl w:val="0"/>
                <w:numId w:val="3"/>
              </w:numPr>
              <w:pBdr>
                <w:top w:val="nil"/>
                <w:left w:val="nil"/>
                <w:bottom w:val="nil"/>
                <w:right w:val="nil"/>
                <w:between w:val="nil"/>
              </w:pBdr>
              <w:tabs>
                <w:tab w:val="left" w:pos="1701"/>
              </w:tabs>
              <w:jc w:val="both"/>
              <w:rPr>
                <w:sz w:val="24"/>
                <w:szCs w:val="24"/>
              </w:rPr>
            </w:pPr>
            <w:proofErr w:type="gramStart"/>
            <w:r>
              <w:rPr>
                <w:rFonts w:ascii="Times New Roman" w:eastAsia="Times New Roman" w:hAnsi="Times New Roman" w:cs="Times New Roman"/>
                <w:sz w:val="24"/>
                <w:szCs w:val="24"/>
              </w:rPr>
              <w:t>company’s</w:t>
            </w:r>
            <w:proofErr w:type="gramEnd"/>
            <w:r>
              <w:rPr>
                <w:rFonts w:ascii="Times New Roman" w:eastAsia="Times New Roman" w:hAnsi="Times New Roman" w:cs="Times New Roman"/>
                <w:sz w:val="24"/>
                <w:szCs w:val="24"/>
              </w:rPr>
              <w:t xml:space="preserve"> financial situation and liabilities (using ratios such as EBITDA/Debt, EBITDA-to-interest coverage ratio, etc.);</w:t>
            </w:r>
          </w:p>
          <w:p w:rsidR="00E10893" w:rsidRDefault="007471D4">
            <w:pPr>
              <w:numPr>
                <w:ilvl w:val="0"/>
                <w:numId w:val="3"/>
              </w:numPr>
              <w:pBdr>
                <w:top w:val="nil"/>
                <w:left w:val="nil"/>
                <w:bottom w:val="nil"/>
                <w:right w:val="nil"/>
                <w:between w:val="nil"/>
              </w:pBdr>
              <w:tabs>
                <w:tab w:val="left" w:pos="1701"/>
              </w:tabs>
              <w:jc w:val="both"/>
              <w:rPr>
                <w:sz w:val="24"/>
                <w:szCs w:val="24"/>
              </w:rPr>
            </w:pPr>
            <w:r>
              <w:rPr>
                <w:rFonts w:ascii="Times New Roman" w:eastAsia="Times New Roman" w:hAnsi="Times New Roman" w:cs="Times New Roman"/>
                <w:sz w:val="24"/>
                <w:szCs w:val="24"/>
              </w:rPr>
              <w:t>restrictions or limitations imposed on the company’s assets;</w:t>
            </w:r>
          </w:p>
          <w:p w:rsidR="00E10893" w:rsidRDefault="007471D4">
            <w:pPr>
              <w:numPr>
                <w:ilvl w:val="0"/>
                <w:numId w:val="3"/>
              </w:numPr>
              <w:pBdr>
                <w:top w:val="nil"/>
                <w:left w:val="nil"/>
                <w:bottom w:val="nil"/>
                <w:right w:val="nil"/>
                <w:between w:val="nil"/>
              </w:pBdr>
              <w:tabs>
                <w:tab w:val="left" w:pos="1701"/>
              </w:tabs>
              <w:jc w:val="both"/>
              <w:rPr>
                <w:sz w:val="24"/>
                <w:szCs w:val="24"/>
              </w:rPr>
            </w:pPr>
            <w:proofErr w:type="gramStart"/>
            <w:r>
              <w:rPr>
                <w:rFonts w:ascii="Times New Roman" w:eastAsia="Times New Roman" w:hAnsi="Times New Roman" w:cs="Times New Roman"/>
                <w:sz w:val="24"/>
                <w:szCs w:val="24"/>
              </w:rPr>
              <w:t>other</w:t>
            </w:r>
            <w:proofErr w:type="gramEnd"/>
            <w:r>
              <w:rPr>
                <w:rFonts w:ascii="Times New Roman" w:eastAsia="Times New Roman" w:hAnsi="Times New Roman" w:cs="Times New Roman"/>
                <w:sz w:val="24"/>
                <w:szCs w:val="24"/>
              </w:rPr>
              <w:t xml:space="preserve"> criteria which could have a significant impact on the decision on </w:t>
            </w:r>
            <w:r>
              <w:rPr>
                <w:rFonts w:ascii="Times New Roman" w:eastAsia="Times New Roman" w:hAnsi="Times New Roman" w:cs="Times New Roman"/>
                <w:sz w:val="24"/>
                <w:szCs w:val="24"/>
              </w:rPr>
              <w:t>a company’s financing.</w:t>
            </w:r>
          </w:p>
          <w:p w:rsidR="00E10893" w:rsidRDefault="00E10893">
            <w:pPr>
              <w:pBdr>
                <w:top w:val="nil"/>
                <w:left w:val="nil"/>
                <w:bottom w:val="nil"/>
                <w:right w:val="nil"/>
                <w:between w:val="nil"/>
              </w:pBdr>
              <w:tabs>
                <w:tab w:val="left" w:pos="308"/>
              </w:tabs>
              <w:spacing w:line="276" w:lineRule="auto"/>
              <w:jc w:val="both"/>
              <w:rPr>
                <w:rFonts w:ascii="Times New Roman" w:eastAsia="Times New Roman" w:hAnsi="Times New Roman" w:cs="Times New Roman"/>
                <w:sz w:val="24"/>
                <w:szCs w:val="24"/>
              </w:rPr>
            </w:pPr>
          </w:p>
          <w:p w:rsidR="00E10893" w:rsidRDefault="007471D4">
            <w:pPr>
              <w:pBdr>
                <w:top w:val="nil"/>
                <w:left w:val="nil"/>
                <w:bottom w:val="nil"/>
                <w:right w:val="nil"/>
                <w:between w:val="nil"/>
              </w:pBdr>
              <w:tabs>
                <w:tab w:val="left" w:pos="308"/>
              </w:tabs>
              <w:spacing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Fund shall prioritise beneficiaries on the basis of the following criteria:</w:t>
            </w:r>
          </w:p>
          <w:p w:rsidR="00E10893" w:rsidRDefault="007471D4">
            <w:pPr>
              <w:numPr>
                <w:ilvl w:val="0"/>
                <w:numId w:val="5"/>
              </w:numPr>
              <w:pBdr>
                <w:top w:val="nil"/>
                <w:left w:val="nil"/>
                <w:bottom w:val="nil"/>
                <w:right w:val="nil"/>
                <w:between w:val="nil"/>
              </w:pBdr>
              <w:tabs>
                <w:tab w:val="left" w:pos="308"/>
              </w:tabs>
              <w:spacing w:line="276" w:lineRule="auto"/>
              <w:jc w:val="both"/>
              <w:rPr>
                <w:sz w:val="24"/>
                <w:szCs w:val="24"/>
              </w:rPr>
            </w:pPr>
            <w:r>
              <w:rPr>
                <w:rFonts w:ascii="Times New Roman" w:eastAsia="Times New Roman" w:hAnsi="Times New Roman" w:cs="Times New Roman"/>
                <w:sz w:val="24"/>
                <w:szCs w:val="24"/>
              </w:rPr>
              <w:t>priority shall be given to beneficiar</w:t>
            </w:r>
            <w:r>
              <w:rPr>
                <w:rFonts w:ascii="Times New Roman" w:eastAsia="Times New Roman" w:hAnsi="Times New Roman" w:cs="Times New Roman"/>
                <w:sz w:val="24"/>
                <w:szCs w:val="24"/>
              </w:rPr>
              <w:t>ies affected by the COVID-19 crisis and included in the list of affected companies published by the State Tax Inspectorate under the Ministry of Finance of the Republic of Lithuania;</w:t>
            </w:r>
          </w:p>
          <w:p w:rsidR="00E10893" w:rsidRDefault="007471D4">
            <w:pPr>
              <w:numPr>
                <w:ilvl w:val="0"/>
                <w:numId w:val="5"/>
              </w:numPr>
              <w:pBdr>
                <w:top w:val="nil"/>
                <w:left w:val="nil"/>
                <w:bottom w:val="nil"/>
                <w:right w:val="nil"/>
                <w:between w:val="nil"/>
              </w:pBdr>
              <w:tabs>
                <w:tab w:val="left" w:pos="308"/>
              </w:tabs>
              <w:spacing w:line="276" w:lineRule="auto"/>
              <w:jc w:val="both"/>
              <w:rPr>
                <w:sz w:val="24"/>
                <w:szCs w:val="24"/>
              </w:rPr>
            </w:pPr>
            <w:proofErr w:type="gramStart"/>
            <w:r>
              <w:rPr>
                <w:rFonts w:ascii="Times New Roman" w:eastAsia="Times New Roman" w:hAnsi="Times New Roman" w:cs="Times New Roman"/>
                <w:sz w:val="24"/>
                <w:szCs w:val="24"/>
              </w:rPr>
              <w:t>taxes</w:t>
            </w:r>
            <w:proofErr w:type="gramEnd"/>
            <w:r>
              <w:rPr>
                <w:rFonts w:ascii="Times New Roman" w:eastAsia="Times New Roman" w:hAnsi="Times New Roman" w:cs="Times New Roman"/>
                <w:sz w:val="24"/>
                <w:szCs w:val="24"/>
              </w:rPr>
              <w:t xml:space="preserve"> and wages paid by the beneficiary until 16 March 2020 shall be asse</w:t>
            </w:r>
            <w:r>
              <w:rPr>
                <w:rFonts w:ascii="Times New Roman" w:eastAsia="Times New Roman" w:hAnsi="Times New Roman" w:cs="Times New Roman"/>
                <w:sz w:val="24"/>
                <w:szCs w:val="24"/>
              </w:rPr>
              <w:t>ssed.</w:t>
            </w:r>
          </w:p>
        </w:tc>
      </w:tr>
      <w:tr w:rsidR="00E10893">
        <w:trPr>
          <w:trHeight w:val="60"/>
        </w:trPr>
        <w:tc>
          <w:tcPr>
            <w:tcW w:w="510" w:type="dxa"/>
            <w:tcBorders>
              <w:top w:val="single" w:sz="4" w:space="0" w:color="000000"/>
              <w:left w:val="single" w:sz="4" w:space="0" w:color="000000"/>
              <w:bottom w:val="single" w:sz="4" w:space="0" w:color="000000"/>
              <w:right w:val="single" w:sz="4" w:space="0" w:color="000000"/>
            </w:tcBorders>
          </w:tcPr>
          <w:p w:rsidR="00E10893" w:rsidRDefault="007471D4">
            <w:pPr>
              <w:pBdr>
                <w:top w:val="nil"/>
                <w:left w:val="nil"/>
                <w:bottom w:val="nil"/>
                <w:right w:val="nil"/>
                <w:between w:val="nil"/>
              </w:pBd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 7.</w:t>
            </w:r>
          </w:p>
        </w:tc>
        <w:tc>
          <w:tcPr>
            <w:tcW w:w="1815"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cPr>
          <w:p w:rsidR="00E10893" w:rsidRDefault="007471D4">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Unsuitable investments</w:t>
            </w:r>
          </w:p>
        </w:tc>
        <w:tc>
          <w:tcPr>
            <w:tcW w:w="7590"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cPr>
          <w:p w:rsidR="00E10893" w:rsidRDefault="007471D4">
            <w:pPr>
              <w:pBdr>
                <w:top w:val="nil"/>
                <w:left w:val="nil"/>
                <w:bottom w:val="nil"/>
                <w:right w:val="nil"/>
                <w:between w:val="nil"/>
              </w:pBdr>
              <w:tabs>
                <w:tab w:val="left" w:pos="1701"/>
              </w:tabs>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It shall be prohibited for the Fund to invest in </w:t>
            </w:r>
            <w:r>
              <w:rPr>
                <w:rFonts w:ascii="Times New Roman" w:eastAsia="Times New Roman" w:hAnsi="Times New Roman" w:cs="Times New Roman"/>
                <w:sz w:val="24"/>
                <w:szCs w:val="24"/>
              </w:rPr>
              <w:t xml:space="preserve">beneficiaries </w:t>
            </w:r>
            <w:r>
              <w:rPr>
                <w:rFonts w:ascii="Times New Roman" w:eastAsia="Times New Roman" w:hAnsi="Times New Roman" w:cs="Times New Roman"/>
                <w:color w:val="000000"/>
                <w:sz w:val="24"/>
                <w:szCs w:val="24"/>
              </w:rPr>
              <w:t>which:</w:t>
            </w:r>
          </w:p>
          <w:p w:rsidR="00E10893" w:rsidRDefault="007471D4">
            <w:pPr>
              <w:numPr>
                <w:ilvl w:val="0"/>
                <w:numId w:val="12"/>
              </w:numPr>
              <w:rPr>
                <w:rFonts w:ascii="Times New Roman" w:eastAsia="Times New Roman" w:hAnsi="Times New Roman" w:cs="Times New Roman"/>
                <w:sz w:val="24"/>
                <w:szCs w:val="24"/>
              </w:rPr>
            </w:pPr>
            <w:r>
              <w:rPr>
                <w:rFonts w:ascii="Times New Roman" w:eastAsia="Times New Roman" w:hAnsi="Times New Roman" w:cs="Times New Roman"/>
                <w:sz w:val="24"/>
                <w:szCs w:val="24"/>
              </w:rPr>
              <w:t>are directly engaged in the manufacture of weapons and ammunition; manufacture of tobacco and tobacco products, manufacture, processing and retail sale in specialised stores of distilled alcoholic beverages and related products (excluding manufacture of no</w:t>
            </w:r>
            <w:r>
              <w:rPr>
                <w:rFonts w:ascii="Times New Roman" w:eastAsia="Times New Roman" w:hAnsi="Times New Roman" w:cs="Times New Roman"/>
                <w:sz w:val="24"/>
                <w:szCs w:val="24"/>
              </w:rPr>
              <w:t>n-distilled alcoholic beverages);</w:t>
            </w:r>
          </w:p>
          <w:p w:rsidR="00E10893" w:rsidRDefault="007471D4">
            <w:pPr>
              <w:numPr>
                <w:ilvl w:val="0"/>
                <w:numId w:val="12"/>
              </w:numPr>
              <w:pBdr>
                <w:top w:val="nil"/>
                <w:left w:val="nil"/>
                <w:bottom w:val="nil"/>
                <w:right w:val="nil"/>
                <w:between w:val="nil"/>
              </w:pBdr>
              <w:tabs>
                <w:tab w:val="left" w:pos="1701"/>
              </w:tabs>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are engaged in gambling and betting activities;</w:t>
            </w:r>
          </w:p>
          <w:p w:rsidR="00E10893" w:rsidRDefault="007471D4">
            <w:pPr>
              <w:numPr>
                <w:ilvl w:val="0"/>
                <w:numId w:val="12"/>
              </w:numPr>
              <w:pBdr>
                <w:top w:val="nil"/>
                <w:left w:val="nil"/>
                <w:bottom w:val="nil"/>
                <w:right w:val="nil"/>
                <w:between w:val="nil"/>
              </w:pBdr>
              <w:tabs>
                <w:tab w:val="left" w:pos="1701"/>
              </w:tabs>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are engaged in the provision of financial services and insurance activities;</w:t>
            </w:r>
          </w:p>
          <w:p w:rsidR="00E10893" w:rsidRDefault="007471D4">
            <w:pPr>
              <w:numPr>
                <w:ilvl w:val="0"/>
                <w:numId w:val="12"/>
              </w:numPr>
              <w:pBdr>
                <w:top w:val="nil"/>
                <w:left w:val="nil"/>
                <w:bottom w:val="nil"/>
                <w:right w:val="nil"/>
                <w:between w:val="nil"/>
              </w:pBdr>
              <w:tabs>
                <w:tab w:val="left" w:pos="1701"/>
              </w:tabs>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 xml:space="preserve">if at least one of the company’s managers or shareholders: </w:t>
            </w:r>
          </w:p>
          <w:p w:rsidR="00E10893" w:rsidRDefault="007471D4">
            <w:pPr>
              <w:numPr>
                <w:ilvl w:val="0"/>
                <w:numId w:val="8"/>
              </w:numPr>
              <w:pBdr>
                <w:top w:val="nil"/>
                <w:left w:val="nil"/>
                <w:bottom w:val="nil"/>
                <w:right w:val="nil"/>
                <w:between w:val="nil"/>
              </w:pBdr>
              <w:ind w:left="1453" w:hanging="426"/>
              <w:rPr>
                <w:color w:val="000000"/>
                <w:sz w:val="24"/>
                <w:szCs w:val="24"/>
              </w:rPr>
            </w:pPr>
            <w:r>
              <w:rPr>
                <w:rFonts w:ascii="Times New Roman" w:eastAsia="Times New Roman" w:hAnsi="Times New Roman" w:cs="Times New Roman"/>
                <w:color w:val="000000"/>
                <w:sz w:val="24"/>
                <w:szCs w:val="24"/>
              </w:rPr>
              <w:t>has been convicted of a serious or grave crime provided for in the Criminal Code of the Republic of Lithuania or of a crime against property, property rights and property interests, economy and business practice, the financial system, public security, civi</w:t>
            </w:r>
            <w:r>
              <w:rPr>
                <w:rFonts w:ascii="Times New Roman" w:eastAsia="Times New Roman" w:hAnsi="Times New Roman" w:cs="Times New Roman"/>
                <w:color w:val="000000"/>
                <w:sz w:val="24"/>
                <w:szCs w:val="24"/>
              </w:rPr>
              <w:t>l service and public interests or of corresponding criminal acts under criminal laws of foreign states, irrespective of whether or not the conviction has expired; or</w:t>
            </w:r>
          </w:p>
          <w:p w:rsidR="00E10893" w:rsidRDefault="00E10893">
            <w:pPr>
              <w:pBdr>
                <w:top w:val="nil"/>
                <w:left w:val="nil"/>
                <w:bottom w:val="nil"/>
                <w:right w:val="nil"/>
                <w:between w:val="nil"/>
              </w:pBdr>
              <w:tabs>
                <w:tab w:val="left" w:pos="1701"/>
              </w:tabs>
              <w:ind w:left="733" w:hanging="426"/>
              <w:jc w:val="both"/>
              <w:rPr>
                <w:rFonts w:ascii="Times New Roman" w:eastAsia="Times New Roman" w:hAnsi="Times New Roman" w:cs="Times New Roman"/>
                <w:color w:val="000000"/>
                <w:sz w:val="24"/>
                <w:szCs w:val="24"/>
              </w:rPr>
            </w:pPr>
          </w:p>
          <w:p w:rsidR="00E10893" w:rsidRDefault="007471D4">
            <w:pPr>
              <w:numPr>
                <w:ilvl w:val="0"/>
                <w:numId w:val="8"/>
              </w:numPr>
              <w:pBdr>
                <w:top w:val="nil"/>
                <w:left w:val="nil"/>
                <w:bottom w:val="nil"/>
                <w:right w:val="nil"/>
                <w:between w:val="nil"/>
              </w:pBdr>
              <w:tabs>
                <w:tab w:val="left" w:pos="1701"/>
              </w:tabs>
              <w:ind w:left="1453" w:hanging="426"/>
              <w:jc w:val="both"/>
              <w:rPr>
                <w:color w:val="000000"/>
                <w:sz w:val="24"/>
                <w:szCs w:val="24"/>
              </w:rPr>
            </w:pPr>
            <w:r>
              <w:rPr>
                <w:rFonts w:ascii="Times New Roman" w:eastAsia="Times New Roman" w:hAnsi="Times New Roman" w:cs="Times New Roman"/>
                <w:color w:val="000000"/>
                <w:sz w:val="24"/>
                <w:szCs w:val="24"/>
              </w:rPr>
              <w:t>has been convicted of another crime not referred to in point 2.9.4.1, the Criminal Code o</w:t>
            </w:r>
            <w:r>
              <w:rPr>
                <w:rFonts w:ascii="Times New Roman" w:eastAsia="Times New Roman" w:hAnsi="Times New Roman" w:cs="Times New Roman"/>
                <w:color w:val="000000"/>
                <w:sz w:val="24"/>
                <w:szCs w:val="24"/>
              </w:rPr>
              <w:t>f the Republic of Lithuania or laws of foreign states, and less than three years have passed since the sentence was served, suspended or waived.</w:t>
            </w:r>
          </w:p>
          <w:p w:rsidR="00E10893" w:rsidRDefault="00E10893">
            <w:pPr>
              <w:pBdr>
                <w:top w:val="nil"/>
                <w:left w:val="nil"/>
                <w:bottom w:val="nil"/>
                <w:right w:val="nil"/>
                <w:between w:val="nil"/>
              </w:pBdr>
              <w:ind w:left="449" w:hanging="283"/>
              <w:jc w:val="both"/>
              <w:rPr>
                <w:rFonts w:ascii="Times New Roman" w:eastAsia="Times New Roman" w:hAnsi="Times New Roman" w:cs="Times New Roman"/>
                <w:color w:val="000000"/>
                <w:sz w:val="24"/>
                <w:szCs w:val="24"/>
              </w:rPr>
            </w:pPr>
          </w:p>
          <w:p w:rsidR="00E10893" w:rsidRDefault="007471D4">
            <w:pPr>
              <w:pBdr>
                <w:top w:val="nil"/>
                <w:left w:val="nil"/>
                <w:bottom w:val="nil"/>
                <w:right w:val="nil"/>
                <w:between w:val="nil"/>
              </w:pBdr>
              <w:tabs>
                <w:tab w:val="left" w:pos="851"/>
              </w:tabs>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The Fund shall not invest in state and municipal enterprises and companies where the state and/or municipality directly or indirectly (according to the voting agreement, agreement on the transfer of voting rights, authorisation, etc.) individually or joint</w:t>
            </w:r>
            <w:r>
              <w:rPr>
                <w:rFonts w:ascii="Times New Roman" w:eastAsia="Times New Roman" w:hAnsi="Times New Roman" w:cs="Times New Roman"/>
                <w:color w:val="000000"/>
                <w:sz w:val="24"/>
                <w:szCs w:val="24"/>
              </w:rPr>
              <w:t>ly hold 25% or more of its equity securities, shares or other capital holdings, or 25% or more of its voting rights.</w:t>
            </w:r>
          </w:p>
          <w:p w:rsidR="00E10893" w:rsidRDefault="00E10893">
            <w:pPr>
              <w:jc w:val="both"/>
              <w:rPr>
                <w:rFonts w:ascii="Times New Roman" w:eastAsia="Times New Roman" w:hAnsi="Times New Roman" w:cs="Times New Roman"/>
                <w:sz w:val="24"/>
                <w:szCs w:val="24"/>
              </w:rPr>
            </w:pPr>
          </w:p>
        </w:tc>
      </w:tr>
      <w:tr w:rsidR="00E10893">
        <w:trPr>
          <w:trHeight w:val="60"/>
        </w:trPr>
        <w:tc>
          <w:tcPr>
            <w:tcW w:w="510" w:type="dxa"/>
            <w:tcBorders>
              <w:top w:val="single" w:sz="4" w:space="0" w:color="000000"/>
              <w:left w:val="single" w:sz="4" w:space="0" w:color="000000"/>
              <w:bottom w:val="single" w:sz="4" w:space="0" w:color="000000"/>
              <w:right w:val="single" w:sz="4" w:space="0" w:color="000000"/>
            </w:tcBorders>
          </w:tcPr>
          <w:p w:rsidR="00E10893" w:rsidRDefault="007471D4">
            <w:pPr>
              <w:pBdr>
                <w:top w:val="nil"/>
                <w:left w:val="nil"/>
                <w:bottom w:val="nil"/>
                <w:right w:val="nil"/>
                <w:between w:val="nil"/>
              </w:pBd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 8.</w:t>
            </w:r>
          </w:p>
        </w:tc>
        <w:tc>
          <w:tcPr>
            <w:tcW w:w="1815"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cPr>
          <w:p w:rsidR="00E10893" w:rsidRDefault="007471D4">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Financing form</w:t>
            </w:r>
          </w:p>
        </w:tc>
        <w:tc>
          <w:tcPr>
            <w:tcW w:w="7590"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cPr>
          <w:p w:rsidR="00E10893" w:rsidRDefault="007471D4">
            <w:pPr>
              <w:pBdr>
                <w:top w:val="nil"/>
                <w:left w:val="nil"/>
                <w:bottom w:val="nil"/>
                <w:right w:val="nil"/>
                <w:between w:val="nil"/>
              </w:pBdr>
              <w:tabs>
                <w:tab w:val="left" w:pos="851"/>
              </w:tabs>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The Fund’s assets may be invested:</w:t>
            </w:r>
          </w:p>
          <w:p w:rsidR="00E10893" w:rsidRDefault="007471D4">
            <w:pPr>
              <w:pBdr>
                <w:top w:val="nil"/>
                <w:left w:val="nil"/>
                <w:bottom w:val="nil"/>
                <w:right w:val="nil"/>
                <w:between w:val="nil"/>
              </w:pBdr>
              <w:tabs>
                <w:tab w:val="left" w:pos="449"/>
              </w:tabs>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in debt securities newly issued by legal persons with a maturity up to 6 years; and/or</w:t>
            </w:r>
          </w:p>
          <w:p w:rsidR="00E10893" w:rsidRDefault="007471D4">
            <w:pPr>
              <w:pBdr>
                <w:top w:val="nil"/>
                <w:left w:val="nil"/>
                <w:bottom w:val="nil"/>
                <w:right w:val="nil"/>
                <w:between w:val="nil"/>
              </w:pBdr>
              <w:tabs>
                <w:tab w:val="left" w:pos="449"/>
              </w:tabs>
              <w:jc w:val="both"/>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w:t>
            </w:r>
            <w:r>
              <w:rPr>
                <w:rFonts w:ascii="Times New Roman" w:eastAsia="Times New Roman" w:hAnsi="Times New Roman" w:cs="Times New Roman"/>
                <w:sz w:val="24"/>
                <w:szCs w:val="24"/>
              </w:rPr>
              <w:tab/>
              <w:t>directly in loans to legal entities with a maturity up to 6 years;</w:t>
            </w:r>
          </w:p>
          <w:p w:rsidR="00E10893" w:rsidRDefault="007471D4">
            <w:pPr>
              <w:pBdr>
                <w:top w:val="nil"/>
                <w:left w:val="nil"/>
                <w:bottom w:val="nil"/>
                <w:right w:val="nil"/>
                <w:between w:val="nil"/>
              </w:pBdr>
              <w:tabs>
                <w:tab w:val="left" w:pos="449"/>
              </w:tabs>
              <w:jc w:val="both"/>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w:t>
            </w:r>
            <w:r>
              <w:rPr>
                <w:rFonts w:ascii="Times New Roman" w:eastAsia="Times New Roman" w:hAnsi="Times New Roman" w:cs="Times New Roman"/>
                <w:sz w:val="24"/>
                <w:szCs w:val="24"/>
              </w:rPr>
              <w:tab/>
              <w:t>in equity securities issued by legal persons; and/or</w:t>
            </w:r>
          </w:p>
          <w:p w:rsidR="00E10893" w:rsidRDefault="007471D4">
            <w:pPr>
              <w:pBdr>
                <w:top w:val="nil"/>
                <w:left w:val="nil"/>
                <w:bottom w:val="nil"/>
                <w:right w:val="nil"/>
                <w:between w:val="nil"/>
              </w:pBdr>
              <w:tabs>
                <w:tab w:val="left" w:pos="449"/>
              </w:tabs>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Pr>
                <w:rFonts w:ascii="Times New Roman" w:eastAsia="Times New Roman" w:hAnsi="Times New Roman" w:cs="Times New Roman"/>
                <w:sz w:val="24"/>
                <w:szCs w:val="24"/>
              </w:rPr>
              <w:tab/>
            </w:r>
            <w:proofErr w:type="gramStart"/>
            <w:r>
              <w:rPr>
                <w:rFonts w:ascii="Times New Roman" w:eastAsia="Times New Roman" w:hAnsi="Times New Roman" w:cs="Times New Roman"/>
                <w:sz w:val="24"/>
                <w:szCs w:val="24"/>
              </w:rPr>
              <w:t>in</w:t>
            </w:r>
            <w:proofErr w:type="gramEnd"/>
            <w:r>
              <w:rPr>
                <w:rFonts w:ascii="Times New Roman" w:eastAsia="Times New Roman" w:hAnsi="Times New Roman" w:cs="Times New Roman"/>
                <w:sz w:val="24"/>
                <w:szCs w:val="24"/>
              </w:rPr>
              <w:t xml:space="preserve"> debt instruments that have or may have a</w:t>
            </w:r>
            <w:r>
              <w:rPr>
                <w:rFonts w:ascii="Times New Roman" w:eastAsia="Times New Roman" w:hAnsi="Times New Roman" w:cs="Times New Roman"/>
                <w:sz w:val="24"/>
                <w:szCs w:val="24"/>
              </w:rPr>
              <w:t>n equity component with a maturity up to 6 years (convertible debt securities, mezzanine loans, subordinated debt, etc.).</w:t>
            </w:r>
          </w:p>
        </w:tc>
      </w:tr>
      <w:tr w:rsidR="00E10893">
        <w:trPr>
          <w:trHeight w:val="60"/>
        </w:trPr>
        <w:tc>
          <w:tcPr>
            <w:tcW w:w="510" w:type="dxa"/>
            <w:tcBorders>
              <w:top w:val="single" w:sz="4" w:space="0" w:color="000000"/>
              <w:left w:val="single" w:sz="4" w:space="0" w:color="000000"/>
              <w:bottom w:val="single" w:sz="4" w:space="0" w:color="000000"/>
              <w:right w:val="single" w:sz="4" w:space="0" w:color="000000"/>
            </w:tcBorders>
          </w:tcPr>
          <w:p w:rsidR="00E10893" w:rsidRDefault="007471D4">
            <w:pPr>
              <w:pBdr>
                <w:top w:val="nil"/>
                <w:left w:val="nil"/>
                <w:bottom w:val="nil"/>
                <w:right w:val="nil"/>
                <w:between w:val="nil"/>
              </w:pBd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9.</w:t>
            </w:r>
          </w:p>
        </w:tc>
        <w:tc>
          <w:tcPr>
            <w:tcW w:w="1815"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cPr>
          <w:p w:rsidR="00E10893" w:rsidRDefault="007471D4">
            <w:pPr>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Financing amount per </w:t>
            </w:r>
            <w:r>
              <w:rPr>
                <w:rFonts w:ascii="Times New Roman" w:eastAsia="Times New Roman" w:hAnsi="Times New Roman" w:cs="Times New Roman"/>
                <w:sz w:val="24"/>
                <w:szCs w:val="24"/>
              </w:rPr>
              <w:t>beneficiary</w:t>
            </w:r>
          </w:p>
          <w:p w:rsidR="00E10893" w:rsidRDefault="00E10893">
            <w:pPr>
              <w:pBdr>
                <w:top w:val="nil"/>
                <w:left w:val="nil"/>
                <w:bottom w:val="nil"/>
                <w:right w:val="nil"/>
                <w:between w:val="nil"/>
              </w:pBdr>
              <w:rPr>
                <w:rFonts w:ascii="Times New Roman" w:eastAsia="Times New Roman" w:hAnsi="Times New Roman" w:cs="Times New Roman"/>
                <w:b/>
                <w:color w:val="000000"/>
                <w:sz w:val="24"/>
                <w:szCs w:val="24"/>
              </w:rPr>
            </w:pPr>
          </w:p>
          <w:p w:rsidR="00E10893" w:rsidRDefault="00E10893">
            <w:pPr>
              <w:pBdr>
                <w:top w:val="nil"/>
                <w:left w:val="nil"/>
                <w:bottom w:val="nil"/>
                <w:right w:val="nil"/>
                <w:between w:val="nil"/>
              </w:pBdr>
              <w:rPr>
                <w:rFonts w:ascii="Times New Roman" w:eastAsia="Times New Roman" w:hAnsi="Times New Roman" w:cs="Times New Roman"/>
                <w:color w:val="000000"/>
                <w:sz w:val="24"/>
                <w:szCs w:val="24"/>
              </w:rPr>
            </w:pPr>
          </w:p>
        </w:tc>
        <w:tc>
          <w:tcPr>
            <w:tcW w:w="7590"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cPr>
          <w:p w:rsidR="00E10893" w:rsidRDefault="007471D4">
            <w:pPr>
              <w:pBdr>
                <w:top w:val="nil"/>
                <w:left w:val="nil"/>
                <w:bottom w:val="nil"/>
                <w:right w:val="nil"/>
                <w:between w:val="nil"/>
              </w:pBdr>
              <w:tabs>
                <w:tab w:val="left" w:pos="1701"/>
              </w:tabs>
              <w:jc w:val="both"/>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Investment in debt securities from €1 million;</w:t>
            </w:r>
          </w:p>
          <w:p w:rsidR="00E10893" w:rsidRDefault="00E10893">
            <w:pPr>
              <w:pBdr>
                <w:top w:val="nil"/>
                <w:left w:val="nil"/>
                <w:bottom w:val="nil"/>
                <w:right w:val="nil"/>
                <w:between w:val="nil"/>
              </w:pBdr>
              <w:tabs>
                <w:tab w:val="left" w:pos="1701"/>
              </w:tabs>
              <w:ind w:left="1701"/>
              <w:jc w:val="both"/>
              <w:rPr>
                <w:rFonts w:ascii="Times New Roman" w:eastAsia="Times New Roman" w:hAnsi="Times New Roman" w:cs="Times New Roman"/>
                <w:color w:val="000000"/>
                <w:sz w:val="24"/>
                <w:szCs w:val="24"/>
              </w:rPr>
            </w:pPr>
          </w:p>
          <w:p w:rsidR="00E10893" w:rsidRDefault="007471D4">
            <w:pPr>
              <w:pBdr>
                <w:top w:val="nil"/>
                <w:left w:val="nil"/>
                <w:bottom w:val="nil"/>
                <w:right w:val="nil"/>
                <w:between w:val="nil"/>
              </w:pBdr>
              <w:tabs>
                <w:tab w:val="left" w:pos="1701"/>
              </w:tabs>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Loans from €300 thousand to €2 million.</w:t>
            </w:r>
          </w:p>
          <w:p w:rsidR="00E10893" w:rsidRDefault="00E10893">
            <w:pPr>
              <w:pBdr>
                <w:top w:val="nil"/>
                <w:left w:val="nil"/>
                <w:bottom w:val="nil"/>
                <w:right w:val="nil"/>
                <w:between w:val="nil"/>
              </w:pBdr>
              <w:tabs>
                <w:tab w:val="left" w:pos="1701"/>
              </w:tabs>
              <w:jc w:val="both"/>
              <w:rPr>
                <w:rFonts w:ascii="Times New Roman" w:eastAsia="Times New Roman" w:hAnsi="Times New Roman" w:cs="Times New Roman"/>
                <w:color w:val="000000"/>
                <w:sz w:val="24"/>
                <w:szCs w:val="24"/>
              </w:rPr>
            </w:pPr>
          </w:p>
          <w:p w:rsidR="00E10893" w:rsidRDefault="007471D4">
            <w:pP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The amount of measures (loans, debt securities) per beneficiary may not exceed 25% of the beneficiary’s total turnover for 2019, with the exception set out in point 27(d</w:t>
            </w:r>
            <w:proofErr w:type="gramStart"/>
            <w:r>
              <w:rPr>
                <w:rFonts w:ascii="Times New Roman" w:eastAsia="Times New Roman" w:hAnsi="Times New Roman" w:cs="Times New Roman"/>
                <w:color w:val="000000"/>
                <w:sz w:val="24"/>
                <w:szCs w:val="24"/>
              </w:rPr>
              <w:t>)(</w:t>
            </w:r>
            <w:proofErr w:type="gramEnd"/>
            <w:r>
              <w:rPr>
                <w:rFonts w:ascii="Times New Roman" w:eastAsia="Times New Roman" w:hAnsi="Times New Roman" w:cs="Times New Roman"/>
                <w:color w:val="000000"/>
                <w:sz w:val="24"/>
                <w:szCs w:val="24"/>
              </w:rPr>
              <w:t xml:space="preserve">iii) of the Communication. </w:t>
            </w:r>
          </w:p>
          <w:p w:rsidR="00E10893" w:rsidRDefault="00E10893">
            <w:pPr>
              <w:rPr>
                <w:rFonts w:ascii="Times New Roman" w:eastAsia="Times New Roman" w:hAnsi="Times New Roman" w:cs="Times New Roman"/>
                <w:sz w:val="24"/>
                <w:szCs w:val="24"/>
              </w:rPr>
            </w:pPr>
          </w:p>
          <w:p w:rsidR="00E10893" w:rsidRDefault="007471D4">
            <w:pP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The amount of subordinated debt shall not exceed:</w:t>
            </w:r>
          </w:p>
          <w:p w:rsidR="00E10893" w:rsidRDefault="007471D4">
            <w:pPr>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rPr>
              <w:t>i</w:t>
            </w:r>
            <w:proofErr w:type="spellEnd"/>
            <w:r>
              <w:rPr>
                <w:rFonts w:ascii="Times New Roman" w:eastAsia="Times New Roman" w:hAnsi="Times New Roman" w:cs="Times New Roman"/>
                <w:color w:val="000000"/>
                <w:sz w:val="24"/>
                <w:szCs w:val="24"/>
              </w:rPr>
              <w:t>. 40%</w:t>
            </w:r>
            <w:r>
              <w:rPr>
                <w:rFonts w:ascii="Times New Roman" w:eastAsia="Times New Roman" w:hAnsi="Times New Roman" w:cs="Times New Roman"/>
                <w:color w:val="000000"/>
                <w:sz w:val="24"/>
                <w:szCs w:val="24"/>
              </w:rPr>
              <w:t xml:space="preserve"> of the annual wage bill of the beneficiary (</w:t>
            </w:r>
            <w:proofErr w:type="spellStart"/>
            <w:r>
              <w:rPr>
                <w:rFonts w:ascii="Times New Roman" w:eastAsia="Times New Roman" w:hAnsi="Times New Roman" w:cs="Times New Roman"/>
                <w:color w:val="000000"/>
                <w:sz w:val="24"/>
                <w:szCs w:val="24"/>
              </w:rPr>
              <w:t>i</w:t>
            </w:r>
            <w:proofErr w:type="spellEnd"/>
            <w:r>
              <w:rPr>
                <w:rFonts w:ascii="Times New Roman" w:eastAsia="Times New Roman" w:hAnsi="Times New Roman" w:cs="Times New Roman"/>
                <w:color w:val="000000"/>
                <w:sz w:val="24"/>
                <w:szCs w:val="24"/>
              </w:rPr>
              <w:t>), or</w:t>
            </w:r>
          </w:p>
          <w:p w:rsidR="00E10893" w:rsidRDefault="007471D4">
            <w:pPr>
              <w:rPr>
                <w:rFonts w:ascii="Times New Roman" w:eastAsia="Times New Roman" w:hAnsi="Times New Roman" w:cs="Times New Roman"/>
                <w:sz w:val="24"/>
                <w:szCs w:val="24"/>
              </w:rPr>
            </w:pPr>
            <w:proofErr w:type="gramStart"/>
            <w:r>
              <w:rPr>
                <w:rFonts w:ascii="Times New Roman" w:eastAsia="Times New Roman" w:hAnsi="Times New Roman" w:cs="Times New Roman"/>
                <w:color w:val="000000"/>
                <w:sz w:val="24"/>
                <w:szCs w:val="24"/>
              </w:rPr>
              <w:t>ii. 5</w:t>
            </w:r>
            <w:proofErr w:type="gramEnd"/>
            <w:r>
              <w:rPr>
                <w:rFonts w:ascii="Times New Roman" w:eastAsia="Times New Roman" w:hAnsi="Times New Roman" w:cs="Times New Roman"/>
                <w:color w:val="000000"/>
                <w:sz w:val="24"/>
                <w:szCs w:val="24"/>
              </w:rPr>
              <w:t>% of the beneficiary’s total turnover in 2019</w:t>
            </w:r>
            <w:r>
              <w:rPr>
                <w:rFonts w:ascii="Times New Roman" w:eastAsia="Times New Roman" w:hAnsi="Times New Roman" w:cs="Times New Roman"/>
                <w:sz w:val="24"/>
                <w:szCs w:val="24"/>
              </w:rPr>
              <w:t>.</w:t>
            </w:r>
          </w:p>
          <w:p w:rsidR="00E10893" w:rsidRDefault="00E10893">
            <w:pPr>
              <w:pBdr>
                <w:top w:val="nil"/>
                <w:left w:val="nil"/>
                <w:bottom w:val="nil"/>
                <w:right w:val="nil"/>
                <w:between w:val="nil"/>
              </w:pBdr>
              <w:jc w:val="both"/>
              <w:rPr>
                <w:rFonts w:ascii="Times New Roman" w:eastAsia="Times New Roman" w:hAnsi="Times New Roman" w:cs="Times New Roman"/>
                <w:sz w:val="24"/>
                <w:szCs w:val="24"/>
              </w:rPr>
            </w:pPr>
          </w:p>
          <w:p w:rsidR="00E10893" w:rsidRDefault="007471D4">
            <w:pPr>
              <w:pBdr>
                <w:top w:val="nil"/>
                <w:left w:val="nil"/>
                <w:bottom w:val="nil"/>
                <w:right w:val="nil"/>
                <w:between w:val="nil"/>
              </w:pBd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cap for recapitalization will be set at the differential of the capital structure of beneficiary at 31 December 2019 and at the point of transaction. The amount of the COVID-19 recapitalisation must not exceed the minimum needed to ensure the viability</w:t>
            </w:r>
            <w:r>
              <w:rPr>
                <w:rFonts w:ascii="Times New Roman" w:eastAsia="Times New Roman" w:hAnsi="Times New Roman" w:cs="Times New Roman"/>
                <w:sz w:val="24"/>
                <w:szCs w:val="24"/>
              </w:rPr>
              <w:t xml:space="preserve"> of the beneficiary. In assessing the proportionality of the aid, State aid received or planned in the context of the COVID-19 outbreak shall be taken into account.</w:t>
            </w:r>
          </w:p>
        </w:tc>
      </w:tr>
      <w:tr w:rsidR="00E10893">
        <w:trPr>
          <w:trHeight w:val="60"/>
        </w:trPr>
        <w:tc>
          <w:tcPr>
            <w:tcW w:w="510" w:type="dxa"/>
            <w:tcBorders>
              <w:top w:val="single" w:sz="4" w:space="0" w:color="000000"/>
              <w:left w:val="single" w:sz="4" w:space="0" w:color="000000"/>
              <w:bottom w:val="single" w:sz="4" w:space="0" w:color="000000"/>
              <w:right w:val="single" w:sz="4" w:space="0" w:color="000000"/>
            </w:tcBorders>
          </w:tcPr>
          <w:p w:rsidR="00E10893" w:rsidRDefault="007471D4">
            <w:pPr>
              <w:pBdr>
                <w:top w:val="nil"/>
                <w:left w:val="nil"/>
                <w:bottom w:val="nil"/>
                <w:right w:val="nil"/>
                <w:between w:val="nil"/>
              </w:pBd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10. </w:t>
            </w:r>
          </w:p>
        </w:tc>
        <w:tc>
          <w:tcPr>
            <w:tcW w:w="1815"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cPr>
          <w:p w:rsidR="00E10893" w:rsidRDefault="007471D4">
            <w:pPr>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Funding cost (interest rate)</w:t>
            </w:r>
          </w:p>
        </w:tc>
        <w:tc>
          <w:tcPr>
            <w:tcW w:w="7590"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cPr>
          <w:p w:rsidR="00E10893" w:rsidRDefault="007471D4">
            <w:pPr>
              <w:pBdr>
                <w:top w:val="nil"/>
                <w:left w:val="nil"/>
                <w:bottom w:val="nil"/>
                <w:right w:val="nil"/>
                <w:between w:val="nil"/>
              </w:pBdr>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Loans and debt securities</w:t>
            </w:r>
          </w:p>
          <w:p w:rsidR="00E10893" w:rsidRDefault="007471D4">
            <w:pPr>
              <w:pBdr>
                <w:top w:val="nil"/>
                <w:left w:val="nil"/>
                <w:bottom w:val="nil"/>
                <w:right w:val="nil"/>
                <w:between w:val="nil"/>
              </w:pBd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The total interest rate for </w:t>
            </w:r>
            <w:r>
              <w:rPr>
                <w:rFonts w:ascii="Times New Roman" w:eastAsia="Times New Roman" w:hAnsi="Times New Roman" w:cs="Times New Roman"/>
                <w:sz w:val="24"/>
                <w:szCs w:val="24"/>
              </w:rPr>
              <w:t>loans and yield to maturity of debt securities of a certain beneficiary shall be calc</w:t>
            </w:r>
            <w:r>
              <w:rPr>
                <w:rFonts w:ascii="Times New Roman" w:eastAsia="Times New Roman" w:hAnsi="Times New Roman" w:cs="Times New Roman"/>
                <w:color w:val="000000"/>
                <w:sz w:val="24"/>
                <w:szCs w:val="24"/>
              </w:rPr>
              <w:t xml:space="preserve">ulated taking into account the size of the </w:t>
            </w:r>
            <w:r>
              <w:rPr>
                <w:rFonts w:ascii="Times New Roman" w:eastAsia="Times New Roman" w:hAnsi="Times New Roman" w:cs="Times New Roman"/>
                <w:color w:val="000000"/>
                <w:sz w:val="24"/>
                <w:szCs w:val="24"/>
              </w:rPr>
              <w:lastRenderedPageBreak/>
              <w:t>company, loan maturity (which may not exceed 72 months) and other criteria for determining the applicable risk premium</w:t>
            </w:r>
            <w:r>
              <w:rPr>
                <w:rFonts w:ascii="Times New Roman" w:eastAsia="Times New Roman" w:hAnsi="Times New Roman" w:cs="Times New Roman"/>
                <w:sz w:val="24"/>
                <w:szCs w:val="24"/>
              </w:rPr>
              <w:t>. I</w:t>
            </w:r>
            <w:r>
              <w:rPr>
                <w:rFonts w:ascii="Times New Roman" w:eastAsia="Times New Roman" w:hAnsi="Times New Roman" w:cs="Times New Roman"/>
                <w:color w:val="000000"/>
                <w:sz w:val="24"/>
                <w:szCs w:val="24"/>
              </w:rPr>
              <w:t xml:space="preserve">t will </w:t>
            </w:r>
            <w:r>
              <w:rPr>
                <w:rFonts w:ascii="Times New Roman" w:eastAsia="Times New Roman" w:hAnsi="Times New Roman" w:cs="Times New Roman"/>
                <w:color w:val="000000"/>
                <w:sz w:val="24"/>
                <w:szCs w:val="24"/>
              </w:rPr>
              <w:t>never be less than the base rate (1 year IBOR or equivalent as published by the Commission)</w:t>
            </w:r>
            <w:r>
              <w:rPr>
                <w:rFonts w:ascii="Times New Roman" w:eastAsia="Times New Roman" w:hAnsi="Times New Roman" w:cs="Times New Roman"/>
                <w:sz w:val="24"/>
                <w:szCs w:val="24"/>
              </w:rPr>
              <w:t xml:space="preserve"> </w:t>
            </w:r>
            <w:r>
              <w:rPr>
                <w:rFonts w:ascii="Times New Roman" w:eastAsia="Times New Roman" w:hAnsi="Times New Roman" w:cs="Times New Roman"/>
                <w:color w:val="000000"/>
                <w:sz w:val="24"/>
                <w:szCs w:val="24"/>
              </w:rPr>
              <w:t xml:space="preserve">applicable on 1 January 2020 plus: </w:t>
            </w:r>
          </w:p>
          <w:p w:rsidR="00E10893" w:rsidRDefault="007471D4">
            <w:pPr>
              <w:pBdr>
                <w:top w:val="nil"/>
                <w:left w:val="nil"/>
                <w:bottom w:val="nil"/>
                <w:right w:val="nil"/>
                <w:between w:val="nil"/>
              </w:pBd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proofErr w:type="gramStart"/>
            <w:r>
              <w:rPr>
                <w:rFonts w:ascii="Times New Roman" w:eastAsia="Times New Roman" w:hAnsi="Times New Roman" w:cs="Times New Roman"/>
                <w:color w:val="000000"/>
                <w:sz w:val="24"/>
                <w:szCs w:val="24"/>
              </w:rPr>
              <w:t>for</w:t>
            </w:r>
            <w:proofErr w:type="gramEnd"/>
            <w:r>
              <w:rPr>
                <w:rFonts w:ascii="Times New Roman" w:eastAsia="Times New Roman" w:hAnsi="Times New Roman" w:cs="Times New Roman"/>
                <w:sz w:val="24"/>
                <w:szCs w:val="24"/>
              </w:rPr>
              <w:t xml:space="preserve"> medium-sized enterprises,</w:t>
            </w:r>
            <w:r>
              <w:rPr>
                <w:rFonts w:ascii="Times New Roman" w:eastAsia="Times New Roman" w:hAnsi="Times New Roman" w:cs="Times New Roman"/>
                <w:color w:val="000000"/>
                <w:sz w:val="24"/>
                <w:szCs w:val="24"/>
              </w:rPr>
              <w:t xml:space="preserve"> at least 25 bps in the first year</w:t>
            </w:r>
            <w:r>
              <w:rPr>
                <w:rFonts w:ascii="Times New Roman" w:eastAsia="Times New Roman" w:hAnsi="Times New Roman" w:cs="Times New Roman"/>
                <w:sz w:val="24"/>
                <w:szCs w:val="24"/>
              </w:rPr>
              <w:t>;</w:t>
            </w:r>
            <w:r>
              <w:rPr>
                <w:rFonts w:ascii="Times New Roman" w:eastAsia="Times New Roman" w:hAnsi="Times New Roman" w:cs="Times New Roman"/>
                <w:color w:val="000000"/>
                <w:sz w:val="24"/>
                <w:szCs w:val="24"/>
              </w:rPr>
              <w:t xml:space="preserve"> 50 bps in the second and third year;</w:t>
            </w:r>
            <w:r>
              <w:rPr>
                <w:rFonts w:ascii="Times New Roman" w:eastAsia="Times New Roman" w:hAnsi="Times New Roman" w:cs="Times New Roman"/>
                <w:sz w:val="24"/>
                <w:szCs w:val="24"/>
              </w:rPr>
              <w:t xml:space="preserve"> </w:t>
            </w:r>
            <w:r>
              <w:rPr>
                <w:rFonts w:ascii="Times New Roman" w:eastAsia="Times New Roman" w:hAnsi="Times New Roman" w:cs="Times New Roman"/>
                <w:color w:val="000000"/>
                <w:sz w:val="24"/>
                <w:szCs w:val="24"/>
              </w:rPr>
              <w:t>100 bps in the fourth to sixth year of the</w:t>
            </w:r>
            <w:r>
              <w:rPr>
                <w:rFonts w:ascii="Times New Roman" w:eastAsia="Times New Roman" w:hAnsi="Times New Roman" w:cs="Times New Roman"/>
                <w:sz w:val="24"/>
                <w:szCs w:val="24"/>
              </w:rPr>
              <w:t xml:space="preserve"> loan or debt security</w:t>
            </w:r>
            <w:r>
              <w:rPr>
                <w:rFonts w:ascii="Times New Roman" w:eastAsia="Times New Roman" w:hAnsi="Times New Roman" w:cs="Times New Roman"/>
                <w:color w:val="000000"/>
                <w:sz w:val="24"/>
                <w:szCs w:val="24"/>
              </w:rPr>
              <w:t xml:space="preserve">. </w:t>
            </w:r>
          </w:p>
          <w:p w:rsidR="00E10893" w:rsidRDefault="007471D4">
            <w:pPr>
              <w:pBdr>
                <w:top w:val="nil"/>
                <w:left w:val="nil"/>
                <w:bottom w:val="nil"/>
                <w:right w:val="nil"/>
                <w:between w:val="nil"/>
              </w:pBd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proofErr w:type="gramStart"/>
            <w:r>
              <w:rPr>
                <w:rFonts w:ascii="Times New Roman" w:eastAsia="Times New Roman" w:hAnsi="Times New Roman" w:cs="Times New Roman"/>
                <w:color w:val="000000"/>
                <w:sz w:val="24"/>
                <w:szCs w:val="24"/>
              </w:rPr>
              <w:t>for</w:t>
            </w:r>
            <w:proofErr w:type="gramEnd"/>
            <w:r>
              <w:rPr>
                <w:rFonts w:ascii="Times New Roman" w:eastAsia="Times New Roman" w:hAnsi="Times New Roman" w:cs="Times New Roman"/>
                <w:color w:val="000000"/>
                <w:sz w:val="24"/>
                <w:szCs w:val="24"/>
              </w:rPr>
              <w:t xml:space="preserve"> large enterprises, at least 50 bps in the first year</w:t>
            </w:r>
            <w:r>
              <w:rPr>
                <w:rFonts w:ascii="Times New Roman" w:eastAsia="Times New Roman" w:hAnsi="Times New Roman" w:cs="Times New Roman"/>
                <w:sz w:val="24"/>
                <w:szCs w:val="24"/>
              </w:rPr>
              <w:t>;</w:t>
            </w:r>
            <w:r>
              <w:rPr>
                <w:rFonts w:ascii="Times New Roman" w:eastAsia="Times New Roman" w:hAnsi="Times New Roman" w:cs="Times New Roman"/>
                <w:color w:val="000000"/>
                <w:sz w:val="24"/>
                <w:szCs w:val="24"/>
              </w:rPr>
              <w:t xml:space="preserve"> 100 bps in the second and third year; 200 bps in the fourth to sixth year of the </w:t>
            </w:r>
            <w:r>
              <w:rPr>
                <w:rFonts w:ascii="Times New Roman" w:eastAsia="Times New Roman" w:hAnsi="Times New Roman" w:cs="Times New Roman"/>
                <w:sz w:val="24"/>
                <w:szCs w:val="24"/>
              </w:rPr>
              <w:t>loan or debt security</w:t>
            </w:r>
            <w:r>
              <w:rPr>
                <w:rFonts w:ascii="Times New Roman" w:eastAsia="Times New Roman" w:hAnsi="Times New Roman" w:cs="Times New Roman"/>
                <w:color w:val="000000"/>
                <w:sz w:val="24"/>
                <w:szCs w:val="24"/>
              </w:rPr>
              <w:t>.</w:t>
            </w:r>
          </w:p>
          <w:p w:rsidR="00E10893" w:rsidRDefault="007471D4">
            <w:pPr>
              <w:pBdr>
                <w:top w:val="nil"/>
                <w:left w:val="nil"/>
                <w:bottom w:val="nil"/>
                <w:right w:val="nil"/>
                <w:between w:val="nil"/>
              </w:pBd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debt instruments which </w:t>
            </w:r>
            <w:r>
              <w:rPr>
                <w:rFonts w:ascii="Times New Roman" w:eastAsia="Times New Roman" w:hAnsi="Times New Roman" w:cs="Times New Roman"/>
                <w:sz w:val="24"/>
                <w:szCs w:val="24"/>
              </w:rPr>
              <w:t xml:space="preserve">have a fixed coupon and which would be subordinated to ordinary senior unsecured creditors in case of insolvency proceedings may be granted only with an additional credit risk margin (at least equal to the abovementioned total interest rate plus </w:t>
            </w:r>
            <w:r>
              <w:rPr>
                <w:rFonts w:ascii="Times New Roman" w:eastAsia="Times New Roman" w:hAnsi="Times New Roman" w:cs="Times New Roman"/>
                <w:sz w:val="24"/>
                <w:szCs w:val="24"/>
                <w:highlight w:val="yellow"/>
              </w:rPr>
              <w:t>[150]</w:t>
            </w:r>
            <w:r>
              <w:rPr>
                <w:rFonts w:ascii="Times New Roman" w:eastAsia="Times New Roman" w:hAnsi="Times New Roman" w:cs="Times New Roman"/>
                <w:sz w:val="24"/>
                <w:szCs w:val="24"/>
              </w:rPr>
              <w:t xml:space="preserve"> bps </w:t>
            </w:r>
            <w:r>
              <w:rPr>
                <w:rFonts w:ascii="Times New Roman" w:eastAsia="Times New Roman" w:hAnsi="Times New Roman" w:cs="Times New Roman"/>
                <w:sz w:val="24"/>
                <w:szCs w:val="24"/>
              </w:rPr>
              <w:t xml:space="preserve">for medium-sized enterprises or </w:t>
            </w:r>
            <w:r>
              <w:rPr>
                <w:rFonts w:ascii="Times New Roman" w:eastAsia="Times New Roman" w:hAnsi="Times New Roman" w:cs="Times New Roman"/>
                <w:sz w:val="24"/>
                <w:szCs w:val="24"/>
                <w:highlight w:val="yellow"/>
              </w:rPr>
              <w:t>[200]</w:t>
            </w:r>
            <w:r>
              <w:rPr>
                <w:rFonts w:ascii="Times New Roman" w:eastAsia="Times New Roman" w:hAnsi="Times New Roman" w:cs="Times New Roman"/>
                <w:sz w:val="24"/>
                <w:szCs w:val="24"/>
              </w:rPr>
              <w:t xml:space="preserve"> bps for large enterprises). </w:t>
            </w:r>
          </w:p>
          <w:p w:rsidR="00E10893" w:rsidRDefault="00E10893">
            <w:pPr>
              <w:pBdr>
                <w:top w:val="nil"/>
                <w:left w:val="nil"/>
                <w:bottom w:val="nil"/>
                <w:right w:val="nil"/>
                <w:between w:val="nil"/>
              </w:pBdr>
              <w:jc w:val="both"/>
              <w:rPr>
                <w:rFonts w:ascii="Times New Roman" w:eastAsia="Times New Roman" w:hAnsi="Times New Roman" w:cs="Times New Roman"/>
                <w:sz w:val="24"/>
                <w:szCs w:val="24"/>
              </w:rPr>
            </w:pPr>
          </w:p>
          <w:p w:rsidR="00E10893" w:rsidRDefault="007471D4">
            <w:pPr>
              <w:pBdr>
                <w:top w:val="nil"/>
                <w:left w:val="nil"/>
                <w:bottom w:val="nil"/>
                <w:right w:val="nil"/>
                <w:between w:val="nil"/>
              </w:pBdr>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Equity securities</w:t>
            </w:r>
          </w:p>
          <w:p w:rsidR="00E10893" w:rsidRDefault="007471D4">
            <w:pPr>
              <w:pBdr>
                <w:top w:val="nil"/>
                <w:left w:val="nil"/>
                <w:bottom w:val="nil"/>
                <w:right w:val="nil"/>
                <w:between w:val="nil"/>
              </w:pBd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In case of investment in equity securities, the value of exchange-traded equity securities shall be determined by the Theoretical Ex-Rights Price (hereinafter – TERP) met</w:t>
            </w:r>
            <w:r>
              <w:rPr>
                <w:rFonts w:ascii="Times New Roman" w:eastAsia="Times New Roman" w:hAnsi="Times New Roman" w:cs="Times New Roman"/>
                <w:color w:val="000000"/>
                <w:sz w:val="24"/>
                <w:szCs w:val="24"/>
              </w:rPr>
              <w:t xml:space="preserve">hod, which is based on the average share price of the beneficiary over the </w:t>
            </w:r>
            <w:r>
              <w:rPr>
                <w:rFonts w:ascii="Times New Roman" w:eastAsia="Times New Roman" w:hAnsi="Times New Roman" w:cs="Times New Roman"/>
                <w:sz w:val="24"/>
                <w:szCs w:val="24"/>
              </w:rPr>
              <w:t xml:space="preserve">60 </w:t>
            </w:r>
            <w:r>
              <w:rPr>
                <w:rFonts w:ascii="Times New Roman" w:eastAsia="Times New Roman" w:hAnsi="Times New Roman" w:cs="Times New Roman"/>
                <w:color w:val="000000"/>
                <w:sz w:val="24"/>
                <w:szCs w:val="24"/>
              </w:rPr>
              <w:t>days preceding the request for the capital injection.; the value of non-exchange traded equity securities shall be determined by independent valuation or other valuation methods.</w:t>
            </w:r>
          </w:p>
          <w:p w:rsidR="00E10893" w:rsidRDefault="00E10893">
            <w:pPr>
              <w:pBdr>
                <w:top w:val="nil"/>
                <w:left w:val="nil"/>
                <w:bottom w:val="nil"/>
                <w:right w:val="nil"/>
                <w:between w:val="nil"/>
              </w:pBdr>
              <w:jc w:val="both"/>
              <w:rPr>
                <w:rFonts w:ascii="Times New Roman" w:eastAsia="Times New Roman" w:hAnsi="Times New Roman" w:cs="Times New Roman"/>
                <w:sz w:val="24"/>
                <w:szCs w:val="24"/>
              </w:rPr>
            </w:pPr>
          </w:p>
          <w:p w:rsidR="00E10893" w:rsidRDefault="007471D4">
            <w:pPr>
              <w:pBdr>
                <w:top w:val="nil"/>
                <w:left w:val="nil"/>
                <w:bottom w:val="nil"/>
                <w:right w:val="nil"/>
                <w:between w:val="nil"/>
              </w:pBd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beneficiary shall have at any time the possibility to buy back the equity stake. To ensure that the Fund receives appropriate remuneration for the investment, the buy-back price should be the higher amount of the following options:</w:t>
            </w:r>
          </w:p>
          <w:p w:rsidR="00E10893" w:rsidRDefault="007471D4">
            <w:pPr>
              <w:numPr>
                <w:ilvl w:val="0"/>
                <w:numId w:val="10"/>
              </w:numPr>
              <w:pBdr>
                <w:top w:val="nil"/>
                <w:left w:val="nil"/>
                <w:bottom w:val="nil"/>
                <w:right w:val="nil"/>
                <w:between w:val="nil"/>
              </w:pBd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nominal investment by the Fund increased by an annual interest rate which consists of variable rate defined below plus </w:t>
            </w:r>
            <w:r>
              <w:rPr>
                <w:rFonts w:ascii="Times New Roman" w:eastAsia="Times New Roman" w:hAnsi="Times New Roman" w:cs="Times New Roman"/>
                <w:sz w:val="24"/>
                <w:szCs w:val="24"/>
                <w:highlight w:val="yellow"/>
              </w:rPr>
              <w:t>[200]</w:t>
            </w:r>
            <w:r>
              <w:rPr>
                <w:rFonts w:ascii="Times New Roman" w:eastAsia="Times New Roman" w:hAnsi="Times New Roman" w:cs="Times New Roman"/>
                <w:sz w:val="24"/>
                <w:szCs w:val="24"/>
              </w:rPr>
              <w:t xml:space="preserve"> basis points.</w:t>
            </w:r>
          </w:p>
          <w:p w:rsidR="00E10893" w:rsidRDefault="007471D4">
            <w:pPr>
              <w:numPr>
                <w:ilvl w:val="1"/>
                <w:numId w:val="10"/>
              </w:num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for medium-sized enterprises, the base rate (1-year IBOR or equivalent as published by the Commission) applicable</w:t>
            </w:r>
            <w:r>
              <w:rPr>
                <w:rFonts w:ascii="Times New Roman" w:eastAsia="Times New Roman" w:hAnsi="Times New Roman" w:cs="Times New Roman"/>
                <w:sz w:val="24"/>
                <w:szCs w:val="24"/>
              </w:rPr>
              <w:t xml:space="preserve"> on 1 January 2020, plus at least 225 bps for the first year; 350 bps for the </w:t>
            </w:r>
            <w:r>
              <w:rPr>
                <w:rFonts w:ascii="Times New Roman" w:eastAsia="Times New Roman" w:hAnsi="Times New Roman" w:cs="Times New Roman"/>
              </w:rPr>
              <w:t>2</w:t>
            </w:r>
            <w:r>
              <w:rPr>
                <w:rFonts w:ascii="Times New Roman" w:eastAsia="Times New Roman" w:hAnsi="Times New Roman" w:cs="Times New Roman"/>
                <w:vertAlign w:val="superscript"/>
              </w:rPr>
              <w:t>nd</w:t>
            </w:r>
            <w:r>
              <w:rPr>
                <w:rFonts w:ascii="Times New Roman" w:eastAsia="Times New Roman" w:hAnsi="Times New Roman" w:cs="Times New Roman"/>
              </w:rPr>
              <w:t xml:space="preserve"> and 3</w:t>
            </w:r>
            <w:r>
              <w:rPr>
                <w:rFonts w:ascii="Times New Roman" w:eastAsia="Times New Roman" w:hAnsi="Times New Roman" w:cs="Times New Roman"/>
                <w:vertAlign w:val="superscript"/>
              </w:rPr>
              <w:t>rd</w:t>
            </w:r>
            <w:r>
              <w:rPr>
                <w:rFonts w:ascii="Times New Roman" w:eastAsia="Times New Roman" w:hAnsi="Times New Roman" w:cs="Times New Roman"/>
              </w:rPr>
              <w:t xml:space="preserve"> year</w:t>
            </w:r>
            <w:r>
              <w:rPr>
                <w:rFonts w:ascii="Times New Roman" w:eastAsia="Times New Roman" w:hAnsi="Times New Roman" w:cs="Times New Roman"/>
                <w:sz w:val="24"/>
                <w:szCs w:val="24"/>
              </w:rPr>
              <w:t xml:space="preserve">; 450 bps for </w:t>
            </w:r>
            <w:r>
              <w:rPr>
                <w:rFonts w:ascii="Times New Roman" w:eastAsia="Times New Roman" w:hAnsi="Times New Roman" w:cs="Times New Roman"/>
              </w:rPr>
              <w:t>4</w:t>
            </w:r>
            <w:r>
              <w:rPr>
                <w:rFonts w:ascii="Times New Roman" w:eastAsia="Times New Roman" w:hAnsi="Times New Roman" w:cs="Times New Roman"/>
                <w:vertAlign w:val="superscript"/>
              </w:rPr>
              <w:t>th</w:t>
            </w:r>
            <w:r>
              <w:rPr>
                <w:rFonts w:ascii="Times New Roman" w:eastAsia="Times New Roman" w:hAnsi="Times New Roman" w:cs="Times New Roman"/>
              </w:rPr>
              <w:t xml:space="preserve"> and 5</w:t>
            </w:r>
            <w:r>
              <w:rPr>
                <w:rFonts w:ascii="Times New Roman" w:eastAsia="Times New Roman" w:hAnsi="Times New Roman" w:cs="Times New Roman"/>
                <w:vertAlign w:val="superscript"/>
              </w:rPr>
              <w:t>th</w:t>
            </w:r>
            <w:r>
              <w:rPr>
                <w:rFonts w:ascii="Times New Roman" w:eastAsia="Times New Roman" w:hAnsi="Times New Roman" w:cs="Times New Roman"/>
              </w:rPr>
              <w:t xml:space="preserve"> year</w:t>
            </w:r>
            <w:r>
              <w:rPr>
                <w:rFonts w:ascii="Times New Roman" w:eastAsia="Times New Roman" w:hAnsi="Times New Roman" w:cs="Times New Roman"/>
                <w:sz w:val="24"/>
                <w:szCs w:val="24"/>
              </w:rPr>
              <w:t xml:space="preserve">; 600 bps for </w:t>
            </w:r>
            <w:r>
              <w:rPr>
                <w:rFonts w:ascii="Times New Roman" w:eastAsia="Times New Roman" w:hAnsi="Times New Roman" w:cs="Times New Roman"/>
              </w:rPr>
              <w:t>6</w:t>
            </w:r>
            <w:r>
              <w:rPr>
                <w:rFonts w:ascii="Times New Roman" w:eastAsia="Times New Roman" w:hAnsi="Times New Roman" w:cs="Times New Roman"/>
                <w:vertAlign w:val="superscript"/>
              </w:rPr>
              <w:t>th</w:t>
            </w:r>
            <w:r>
              <w:rPr>
                <w:rFonts w:ascii="Times New Roman" w:eastAsia="Times New Roman" w:hAnsi="Times New Roman" w:cs="Times New Roman"/>
              </w:rPr>
              <w:t xml:space="preserve"> year and after.</w:t>
            </w:r>
          </w:p>
          <w:p w:rsidR="00E10893" w:rsidRDefault="007471D4">
            <w:pPr>
              <w:numPr>
                <w:ilvl w:val="1"/>
                <w:numId w:val="10"/>
              </w:num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for large enterprises, the base rate (1 year IBOR</w:t>
            </w:r>
            <w:r>
              <w:rPr>
                <w:rFonts w:ascii="Times New Roman" w:eastAsia="Times New Roman" w:hAnsi="Times New Roman" w:cs="Times New Roman"/>
                <w:sz w:val="24"/>
                <w:szCs w:val="24"/>
              </w:rPr>
              <w:t xml:space="preserve"> or equivalent as published by the Commission) applicable on 1 January 2020, plus at least 250 bps for the first year; 400 bps for the </w:t>
            </w:r>
            <w:r>
              <w:rPr>
                <w:rFonts w:ascii="Times New Roman" w:eastAsia="Times New Roman" w:hAnsi="Times New Roman" w:cs="Times New Roman"/>
              </w:rPr>
              <w:t>2</w:t>
            </w:r>
            <w:r>
              <w:rPr>
                <w:rFonts w:ascii="Times New Roman" w:eastAsia="Times New Roman" w:hAnsi="Times New Roman" w:cs="Times New Roman"/>
                <w:vertAlign w:val="superscript"/>
              </w:rPr>
              <w:t>nd</w:t>
            </w:r>
            <w:r>
              <w:rPr>
                <w:rFonts w:ascii="Times New Roman" w:eastAsia="Times New Roman" w:hAnsi="Times New Roman" w:cs="Times New Roman"/>
              </w:rPr>
              <w:t xml:space="preserve"> and 3</w:t>
            </w:r>
            <w:r>
              <w:rPr>
                <w:rFonts w:ascii="Times New Roman" w:eastAsia="Times New Roman" w:hAnsi="Times New Roman" w:cs="Times New Roman"/>
                <w:vertAlign w:val="superscript"/>
              </w:rPr>
              <w:t>rd</w:t>
            </w:r>
            <w:r>
              <w:rPr>
                <w:rFonts w:ascii="Times New Roman" w:eastAsia="Times New Roman" w:hAnsi="Times New Roman" w:cs="Times New Roman"/>
              </w:rPr>
              <w:t xml:space="preserve"> year</w:t>
            </w:r>
            <w:r>
              <w:rPr>
                <w:rFonts w:ascii="Times New Roman" w:eastAsia="Times New Roman" w:hAnsi="Times New Roman" w:cs="Times New Roman"/>
                <w:sz w:val="24"/>
                <w:szCs w:val="24"/>
              </w:rPr>
              <w:t xml:space="preserve">; 500 bps for </w:t>
            </w:r>
            <w:r>
              <w:rPr>
                <w:rFonts w:ascii="Times New Roman" w:eastAsia="Times New Roman" w:hAnsi="Times New Roman" w:cs="Times New Roman"/>
              </w:rPr>
              <w:t>4</w:t>
            </w:r>
            <w:r>
              <w:rPr>
                <w:rFonts w:ascii="Times New Roman" w:eastAsia="Times New Roman" w:hAnsi="Times New Roman" w:cs="Times New Roman"/>
                <w:vertAlign w:val="superscript"/>
              </w:rPr>
              <w:t>th</w:t>
            </w:r>
            <w:r>
              <w:rPr>
                <w:rFonts w:ascii="Times New Roman" w:eastAsia="Times New Roman" w:hAnsi="Times New Roman" w:cs="Times New Roman"/>
              </w:rPr>
              <w:t xml:space="preserve"> and 5</w:t>
            </w:r>
            <w:r>
              <w:rPr>
                <w:rFonts w:ascii="Times New Roman" w:eastAsia="Times New Roman" w:hAnsi="Times New Roman" w:cs="Times New Roman"/>
                <w:vertAlign w:val="superscript"/>
              </w:rPr>
              <w:t>th</w:t>
            </w:r>
            <w:r>
              <w:rPr>
                <w:rFonts w:ascii="Times New Roman" w:eastAsia="Times New Roman" w:hAnsi="Times New Roman" w:cs="Times New Roman"/>
              </w:rPr>
              <w:t xml:space="preserve"> year</w:t>
            </w:r>
            <w:r>
              <w:rPr>
                <w:rFonts w:ascii="Times New Roman" w:eastAsia="Times New Roman" w:hAnsi="Times New Roman" w:cs="Times New Roman"/>
                <w:sz w:val="24"/>
                <w:szCs w:val="24"/>
              </w:rPr>
              <w:t xml:space="preserve">; 700 bps for </w:t>
            </w:r>
            <w:r>
              <w:rPr>
                <w:rFonts w:ascii="Times New Roman" w:eastAsia="Times New Roman" w:hAnsi="Times New Roman" w:cs="Times New Roman"/>
              </w:rPr>
              <w:t>6</w:t>
            </w:r>
            <w:r>
              <w:rPr>
                <w:rFonts w:ascii="Times New Roman" w:eastAsia="Times New Roman" w:hAnsi="Times New Roman" w:cs="Times New Roman"/>
                <w:vertAlign w:val="superscript"/>
              </w:rPr>
              <w:t>th</w:t>
            </w:r>
            <w:r>
              <w:rPr>
                <w:rFonts w:ascii="Times New Roman" w:eastAsia="Times New Roman" w:hAnsi="Times New Roman" w:cs="Times New Roman"/>
              </w:rPr>
              <w:t xml:space="preserve"> year and after.</w:t>
            </w:r>
          </w:p>
          <w:p w:rsidR="00E10893" w:rsidRDefault="007471D4">
            <w:pPr>
              <w:numPr>
                <w:ilvl w:val="0"/>
                <w:numId w:val="10"/>
              </w:num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market price at the moment of the buy</w:t>
            </w:r>
            <w:r>
              <w:rPr>
                <w:rFonts w:ascii="Times New Roman" w:eastAsia="Times New Roman" w:hAnsi="Times New Roman" w:cs="Times New Roman"/>
                <w:sz w:val="24"/>
                <w:szCs w:val="24"/>
              </w:rPr>
              <w:t>-back.</w:t>
            </w:r>
          </w:p>
          <w:p w:rsidR="00E10893" w:rsidRDefault="00E10893">
            <w:pPr>
              <w:pBdr>
                <w:top w:val="nil"/>
                <w:left w:val="nil"/>
                <w:bottom w:val="nil"/>
                <w:right w:val="nil"/>
                <w:between w:val="nil"/>
              </w:pBdr>
              <w:jc w:val="both"/>
              <w:rPr>
                <w:rFonts w:ascii="Times New Roman" w:eastAsia="Times New Roman" w:hAnsi="Times New Roman" w:cs="Times New Roman"/>
                <w:sz w:val="24"/>
                <w:szCs w:val="24"/>
              </w:rPr>
            </w:pPr>
          </w:p>
          <w:p w:rsidR="00E10893" w:rsidRDefault="007471D4">
            <w:pPr>
              <w:pBdr>
                <w:top w:val="nil"/>
                <w:left w:val="nil"/>
                <w:bottom w:val="nil"/>
                <w:right w:val="nil"/>
                <w:between w:val="nil"/>
              </w:pBdr>
              <w:jc w:val="both"/>
              <w:rPr>
                <w:rFonts w:ascii="Times New Roman" w:eastAsia="Times New Roman" w:hAnsi="Times New Roman" w:cs="Times New Roman"/>
                <w:sz w:val="24"/>
                <w:szCs w:val="24"/>
              </w:rPr>
            </w:pPr>
            <w:r>
              <w:rPr>
                <w:rFonts w:ascii="Times New Roman" w:eastAsia="Times New Roman" w:hAnsi="Times New Roman" w:cs="Times New Roman"/>
                <w:i/>
                <w:sz w:val="24"/>
                <w:szCs w:val="24"/>
              </w:rPr>
              <w:t>Step-up mechanism:</w:t>
            </w:r>
            <w:r>
              <w:rPr>
                <w:rFonts w:ascii="Times New Roman" w:eastAsia="Times New Roman" w:hAnsi="Times New Roman" w:cs="Times New Roman"/>
                <w:sz w:val="24"/>
                <w:szCs w:val="24"/>
              </w:rPr>
              <w:t xml:space="preserve"> </w:t>
            </w:r>
          </w:p>
          <w:p w:rsidR="00E10893" w:rsidRDefault="007471D4">
            <w:pPr>
              <w:numPr>
                <w:ilvl w:val="0"/>
                <w:numId w:val="7"/>
              </w:numPr>
              <w:pBdr>
                <w:top w:val="nil"/>
                <w:left w:val="nil"/>
                <w:bottom w:val="nil"/>
                <w:right w:val="nil"/>
                <w:between w:val="nil"/>
              </w:pBd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If the Fund has not sold at least </w:t>
            </w:r>
            <w:r>
              <w:rPr>
                <w:rFonts w:ascii="Times New Roman" w:eastAsia="Times New Roman" w:hAnsi="Times New Roman" w:cs="Times New Roman"/>
                <w:sz w:val="24"/>
                <w:szCs w:val="24"/>
                <w:highlight w:val="yellow"/>
              </w:rPr>
              <w:t>[40]</w:t>
            </w:r>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percent</w:t>
            </w:r>
            <w:proofErr w:type="spellEnd"/>
            <w:r>
              <w:rPr>
                <w:rFonts w:ascii="Times New Roman" w:eastAsia="Times New Roman" w:hAnsi="Times New Roman" w:cs="Times New Roman"/>
                <w:sz w:val="24"/>
                <w:szCs w:val="24"/>
              </w:rPr>
              <w:t xml:space="preserve"> of its equity participation four years after the equity injection (or five years if the entity is publicly listed), the Fund will receive an additional share of ownership of the beneficiary in addition to its remaining participation at no addition</w:t>
            </w:r>
            <w:r>
              <w:rPr>
                <w:rFonts w:ascii="Times New Roman" w:eastAsia="Times New Roman" w:hAnsi="Times New Roman" w:cs="Times New Roman"/>
                <w:sz w:val="24"/>
                <w:szCs w:val="24"/>
              </w:rPr>
              <w:t>al cost. This additional share of ownership will be at least</w:t>
            </w:r>
            <w:r>
              <w:rPr>
                <w:rFonts w:ascii="Times New Roman" w:eastAsia="Times New Roman" w:hAnsi="Times New Roman" w:cs="Times New Roman"/>
                <w:sz w:val="24"/>
                <w:szCs w:val="24"/>
                <w:highlight w:val="yellow"/>
              </w:rPr>
              <w:t xml:space="preserve"> [10]</w:t>
            </w:r>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percent</w:t>
            </w:r>
            <w:proofErr w:type="spellEnd"/>
            <w:r>
              <w:rPr>
                <w:rFonts w:ascii="Times New Roman" w:eastAsia="Times New Roman" w:hAnsi="Times New Roman" w:cs="Times New Roman"/>
                <w:sz w:val="24"/>
                <w:szCs w:val="24"/>
              </w:rPr>
              <w:t xml:space="preserve"> of the remaining participation resulting from the Fund's equity injection and will result in a corresponding dilution of the stakes of other shareholders. </w:t>
            </w:r>
          </w:p>
          <w:p w:rsidR="00E10893" w:rsidRDefault="007471D4">
            <w:pPr>
              <w:numPr>
                <w:ilvl w:val="0"/>
                <w:numId w:val="7"/>
              </w:numPr>
              <w:pBdr>
                <w:top w:val="nil"/>
                <w:left w:val="nil"/>
                <w:bottom w:val="nil"/>
                <w:right w:val="nil"/>
                <w:between w:val="nil"/>
              </w:pBd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If the Fund has not sold i</w:t>
            </w:r>
            <w:r>
              <w:rPr>
                <w:rFonts w:ascii="Times New Roman" w:eastAsia="Times New Roman" w:hAnsi="Times New Roman" w:cs="Times New Roman"/>
                <w:sz w:val="24"/>
                <w:szCs w:val="24"/>
              </w:rPr>
              <w:t xml:space="preserve">n full its equity participation six years after the equity injection (or seven years if the entity is publicly listed), the Fund at no additional cost will receive a second additional share of ownership of the beneficiary of </w:t>
            </w:r>
            <w:r>
              <w:rPr>
                <w:rFonts w:ascii="Times New Roman" w:eastAsia="Times New Roman" w:hAnsi="Times New Roman" w:cs="Times New Roman"/>
                <w:sz w:val="24"/>
                <w:szCs w:val="24"/>
                <w:highlight w:val="yellow"/>
              </w:rPr>
              <w:t>[10]</w:t>
            </w:r>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percent</w:t>
            </w:r>
            <w:proofErr w:type="spellEnd"/>
            <w:r>
              <w:rPr>
                <w:rFonts w:ascii="Times New Roman" w:eastAsia="Times New Roman" w:hAnsi="Times New Roman" w:cs="Times New Roman"/>
                <w:sz w:val="24"/>
                <w:szCs w:val="24"/>
              </w:rPr>
              <w:t xml:space="preserve"> of the remaining p</w:t>
            </w:r>
            <w:r>
              <w:rPr>
                <w:rFonts w:ascii="Times New Roman" w:eastAsia="Times New Roman" w:hAnsi="Times New Roman" w:cs="Times New Roman"/>
                <w:sz w:val="24"/>
                <w:szCs w:val="24"/>
              </w:rPr>
              <w:t>articipation resulting from the Fund’s equity injection.</w:t>
            </w:r>
          </w:p>
          <w:p w:rsidR="00E10893" w:rsidRDefault="00E10893">
            <w:pPr>
              <w:pBdr>
                <w:top w:val="nil"/>
                <w:left w:val="nil"/>
                <w:bottom w:val="nil"/>
                <w:right w:val="nil"/>
                <w:between w:val="nil"/>
              </w:pBdr>
              <w:jc w:val="both"/>
              <w:rPr>
                <w:rFonts w:ascii="Times New Roman" w:eastAsia="Times New Roman" w:hAnsi="Times New Roman" w:cs="Times New Roman"/>
                <w:sz w:val="24"/>
                <w:szCs w:val="24"/>
              </w:rPr>
            </w:pPr>
          </w:p>
          <w:p w:rsidR="00E10893" w:rsidRDefault="007471D4">
            <w:pPr>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Debt instruments with equity component</w:t>
            </w:r>
          </w:p>
          <w:p w:rsidR="00E10893" w:rsidRDefault="007471D4">
            <w:pPr>
              <w:pBdr>
                <w:top w:val="nil"/>
                <w:left w:val="nil"/>
                <w:bottom w:val="nil"/>
                <w:right w:val="nil"/>
                <w:between w:val="nil"/>
              </w:pBdr>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In case of investment in debt instruments that have or may have an equity component, independent valuation shall be carried ou</w:t>
            </w:r>
            <w:r>
              <w:rPr>
                <w:rFonts w:ascii="Times New Roman" w:eastAsia="Times New Roman" w:hAnsi="Times New Roman" w:cs="Times New Roman"/>
                <w:sz w:val="24"/>
                <w:szCs w:val="24"/>
              </w:rPr>
              <w:t xml:space="preserve">t, taking into account the characteristics of the used instrument, the equity interest related to the instrument, the risks, the comparable interest rates, the level of subordination, all modalities of payment as well as built-in incentives for exit (such </w:t>
            </w:r>
            <w:r>
              <w:rPr>
                <w:rFonts w:ascii="Times New Roman" w:eastAsia="Times New Roman" w:hAnsi="Times New Roman" w:cs="Times New Roman"/>
                <w:sz w:val="24"/>
                <w:szCs w:val="24"/>
              </w:rPr>
              <w:t xml:space="preserve">as step-up and redemption clauses). </w:t>
            </w:r>
          </w:p>
          <w:p w:rsidR="00E10893" w:rsidRDefault="00E10893">
            <w:pPr>
              <w:pBdr>
                <w:top w:val="nil"/>
                <w:left w:val="nil"/>
                <w:bottom w:val="nil"/>
                <w:right w:val="nil"/>
                <w:between w:val="nil"/>
              </w:pBdr>
              <w:jc w:val="both"/>
              <w:rPr>
                <w:rFonts w:ascii="Times New Roman" w:eastAsia="Times New Roman" w:hAnsi="Times New Roman" w:cs="Times New Roman"/>
                <w:sz w:val="24"/>
                <w:szCs w:val="24"/>
              </w:rPr>
            </w:pPr>
          </w:p>
          <w:p w:rsidR="00E10893" w:rsidRDefault="007471D4">
            <w:pPr>
              <w:pBdr>
                <w:top w:val="nil"/>
                <w:left w:val="nil"/>
                <w:bottom w:val="nil"/>
                <w:right w:val="nil"/>
                <w:between w:val="nil"/>
              </w:pBd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minimum remuneration of these instruments will never be less than the base rate (1-year IBOR or equivalent as published by the Commission) applicable on 1 January 2020 plus: </w:t>
            </w:r>
          </w:p>
          <w:p w:rsidR="00E10893" w:rsidRDefault="007471D4">
            <w:pPr>
              <w:numPr>
                <w:ilvl w:val="0"/>
                <w:numId w:val="7"/>
              </w:numPr>
              <w:pBdr>
                <w:top w:val="nil"/>
                <w:left w:val="nil"/>
                <w:bottom w:val="nil"/>
                <w:right w:val="nil"/>
                <w:between w:val="nil"/>
              </w:pBdr>
              <w:jc w:val="both"/>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for</w:t>
            </w:r>
            <w:proofErr w:type="gramEnd"/>
            <w:r>
              <w:rPr>
                <w:rFonts w:ascii="Times New Roman" w:eastAsia="Times New Roman" w:hAnsi="Times New Roman" w:cs="Times New Roman"/>
                <w:sz w:val="24"/>
                <w:szCs w:val="24"/>
              </w:rPr>
              <w:t xml:space="preserve"> medium-sized enterprises, at least </w:t>
            </w:r>
            <w:r>
              <w:rPr>
                <w:rFonts w:ascii="Times New Roman" w:eastAsia="Times New Roman" w:hAnsi="Times New Roman" w:cs="Times New Roman"/>
                <w:sz w:val="24"/>
                <w:szCs w:val="24"/>
              </w:rPr>
              <w:t>225 bps until 31/12/2021, 350 bps until 31/12/2022, 450 bps until 31/12/2023, 600 bps until 31/12/2024, 700 bps in 2025 and later.</w:t>
            </w:r>
          </w:p>
          <w:p w:rsidR="00E10893" w:rsidRDefault="007471D4">
            <w:pPr>
              <w:numPr>
                <w:ilvl w:val="0"/>
                <w:numId w:val="7"/>
              </w:numPr>
              <w:pBdr>
                <w:top w:val="nil"/>
                <w:left w:val="nil"/>
                <w:bottom w:val="nil"/>
                <w:right w:val="nil"/>
                <w:between w:val="nil"/>
              </w:pBdr>
              <w:jc w:val="both"/>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for</w:t>
            </w:r>
            <w:proofErr w:type="gramEnd"/>
            <w:r>
              <w:rPr>
                <w:rFonts w:ascii="Times New Roman" w:eastAsia="Times New Roman" w:hAnsi="Times New Roman" w:cs="Times New Roman"/>
                <w:sz w:val="24"/>
                <w:szCs w:val="24"/>
              </w:rPr>
              <w:t xml:space="preserve"> large enterprises, at least 250 bps until 31/12/2021, 400 bps until 31/12/2022, 500 bps until 31/12/2023, 700 bps until 3</w:t>
            </w:r>
            <w:r>
              <w:rPr>
                <w:rFonts w:ascii="Times New Roman" w:eastAsia="Times New Roman" w:hAnsi="Times New Roman" w:cs="Times New Roman"/>
                <w:sz w:val="24"/>
                <w:szCs w:val="24"/>
              </w:rPr>
              <w:t>1/12/2024, 800 bps in 2025 and later.</w:t>
            </w:r>
          </w:p>
          <w:p w:rsidR="00E10893" w:rsidRDefault="007471D4">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conversion of hybrid capital instruments into equity shall be conducted at </w:t>
            </w:r>
            <w:r>
              <w:rPr>
                <w:rFonts w:ascii="Times New Roman" w:eastAsia="Times New Roman" w:hAnsi="Times New Roman" w:cs="Times New Roman"/>
                <w:sz w:val="24"/>
                <w:szCs w:val="24"/>
                <w:highlight w:val="yellow"/>
              </w:rPr>
              <w:t>[5]</w:t>
            </w:r>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percent</w:t>
            </w:r>
            <w:proofErr w:type="spellEnd"/>
            <w:r>
              <w:rPr>
                <w:rFonts w:ascii="Times New Roman" w:eastAsia="Times New Roman" w:hAnsi="Times New Roman" w:cs="Times New Roman"/>
                <w:sz w:val="24"/>
                <w:szCs w:val="24"/>
              </w:rPr>
              <w:t xml:space="preserve"> or more below the TERP at the time of the conversion.</w:t>
            </w:r>
          </w:p>
          <w:p w:rsidR="00E10893" w:rsidRDefault="00E10893">
            <w:pPr>
              <w:jc w:val="both"/>
              <w:rPr>
                <w:rFonts w:ascii="Times New Roman" w:eastAsia="Times New Roman" w:hAnsi="Times New Roman" w:cs="Times New Roman"/>
                <w:sz w:val="24"/>
                <w:szCs w:val="24"/>
              </w:rPr>
            </w:pPr>
          </w:p>
          <w:p w:rsidR="00E10893" w:rsidRDefault="007471D4">
            <w:pPr>
              <w:jc w:val="both"/>
              <w:rPr>
                <w:rFonts w:ascii="Times New Roman" w:eastAsia="Times New Roman" w:hAnsi="Times New Roman" w:cs="Times New Roman"/>
                <w:sz w:val="24"/>
                <w:szCs w:val="24"/>
              </w:rPr>
            </w:pPr>
            <w:r>
              <w:rPr>
                <w:rFonts w:ascii="Times New Roman" w:eastAsia="Times New Roman" w:hAnsi="Times New Roman" w:cs="Times New Roman"/>
                <w:i/>
                <w:sz w:val="24"/>
                <w:szCs w:val="24"/>
              </w:rPr>
              <w:t>Step-up mechanism:</w:t>
            </w:r>
            <w:r>
              <w:rPr>
                <w:rFonts w:ascii="Times New Roman" w:eastAsia="Times New Roman" w:hAnsi="Times New Roman" w:cs="Times New Roman"/>
                <w:sz w:val="24"/>
                <w:szCs w:val="24"/>
              </w:rPr>
              <w:t xml:space="preserve"> </w:t>
            </w:r>
          </w:p>
          <w:p w:rsidR="00E10893" w:rsidRDefault="007471D4">
            <w:pPr>
              <w:numPr>
                <w:ilvl w:val="0"/>
                <w:numId w:val="2"/>
              </w:num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If the debt instrument is converted to equity, the step-up mechanism is activated. Two years after the conversion into equity, if the equity resulting from the Fund`s intervention is still owned by the Fund, the Fund at no additional cost (by a correspondi</w:t>
            </w:r>
            <w:r>
              <w:rPr>
                <w:rFonts w:ascii="Times New Roman" w:eastAsia="Times New Roman" w:hAnsi="Times New Roman" w:cs="Times New Roman"/>
                <w:sz w:val="24"/>
                <w:szCs w:val="24"/>
              </w:rPr>
              <w:t>ng dilution of the stakes of other shareholders) shall receive an additional share of ownership of the beneficiary in addition to its remaining participation resulting from the abovementioned conversion. This additional share of ownership shall be at a min</w:t>
            </w:r>
            <w:r>
              <w:rPr>
                <w:rFonts w:ascii="Times New Roman" w:eastAsia="Times New Roman" w:hAnsi="Times New Roman" w:cs="Times New Roman"/>
                <w:sz w:val="24"/>
                <w:szCs w:val="24"/>
              </w:rPr>
              <w:t xml:space="preserve">imum </w:t>
            </w:r>
            <w:r>
              <w:rPr>
                <w:rFonts w:ascii="Times New Roman" w:eastAsia="Times New Roman" w:hAnsi="Times New Roman" w:cs="Times New Roman"/>
                <w:sz w:val="24"/>
                <w:szCs w:val="24"/>
                <w:highlight w:val="yellow"/>
              </w:rPr>
              <w:t>[10]</w:t>
            </w:r>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percent</w:t>
            </w:r>
            <w:proofErr w:type="spellEnd"/>
            <w:r>
              <w:rPr>
                <w:rFonts w:ascii="Times New Roman" w:eastAsia="Times New Roman" w:hAnsi="Times New Roman" w:cs="Times New Roman"/>
                <w:sz w:val="24"/>
                <w:szCs w:val="24"/>
              </w:rPr>
              <w:t xml:space="preserve"> of the remaining participation resulting from the Fund’s conversion of the instruments. </w:t>
            </w:r>
          </w:p>
        </w:tc>
      </w:tr>
      <w:tr w:rsidR="00E10893">
        <w:trPr>
          <w:trHeight w:val="60"/>
        </w:trPr>
        <w:tc>
          <w:tcPr>
            <w:tcW w:w="510" w:type="dxa"/>
            <w:tcBorders>
              <w:top w:val="single" w:sz="4" w:space="0" w:color="000000"/>
              <w:left w:val="single" w:sz="4" w:space="0" w:color="000000"/>
              <w:bottom w:val="single" w:sz="4" w:space="0" w:color="000000"/>
              <w:right w:val="single" w:sz="4" w:space="0" w:color="000000"/>
            </w:tcBorders>
          </w:tcPr>
          <w:p w:rsidR="00E10893" w:rsidRDefault="007471D4">
            <w:pPr>
              <w:pBdr>
                <w:top w:val="nil"/>
                <w:left w:val="nil"/>
                <w:bottom w:val="nil"/>
                <w:right w:val="nil"/>
                <w:between w:val="nil"/>
              </w:pBd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11.</w:t>
            </w:r>
          </w:p>
        </w:tc>
        <w:tc>
          <w:tcPr>
            <w:tcW w:w="1815"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cPr>
          <w:p w:rsidR="00E10893" w:rsidRDefault="007471D4">
            <w:pPr>
              <w:rPr>
                <w:rFonts w:ascii="Times New Roman" w:eastAsia="Times New Roman" w:hAnsi="Times New Roman" w:cs="Times New Roman"/>
                <w:sz w:val="24"/>
                <w:szCs w:val="24"/>
              </w:rPr>
            </w:pPr>
            <w:r>
              <w:rPr>
                <w:rFonts w:ascii="Times New Roman" w:eastAsia="Times New Roman" w:hAnsi="Times New Roman" w:cs="Times New Roman"/>
                <w:sz w:val="24"/>
                <w:szCs w:val="24"/>
              </w:rPr>
              <w:t>Request for investment</w:t>
            </w:r>
          </w:p>
        </w:tc>
        <w:tc>
          <w:tcPr>
            <w:tcW w:w="7590"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cPr>
          <w:p w:rsidR="00E10893" w:rsidRDefault="007471D4">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Companies shall apply to the Fund for funding according to the published programme. The final decision on investment shal</w:t>
            </w:r>
            <w:r>
              <w:rPr>
                <w:rFonts w:ascii="Times New Roman" w:eastAsia="Times New Roman" w:hAnsi="Times New Roman" w:cs="Times New Roman"/>
                <w:sz w:val="24"/>
                <w:szCs w:val="24"/>
              </w:rPr>
              <w:t xml:space="preserve">l be taken by the Fund’s Investment Committee following the Fund’s Investment Strategy. The Investment Committee shall be composed of independent investment experts. </w:t>
            </w:r>
          </w:p>
          <w:p w:rsidR="00E10893" w:rsidRDefault="00E10893">
            <w:pPr>
              <w:jc w:val="both"/>
              <w:rPr>
                <w:rFonts w:ascii="Times New Roman" w:eastAsia="Times New Roman" w:hAnsi="Times New Roman" w:cs="Times New Roman"/>
                <w:sz w:val="24"/>
                <w:szCs w:val="24"/>
              </w:rPr>
            </w:pPr>
          </w:p>
          <w:p w:rsidR="00E10893" w:rsidRDefault="007471D4">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Investments in equity securities and/or debt instruments that have or may have an equity</w:t>
            </w:r>
            <w:r>
              <w:rPr>
                <w:rFonts w:ascii="Times New Roman" w:eastAsia="Times New Roman" w:hAnsi="Times New Roman" w:cs="Times New Roman"/>
                <w:sz w:val="24"/>
                <w:szCs w:val="24"/>
              </w:rPr>
              <w:t xml:space="preserve"> component (convertible debt securities, mezzanine loans, subordinate debt, etc.) shall be made only following a written request for such instruments by the prospective beneficiary and having received the confirmation that the beneficiary does not have acc</w:t>
            </w:r>
            <w:r>
              <w:rPr>
                <w:rFonts w:ascii="Times New Roman" w:eastAsia="Times New Roman" w:hAnsi="Times New Roman" w:cs="Times New Roman"/>
                <w:sz w:val="24"/>
                <w:szCs w:val="24"/>
              </w:rPr>
              <w:t xml:space="preserve">ess to this type of investment in the market, while other instruments offered by the Fund are insufficient to ensure its operational continuity. The provision of additional capital may not exceed the amount necessary to ensure its operational </w:t>
            </w:r>
            <w:r>
              <w:rPr>
                <w:rFonts w:ascii="Times New Roman" w:eastAsia="Times New Roman" w:hAnsi="Times New Roman" w:cs="Times New Roman"/>
                <w:sz w:val="24"/>
                <w:szCs w:val="24"/>
              </w:rPr>
              <w:lastRenderedPageBreak/>
              <w:t>continuity.</w:t>
            </w:r>
          </w:p>
          <w:p w:rsidR="00E10893" w:rsidRDefault="00E10893">
            <w:pPr>
              <w:jc w:val="both"/>
              <w:rPr>
                <w:rFonts w:ascii="Times New Roman" w:eastAsia="Times New Roman" w:hAnsi="Times New Roman" w:cs="Times New Roman"/>
                <w:sz w:val="24"/>
                <w:szCs w:val="24"/>
              </w:rPr>
            </w:pPr>
          </w:p>
          <w:p w:rsidR="00E10893" w:rsidRDefault="007471D4">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Large enterprises that have received a recapitalisation of more than </w:t>
            </w:r>
            <w:r>
              <w:rPr>
                <w:rFonts w:ascii="Times New Roman" w:eastAsia="Times New Roman" w:hAnsi="Times New Roman" w:cs="Times New Roman"/>
                <w:sz w:val="24"/>
                <w:szCs w:val="24"/>
                <w:highlight w:val="yellow"/>
              </w:rPr>
              <w:t>[25]</w:t>
            </w:r>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percent</w:t>
            </w:r>
            <w:proofErr w:type="spellEnd"/>
            <w:r>
              <w:rPr>
                <w:rFonts w:ascii="Times New Roman" w:eastAsia="Times New Roman" w:hAnsi="Times New Roman" w:cs="Times New Roman"/>
                <w:sz w:val="24"/>
                <w:szCs w:val="24"/>
              </w:rPr>
              <w:t xml:space="preserve"> of equity at the moment of intervention have to demonstrate a credible exit strategy for the participation of the Fund, unless the Fund’s intervention is reduced below the le</w:t>
            </w:r>
            <w:r>
              <w:rPr>
                <w:rFonts w:ascii="Times New Roman" w:eastAsia="Times New Roman" w:hAnsi="Times New Roman" w:cs="Times New Roman"/>
                <w:sz w:val="24"/>
                <w:szCs w:val="24"/>
              </w:rPr>
              <w:t xml:space="preserve">vel of </w:t>
            </w:r>
            <w:r>
              <w:rPr>
                <w:rFonts w:ascii="Times New Roman" w:eastAsia="Times New Roman" w:hAnsi="Times New Roman" w:cs="Times New Roman"/>
                <w:sz w:val="24"/>
                <w:szCs w:val="24"/>
                <w:highlight w:val="yellow"/>
              </w:rPr>
              <w:t>[25]</w:t>
            </w:r>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percent</w:t>
            </w:r>
            <w:proofErr w:type="spellEnd"/>
            <w:r>
              <w:rPr>
                <w:rFonts w:ascii="Times New Roman" w:eastAsia="Times New Roman" w:hAnsi="Times New Roman" w:cs="Times New Roman"/>
                <w:sz w:val="24"/>
                <w:szCs w:val="24"/>
              </w:rPr>
              <w:t xml:space="preserve"> of equity within </w:t>
            </w:r>
            <w:r>
              <w:rPr>
                <w:rFonts w:ascii="Times New Roman" w:eastAsia="Times New Roman" w:hAnsi="Times New Roman" w:cs="Times New Roman"/>
                <w:sz w:val="24"/>
                <w:szCs w:val="24"/>
                <w:highlight w:val="yellow"/>
              </w:rPr>
              <w:t>[12]</w:t>
            </w:r>
            <w:r>
              <w:rPr>
                <w:rFonts w:ascii="Times New Roman" w:eastAsia="Times New Roman" w:hAnsi="Times New Roman" w:cs="Times New Roman"/>
                <w:sz w:val="24"/>
                <w:szCs w:val="24"/>
              </w:rPr>
              <w:t xml:space="preserve"> months from the date of the investment. The exit strategy shall lay out:</w:t>
            </w:r>
          </w:p>
          <w:p w:rsidR="00E10893" w:rsidRDefault="007471D4">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 the plan of the beneficiary on the continuation of its activity and the use of the funds invested by the Fund, including a payment schedule of the remuneration and of the redemption of the Fund investment (together 'the repayment schedule’); and</w:t>
            </w:r>
          </w:p>
          <w:p w:rsidR="00E10893" w:rsidRDefault="007471D4">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(b) </w:t>
            </w:r>
            <w:proofErr w:type="gramStart"/>
            <w:r>
              <w:rPr>
                <w:rFonts w:ascii="Times New Roman" w:eastAsia="Times New Roman" w:hAnsi="Times New Roman" w:cs="Times New Roman"/>
                <w:sz w:val="24"/>
                <w:szCs w:val="24"/>
              </w:rPr>
              <w:t>th</w:t>
            </w:r>
            <w:r>
              <w:rPr>
                <w:rFonts w:ascii="Times New Roman" w:eastAsia="Times New Roman" w:hAnsi="Times New Roman" w:cs="Times New Roman"/>
                <w:sz w:val="24"/>
                <w:szCs w:val="24"/>
              </w:rPr>
              <w:t>e</w:t>
            </w:r>
            <w:proofErr w:type="gramEnd"/>
            <w:r>
              <w:rPr>
                <w:rFonts w:ascii="Times New Roman" w:eastAsia="Times New Roman" w:hAnsi="Times New Roman" w:cs="Times New Roman"/>
                <w:sz w:val="24"/>
                <w:szCs w:val="24"/>
              </w:rPr>
              <w:t xml:space="preserve"> measures that the beneficiary and the Fund will take to abide by the schedule.</w:t>
            </w:r>
          </w:p>
          <w:p w:rsidR="00E10893" w:rsidRDefault="007471D4">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exit strategy should be prepared and submitted to the Fund within</w:t>
            </w:r>
            <w:r>
              <w:rPr>
                <w:rFonts w:ascii="Times New Roman" w:eastAsia="Times New Roman" w:hAnsi="Times New Roman" w:cs="Times New Roman"/>
                <w:sz w:val="24"/>
                <w:szCs w:val="24"/>
                <w:highlight w:val="yellow"/>
              </w:rPr>
              <w:t xml:space="preserve"> [12]</w:t>
            </w:r>
            <w:r>
              <w:rPr>
                <w:rFonts w:ascii="Times New Roman" w:eastAsia="Times New Roman" w:hAnsi="Times New Roman" w:cs="Times New Roman"/>
                <w:sz w:val="24"/>
                <w:szCs w:val="24"/>
              </w:rPr>
              <w:t xml:space="preserve"> months after the granting of the aid. The plan needs to be endorsed by the Fund.</w:t>
            </w:r>
          </w:p>
        </w:tc>
      </w:tr>
      <w:tr w:rsidR="00E10893">
        <w:trPr>
          <w:trHeight w:val="60"/>
        </w:trPr>
        <w:tc>
          <w:tcPr>
            <w:tcW w:w="510" w:type="dxa"/>
            <w:tcBorders>
              <w:top w:val="single" w:sz="4" w:space="0" w:color="000000"/>
              <w:left w:val="single" w:sz="4" w:space="0" w:color="000000"/>
              <w:bottom w:val="single" w:sz="4" w:space="0" w:color="000000"/>
              <w:right w:val="single" w:sz="4" w:space="0" w:color="000000"/>
            </w:tcBorders>
          </w:tcPr>
          <w:p w:rsidR="00E10893" w:rsidRDefault="007471D4">
            <w:pPr>
              <w:pBdr>
                <w:top w:val="nil"/>
                <w:left w:val="nil"/>
                <w:bottom w:val="nil"/>
                <w:right w:val="nil"/>
                <w:between w:val="nil"/>
              </w:pBd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12.</w:t>
            </w:r>
          </w:p>
        </w:tc>
        <w:tc>
          <w:tcPr>
            <w:tcW w:w="1815"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cPr>
          <w:p w:rsidR="00E10893" w:rsidRDefault="007471D4">
            <w:pPr>
              <w:rPr>
                <w:rFonts w:ascii="Times New Roman" w:eastAsia="Times New Roman" w:hAnsi="Times New Roman" w:cs="Times New Roman"/>
                <w:sz w:val="24"/>
                <w:szCs w:val="24"/>
              </w:rPr>
            </w:pPr>
            <w:r>
              <w:rPr>
                <w:rFonts w:ascii="Times New Roman" w:eastAsia="Times New Roman" w:hAnsi="Times New Roman" w:cs="Times New Roman"/>
                <w:sz w:val="24"/>
                <w:szCs w:val="24"/>
              </w:rPr>
              <w:t>Restrictions o</w:t>
            </w:r>
            <w:r>
              <w:rPr>
                <w:rFonts w:ascii="Times New Roman" w:eastAsia="Times New Roman" w:hAnsi="Times New Roman" w:cs="Times New Roman"/>
                <w:sz w:val="24"/>
                <w:szCs w:val="24"/>
              </w:rPr>
              <w:t>n the Fund’s portfolio</w:t>
            </w:r>
          </w:p>
        </w:tc>
        <w:tc>
          <w:tcPr>
            <w:tcW w:w="7590"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cPr>
          <w:p w:rsidR="00E10893" w:rsidRDefault="007471D4">
            <w:pPr>
              <w:ind w:left="3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An undertaking seeks to have a diversified portfolio of the financed companies while providing financing from the Fund. The amount of financing for one company (the total remaining outstanding (unsold) value of instruments under sign</w:t>
            </w:r>
            <w:r>
              <w:rPr>
                <w:rFonts w:ascii="Times New Roman" w:eastAsia="Times New Roman" w:hAnsi="Times New Roman" w:cs="Times New Roman"/>
                <w:sz w:val="24"/>
                <w:szCs w:val="24"/>
              </w:rPr>
              <w:t>ed investment agreements) may not exceed 10% of the total Fund’s assets. In exceptional cases, upon approval by the Fund's Advisory Committee, the amount of financing for one company may exceed the established limit.</w:t>
            </w:r>
          </w:p>
          <w:p w:rsidR="00E10893" w:rsidRDefault="00E10893">
            <w:pPr>
              <w:ind w:left="34"/>
              <w:jc w:val="both"/>
              <w:rPr>
                <w:rFonts w:ascii="Times New Roman" w:eastAsia="Times New Roman" w:hAnsi="Times New Roman" w:cs="Times New Roman"/>
                <w:sz w:val="24"/>
                <w:szCs w:val="24"/>
              </w:rPr>
            </w:pPr>
          </w:p>
          <w:p w:rsidR="00E10893" w:rsidRDefault="007471D4">
            <w:pPr>
              <w:ind w:left="3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Restrictions on portfolio composition:</w:t>
            </w:r>
          </w:p>
          <w:p w:rsidR="00E10893" w:rsidRDefault="007471D4">
            <w:pPr>
              <w:numPr>
                <w:ilvl w:val="0"/>
                <w:numId w:val="8"/>
              </w:numPr>
              <w:pBdr>
                <w:top w:val="nil"/>
                <w:left w:val="nil"/>
                <w:bottom w:val="nil"/>
                <w:right w:val="nil"/>
                <w:between w:val="nil"/>
              </w:pBdr>
              <w:spacing w:line="276" w:lineRule="auto"/>
              <w:jc w:val="both"/>
              <w:rPr>
                <w:color w:val="000000"/>
                <w:sz w:val="24"/>
                <w:szCs w:val="24"/>
              </w:rPr>
            </w:pPr>
            <w:r>
              <w:rPr>
                <w:rFonts w:ascii="Times New Roman" w:eastAsia="Times New Roman" w:hAnsi="Times New Roman" w:cs="Times New Roman"/>
                <w:color w:val="000000"/>
                <w:sz w:val="24"/>
                <w:szCs w:val="24"/>
              </w:rPr>
              <w:t>debt securities shall comprise at least 60% of the Fund’s portfolio;</w:t>
            </w:r>
          </w:p>
          <w:p w:rsidR="00E10893" w:rsidRDefault="007471D4">
            <w:pPr>
              <w:numPr>
                <w:ilvl w:val="0"/>
                <w:numId w:val="8"/>
              </w:numPr>
              <w:pBdr>
                <w:top w:val="nil"/>
                <w:left w:val="nil"/>
                <w:bottom w:val="nil"/>
                <w:right w:val="nil"/>
                <w:between w:val="nil"/>
              </w:pBdr>
              <w:spacing w:line="276" w:lineRule="auto"/>
              <w:rPr>
                <w:color w:val="000000"/>
                <w:sz w:val="24"/>
                <w:szCs w:val="24"/>
              </w:rPr>
            </w:pPr>
            <w:r>
              <w:rPr>
                <w:rFonts w:ascii="Times New Roman" w:eastAsia="Times New Roman" w:hAnsi="Times New Roman" w:cs="Times New Roman"/>
                <w:color w:val="000000"/>
                <w:sz w:val="24"/>
                <w:szCs w:val="24"/>
              </w:rPr>
              <w:t>loans may comprise up to 30% of the Fund’s portfolio;</w:t>
            </w:r>
          </w:p>
          <w:p w:rsidR="00E10893" w:rsidRDefault="007471D4">
            <w:pPr>
              <w:numPr>
                <w:ilvl w:val="0"/>
                <w:numId w:val="8"/>
              </w:numPr>
              <w:pBdr>
                <w:top w:val="nil"/>
                <w:left w:val="nil"/>
                <w:bottom w:val="nil"/>
                <w:right w:val="nil"/>
                <w:between w:val="nil"/>
              </w:pBdr>
              <w:spacing w:after="200" w:line="276" w:lineRule="auto"/>
              <w:rPr>
                <w:color w:val="000000"/>
                <w:sz w:val="24"/>
                <w:szCs w:val="24"/>
              </w:rPr>
            </w:pPr>
            <w:proofErr w:type="gramStart"/>
            <w:r>
              <w:rPr>
                <w:rFonts w:ascii="Times New Roman" w:eastAsia="Times New Roman" w:hAnsi="Times New Roman" w:cs="Times New Roman"/>
                <w:color w:val="000000"/>
                <w:sz w:val="24"/>
                <w:szCs w:val="24"/>
              </w:rPr>
              <w:t>equity</w:t>
            </w:r>
            <w:proofErr w:type="gramEnd"/>
            <w:r>
              <w:rPr>
                <w:rFonts w:ascii="Times New Roman" w:eastAsia="Times New Roman" w:hAnsi="Times New Roman" w:cs="Times New Roman"/>
                <w:color w:val="000000"/>
                <w:sz w:val="24"/>
                <w:szCs w:val="24"/>
              </w:rPr>
              <w:t xml:space="preserve"> securities and aforementioned instruments may comprise up to 30% of the Fund’s portfolio.</w:t>
            </w:r>
          </w:p>
          <w:p w:rsidR="00E10893" w:rsidRDefault="007471D4">
            <w:pPr>
              <w:tabs>
                <w:tab w:val="left" w:pos="459"/>
              </w:tabs>
              <w:ind w:left="3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It shall be prohibited for the Fund to guarantee or secure its assets in exchange for liabilities of other persons, to provide charity or support to economic entities and to carry out other activities incompatible with the Fund’s Investment Strategy. </w:t>
            </w:r>
          </w:p>
        </w:tc>
      </w:tr>
      <w:tr w:rsidR="00E10893">
        <w:trPr>
          <w:trHeight w:val="60"/>
        </w:trPr>
        <w:tc>
          <w:tcPr>
            <w:tcW w:w="510" w:type="dxa"/>
            <w:tcBorders>
              <w:top w:val="single" w:sz="4" w:space="0" w:color="000000"/>
              <w:left w:val="single" w:sz="4" w:space="0" w:color="000000"/>
              <w:bottom w:val="single" w:sz="4" w:space="0" w:color="000000"/>
              <w:right w:val="single" w:sz="4" w:space="0" w:color="000000"/>
            </w:tcBorders>
          </w:tcPr>
          <w:p w:rsidR="00E10893" w:rsidRDefault="007471D4">
            <w:pPr>
              <w:pBdr>
                <w:top w:val="nil"/>
                <w:left w:val="nil"/>
                <w:bottom w:val="nil"/>
                <w:right w:val="nil"/>
                <w:between w:val="nil"/>
              </w:pBd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13.</w:t>
            </w:r>
          </w:p>
        </w:tc>
        <w:tc>
          <w:tcPr>
            <w:tcW w:w="1815"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cPr>
          <w:p w:rsidR="00E10893" w:rsidRDefault="007471D4">
            <w:pPr>
              <w:rPr>
                <w:rFonts w:ascii="Times New Roman" w:eastAsia="Times New Roman" w:hAnsi="Times New Roman" w:cs="Times New Roman"/>
                <w:sz w:val="24"/>
                <w:szCs w:val="24"/>
              </w:rPr>
            </w:pPr>
            <w:r>
              <w:rPr>
                <w:rFonts w:ascii="Times New Roman" w:eastAsia="Times New Roman" w:hAnsi="Times New Roman" w:cs="Times New Roman"/>
                <w:sz w:val="24"/>
                <w:szCs w:val="24"/>
              </w:rPr>
              <w:t>Completion of financing transaction (liquidation of investments)</w:t>
            </w:r>
          </w:p>
        </w:tc>
        <w:tc>
          <w:tcPr>
            <w:tcW w:w="7590"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cPr>
          <w:p w:rsidR="00E10893" w:rsidRDefault="007471D4">
            <w:pPr>
              <w:ind w:left="3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investments shall be liquidated in accordance with the deadlines set out in point 2.2, but no later than the end of the Fund’s activities:</w:t>
            </w:r>
          </w:p>
          <w:p w:rsidR="00E10893" w:rsidRDefault="00E10893">
            <w:pPr>
              <w:ind w:left="34"/>
              <w:jc w:val="both"/>
              <w:rPr>
                <w:rFonts w:ascii="Times New Roman" w:eastAsia="Times New Roman" w:hAnsi="Times New Roman" w:cs="Times New Roman"/>
                <w:sz w:val="24"/>
                <w:szCs w:val="24"/>
              </w:rPr>
            </w:pPr>
          </w:p>
          <w:p w:rsidR="00E10893" w:rsidRDefault="007471D4">
            <w:pPr>
              <w:ind w:left="3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Debt securities (priority order):</w:t>
            </w:r>
          </w:p>
          <w:p w:rsidR="00E10893" w:rsidRDefault="00E10893">
            <w:pPr>
              <w:ind w:left="34"/>
              <w:jc w:val="both"/>
              <w:rPr>
                <w:rFonts w:ascii="Times New Roman" w:eastAsia="Times New Roman" w:hAnsi="Times New Roman" w:cs="Times New Roman"/>
                <w:sz w:val="24"/>
                <w:szCs w:val="24"/>
              </w:rPr>
            </w:pPr>
          </w:p>
          <w:p w:rsidR="00E10893" w:rsidRDefault="007471D4">
            <w:pPr>
              <w:numPr>
                <w:ilvl w:val="0"/>
                <w:numId w:val="9"/>
              </w:num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listed and</w:t>
            </w:r>
            <w:r>
              <w:rPr>
                <w:rFonts w:ascii="Times New Roman" w:eastAsia="Times New Roman" w:hAnsi="Times New Roman" w:cs="Times New Roman"/>
                <w:sz w:val="24"/>
                <w:szCs w:val="24"/>
              </w:rPr>
              <w:t xml:space="preserve"> traded on the secondary market;</w:t>
            </w:r>
          </w:p>
          <w:p w:rsidR="00E10893" w:rsidRDefault="007471D4">
            <w:pPr>
              <w:numPr>
                <w:ilvl w:val="0"/>
                <w:numId w:val="9"/>
              </w:num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sold to other investors;</w:t>
            </w:r>
          </w:p>
          <w:p w:rsidR="00E10893" w:rsidRDefault="007471D4">
            <w:pPr>
              <w:numPr>
                <w:ilvl w:val="0"/>
                <w:numId w:val="9"/>
              </w:num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sz w:val="24"/>
                <w:szCs w:val="24"/>
              </w:rPr>
              <w:t>redeemed</w:t>
            </w:r>
            <w:proofErr w:type="gramEnd"/>
            <w:r>
              <w:rPr>
                <w:rFonts w:ascii="Times New Roman" w:eastAsia="Times New Roman" w:hAnsi="Times New Roman" w:cs="Times New Roman"/>
                <w:sz w:val="24"/>
                <w:szCs w:val="24"/>
              </w:rPr>
              <w:t xml:space="preserve"> by the issuer at maturity.</w:t>
            </w:r>
          </w:p>
          <w:p w:rsidR="00E10893" w:rsidRDefault="00E10893">
            <w:pPr>
              <w:ind w:left="34"/>
              <w:jc w:val="both"/>
              <w:rPr>
                <w:rFonts w:ascii="Times New Roman" w:eastAsia="Times New Roman" w:hAnsi="Times New Roman" w:cs="Times New Roman"/>
                <w:sz w:val="24"/>
                <w:szCs w:val="24"/>
              </w:rPr>
            </w:pPr>
          </w:p>
          <w:p w:rsidR="00E10893" w:rsidRDefault="007471D4">
            <w:pPr>
              <w:ind w:left="3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Loans:</w:t>
            </w:r>
          </w:p>
          <w:p w:rsidR="00E10893" w:rsidRDefault="00E10893">
            <w:pPr>
              <w:ind w:left="34"/>
              <w:jc w:val="both"/>
              <w:rPr>
                <w:rFonts w:ascii="Times New Roman" w:eastAsia="Times New Roman" w:hAnsi="Times New Roman" w:cs="Times New Roman"/>
                <w:sz w:val="24"/>
                <w:szCs w:val="24"/>
              </w:rPr>
            </w:pPr>
          </w:p>
          <w:p w:rsidR="00E10893" w:rsidRDefault="007471D4">
            <w:pPr>
              <w:numPr>
                <w:ilvl w:val="0"/>
                <w:numId w:val="6"/>
              </w:num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returned by the entity who received the loan;</w:t>
            </w:r>
          </w:p>
          <w:p w:rsidR="00E10893" w:rsidRDefault="007471D4">
            <w:pPr>
              <w:numPr>
                <w:ilvl w:val="0"/>
                <w:numId w:val="6"/>
              </w:numPr>
              <w:jc w:val="both"/>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credit</w:t>
            </w:r>
            <w:proofErr w:type="gramEnd"/>
            <w:r>
              <w:rPr>
                <w:rFonts w:ascii="Times New Roman" w:eastAsia="Times New Roman" w:hAnsi="Times New Roman" w:cs="Times New Roman"/>
                <w:sz w:val="24"/>
                <w:szCs w:val="24"/>
              </w:rPr>
              <w:t xml:space="preserve"> liabilities are sold to other investors.</w:t>
            </w:r>
          </w:p>
          <w:p w:rsidR="00E10893" w:rsidRDefault="00E10893">
            <w:pPr>
              <w:jc w:val="both"/>
              <w:rPr>
                <w:rFonts w:ascii="Times New Roman" w:eastAsia="Times New Roman" w:hAnsi="Times New Roman" w:cs="Times New Roman"/>
                <w:sz w:val="24"/>
                <w:szCs w:val="24"/>
              </w:rPr>
            </w:pPr>
          </w:p>
          <w:p w:rsidR="00E10893" w:rsidRDefault="007471D4">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﻿Equity securities (in order of priority):</w:t>
            </w:r>
          </w:p>
          <w:p w:rsidR="00E10893" w:rsidRDefault="00E10893">
            <w:pPr>
              <w:ind w:left="34"/>
              <w:jc w:val="both"/>
              <w:rPr>
                <w:rFonts w:ascii="Times New Roman" w:eastAsia="Times New Roman" w:hAnsi="Times New Roman" w:cs="Times New Roman"/>
                <w:sz w:val="24"/>
                <w:szCs w:val="24"/>
              </w:rPr>
            </w:pPr>
          </w:p>
          <w:p w:rsidR="00E10893" w:rsidRDefault="007471D4">
            <w:pPr>
              <w:numPr>
                <w:ilvl w:val="0"/>
                <w:numId w:val="13"/>
              </w:numPr>
              <w:jc w:val="both"/>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redeemed</w:t>
            </w:r>
            <w:proofErr w:type="gramEnd"/>
            <w:r>
              <w:rPr>
                <w:rFonts w:ascii="Times New Roman" w:eastAsia="Times New Roman" w:hAnsi="Times New Roman" w:cs="Times New Roman"/>
                <w:sz w:val="24"/>
                <w:szCs w:val="24"/>
              </w:rPr>
              <w:t xml:space="preserve"> by the issuer and existing shareholders (who will have priority right and redemption incentive). </w:t>
            </w:r>
          </w:p>
          <w:p w:rsidR="00E10893" w:rsidRDefault="007471D4">
            <w:pPr>
              <w:numPr>
                <w:ilvl w:val="0"/>
                <w:numId w:val="13"/>
              </w:num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As an alternative, the Fund may sell at any time its equity participation at market prices to purchasers other than the beneficiary. This in principl</w:t>
            </w:r>
            <w:r>
              <w:rPr>
                <w:rFonts w:ascii="Times New Roman" w:eastAsia="Times New Roman" w:hAnsi="Times New Roman" w:cs="Times New Roman"/>
                <w:sz w:val="24"/>
                <w:szCs w:val="24"/>
              </w:rPr>
              <w:t>e requires an open and non-discriminatory consultation of potential purchasers or a sale on the stock exchange</w:t>
            </w:r>
          </w:p>
          <w:p w:rsidR="00E10893" w:rsidRDefault="007471D4">
            <w:pPr>
              <w:numPr>
                <w:ilvl w:val="0"/>
                <w:numId w:val="13"/>
              </w:numPr>
              <w:jc w:val="both"/>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listed</w:t>
            </w:r>
            <w:proofErr w:type="gramEnd"/>
            <w:r>
              <w:rPr>
                <w:rFonts w:ascii="Times New Roman" w:eastAsia="Times New Roman" w:hAnsi="Times New Roman" w:cs="Times New Roman"/>
                <w:sz w:val="24"/>
                <w:szCs w:val="24"/>
              </w:rPr>
              <w:t xml:space="preserve"> and traded on the secondary market.</w:t>
            </w:r>
          </w:p>
          <w:p w:rsidR="00E10893" w:rsidRDefault="00E10893">
            <w:pPr>
              <w:ind w:left="34"/>
              <w:jc w:val="both"/>
              <w:rPr>
                <w:rFonts w:ascii="Times New Roman" w:eastAsia="Times New Roman" w:hAnsi="Times New Roman" w:cs="Times New Roman"/>
                <w:sz w:val="24"/>
                <w:szCs w:val="24"/>
              </w:rPr>
            </w:pPr>
          </w:p>
          <w:p w:rsidR="00E10893" w:rsidRDefault="007471D4">
            <w:pPr>
              <w:ind w:left="3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Debt instruments that have or may have equity components are liquidated taking into account their spe</w:t>
            </w:r>
            <w:r>
              <w:rPr>
                <w:rFonts w:ascii="Times New Roman" w:eastAsia="Times New Roman" w:hAnsi="Times New Roman" w:cs="Times New Roman"/>
                <w:sz w:val="24"/>
                <w:szCs w:val="24"/>
              </w:rPr>
              <w:t>cific features.</w:t>
            </w:r>
          </w:p>
          <w:p w:rsidR="00E10893" w:rsidRDefault="00E10893">
            <w:pPr>
              <w:ind w:left="34"/>
              <w:jc w:val="both"/>
              <w:rPr>
                <w:rFonts w:ascii="Times New Roman" w:eastAsia="Times New Roman" w:hAnsi="Times New Roman" w:cs="Times New Roman"/>
                <w:sz w:val="24"/>
                <w:szCs w:val="24"/>
              </w:rPr>
            </w:pPr>
          </w:p>
          <w:p w:rsidR="00E10893" w:rsidRDefault="007471D4">
            <w:pPr>
              <w:ind w:left="3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In case of investments in equity securities and/or debt instruments that have or may have an equity component, if six years after the recapitalisation the Fund’s intervention has not been reduced below </w:t>
            </w:r>
            <w:r>
              <w:rPr>
                <w:rFonts w:ascii="Times New Roman" w:eastAsia="Times New Roman" w:hAnsi="Times New Roman" w:cs="Times New Roman"/>
                <w:sz w:val="24"/>
                <w:szCs w:val="24"/>
                <w:highlight w:val="yellow"/>
              </w:rPr>
              <w:t>[15%]</w:t>
            </w:r>
            <w:r>
              <w:rPr>
                <w:rFonts w:ascii="Times New Roman" w:eastAsia="Times New Roman" w:hAnsi="Times New Roman" w:cs="Times New Roman"/>
                <w:sz w:val="24"/>
                <w:szCs w:val="24"/>
              </w:rPr>
              <w:t xml:space="preserve"> of equity, a restructuring plan</w:t>
            </w:r>
            <w:r>
              <w:rPr>
                <w:rFonts w:ascii="Times New Roman" w:eastAsia="Times New Roman" w:hAnsi="Times New Roman" w:cs="Times New Roman"/>
                <w:sz w:val="24"/>
                <w:szCs w:val="24"/>
              </w:rPr>
              <w:t xml:space="preserve"> in accordance with the Rescue and Restructuring Guidelines shall be notified to the Commission for approval. The Commission will assess whether the actions contemplated in the restructuring plan ensure the viability of the beneficiary, also with a view of</w:t>
            </w:r>
            <w:r>
              <w:rPr>
                <w:rFonts w:ascii="Times New Roman" w:eastAsia="Times New Roman" w:hAnsi="Times New Roman" w:cs="Times New Roman"/>
                <w:sz w:val="24"/>
                <w:szCs w:val="24"/>
              </w:rPr>
              <w:t xml:space="preserve"> EU and national obligations linked to the green and digital transformation, and the exit of the Fund without adversely affecting trade to an extent contrary to the common interest. If the beneficiary is not a publicly listed company, Member States may dec</w:t>
            </w:r>
            <w:r>
              <w:rPr>
                <w:rFonts w:ascii="Times New Roman" w:eastAsia="Times New Roman" w:hAnsi="Times New Roman" w:cs="Times New Roman"/>
                <w:sz w:val="24"/>
                <w:szCs w:val="24"/>
              </w:rPr>
              <w:t>ide to notify a restructuring plan only if the Fund’s intervention has not been reduced below the level of 15% of equity seven years after the COVID-19 recapitalisation.</w:t>
            </w:r>
          </w:p>
        </w:tc>
      </w:tr>
      <w:tr w:rsidR="00E10893">
        <w:trPr>
          <w:trHeight w:val="60"/>
        </w:trPr>
        <w:tc>
          <w:tcPr>
            <w:tcW w:w="510" w:type="dxa"/>
            <w:tcBorders>
              <w:top w:val="single" w:sz="4" w:space="0" w:color="000000"/>
              <w:left w:val="single" w:sz="4" w:space="0" w:color="000000"/>
              <w:bottom w:val="single" w:sz="4" w:space="0" w:color="000000"/>
              <w:right w:val="single" w:sz="4" w:space="0" w:color="000000"/>
            </w:tcBorders>
          </w:tcPr>
          <w:p w:rsidR="00E10893" w:rsidRDefault="007471D4">
            <w:pPr>
              <w:pBdr>
                <w:top w:val="nil"/>
                <w:left w:val="nil"/>
                <w:bottom w:val="nil"/>
                <w:right w:val="nil"/>
                <w:between w:val="nil"/>
              </w:pBd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14.</w:t>
            </w:r>
          </w:p>
          <w:p w:rsidR="00E10893" w:rsidRDefault="00E10893">
            <w:pPr>
              <w:pBdr>
                <w:top w:val="nil"/>
                <w:left w:val="nil"/>
                <w:bottom w:val="nil"/>
                <w:right w:val="nil"/>
                <w:between w:val="nil"/>
              </w:pBdr>
              <w:jc w:val="center"/>
              <w:rPr>
                <w:rFonts w:ascii="Times New Roman" w:eastAsia="Times New Roman" w:hAnsi="Times New Roman" w:cs="Times New Roman"/>
                <w:sz w:val="24"/>
                <w:szCs w:val="24"/>
              </w:rPr>
            </w:pPr>
          </w:p>
        </w:tc>
        <w:tc>
          <w:tcPr>
            <w:tcW w:w="1815"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cPr>
          <w:p w:rsidR="00E10893" w:rsidRDefault="007471D4">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State aid </w:t>
            </w:r>
            <w:proofErr w:type="spellStart"/>
            <w:r>
              <w:rPr>
                <w:rFonts w:ascii="Times New Roman" w:eastAsia="Times New Roman" w:hAnsi="Times New Roman" w:cs="Times New Roman"/>
                <w:sz w:val="24"/>
                <w:szCs w:val="24"/>
              </w:rPr>
              <w:t>cumulation</w:t>
            </w:r>
            <w:proofErr w:type="spellEnd"/>
            <w:r>
              <w:rPr>
                <w:rFonts w:ascii="Times New Roman" w:eastAsia="Times New Roman" w:hAnsi="Times New Roman" w:cs="Times New Roman"/>
                <w:sz w:val="24"/>
                <w:szCs w:val="24"/>
              </w:rPr>
              <w:t xml:space="preserve"> </w:t>
            </w:r>
          </w:p>
        </w:tc>
        <w:tc>
          <w:tcPr>
            <w:tcW w:w="7590"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cPr>
          <w:p w:rsidR="00E10893" w:rsidRDefault="007471D4">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Financing from the Fund may be provided under market conditions or as state aid granted in accordance with the provisions of the Communication and this Scheme. </w:t>
            </w:r>
          </w:p>
          <w:p w:rsidR="00E10893" w:rsidRDefault="007471D4">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State aid granted under the Instrument may be cumulated with </w:t>
            </w:r>
            <w:r>
              <w:rPr>
                <w:rFonts w:ascii="Times New Roman" w:eastAsia="Times New Roman" w:hAnsi="Times New Roman" w:cs="Times New Roman"/>
                <w:i/>
                <w:sz w:val="24"/>
                <w:szCs w:val="24"/>
              </w:rPr>
              <w:t xml:space="preserve">de </w:t>
            </w:r>
            <w:proofErr w:type="spellStart"/>
            <w:r>
              <w:rPr>
                <w:rFonts w:ascii="Times New Roman" w:eastAsia="Times New Roman" w:hAnsi="Times New Roman" w:cs="Times New Roman"/>
                <w:i/>
                <w:sz w:val="24"/>
                <w:szCs w:val="24"/>
              </w:rPr>
              <w:t>minimis</w:t>
            </w:r>
            <w:proofErr w:type="spellEnd"/>
            <w:r>
              <w:rPr>
                <w:rFonts w:ascii="Times New Roman" w:eastAsia="Times New Roman" w:hAnsi="Times New Roman" w:cs="Times New Roman"/>
                <w:sz w:val="24"/>
                <w:szCs w:val="24"/>
              </w:rPr>
              <w:t xml:space="preserve"> aid for the same eligib</w:t>
            </w:r>
            <w:r>
              <w:rPr>
                <w:rFonts w:ascii="Times New Roman" w:eastAsia="Times New Roman" w:hAnsi="Times New Roman" w:cs="Times New Roman"/>
                <w:sz w:val="24"/>
                <w:szCs w:val="24"/>
              </w:rPr>
              <w:t xml:space="preserve">le costs, provided that such </w:t>
            </w:r>
            <w:proofErr w:type="spellStart"/>
            <w:r>
              <w:rPr>
                <w:rFonts w:ascii="Times New Roman" w:eastAsia="Times New Roman" w:hAnsi="Times New Roman" w:cs="Times New Roman"/>
                <w:sz w:val="24"/>
                <w:szCs w:val="24"/>
              </w:rPr>
              <w:t>cumulation</w:t>
            </w:r>
            <w:proofErr w:type="spellEnd"/>
            <w:r>
              <w:rPr>
                <w:rFonts w:ascii="Times New Roman" w:eastAsia="Times New Roman" w:hAnsi="Times New Roman" w:cs="Times New Roman"/>
                <w:sz w:val="24"/>
                <w:szCs w:val="24"/>
              </w:rPr>
              <w:t xml:space="preserve"> does not result in exceeding the maximum aid intensity or amount.</w:t>
            </w:r>
          </w:p>
          <w:p w:rsidR="00E10893" w:rsidRDefault="00E10893">
            <w:pPr>
              <w:jc w:val="both"/>
              <w:rPr>
                <w:rFonts w:ascii="Times New Roman" w:eastAsia="Times New Roman" w:hAnsi="Times New Roman" w:cs="Times New Roman"/>
                <w:sz w:val="24"/>
                <w:szCs w:val="24"/>
              </w:rPr>
            </w:pPr>
          </w:p>
          <w:p w:rsidR="00E10893" w:rsidRDefault="007471D4">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State aid granted under the Instrument may not be cumulated with aid provided under section 3.2 of the Communication, as established in point 26 of t</w:t>
            </w:r>
            <w:r>
              <w:rPr>
                <w:rFonts w:ascii="Times New Roman" w:eastAsia="Times New Roman" w:hAnsi="Times New Roman" w:cs="Times New Roman"/>
                <w:sz w:val="24"/>
                <w:szCs w:val="24"/>
              </w:rPr>
              <w:t>he Communication.</w:t>
            </w:r>
          </w:p>
        </w:tc>
      </w:tr>
      <w:tr w:rsidR="00E10893">
        <w:trPr>
          <w:trHeight w:val="60"/>
        </w:trPr>
        <w:tc>
          <w:tcPr>
            <w:tcW w:w="510" w:type="dxa"/>
            <w:tcBorders>
              <w:top w:val="single" w:sz="4" w:space="0" w:color="000000"/>
              <w:left w:val="single" w:sz="4" w:space="0" w:color="000000"/>
              <w:bottom w:val="single" w:sz="4" w:space="0" w:color="000000"/>
              <w:right w:val="single" w:sz="4" w:space="0" w:color="000000"/>
            </w:tcBorders>
          </w:tcPr>
          <w:p w:rsidR="00E10893" w:rsidRDefault="007471D4">
            <w:pPr>
              <w:pBdr>
                <w:top w:val="nil"/>
                <w:left w:val="nil"/>
                <w:bottom w:val="nil"/>
                <w:right w:val="nil"/>
                <w:between w:val="nil"/>
              </w:pBd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15.</w:t>
            </w:r>
          </w:p>
        </w:tc>
        <w:tc>
          <w:tcPr>
            <w:tcW w:w="1815"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cPr>
          <w:p w:rsidR="00E10893" w:rsidRDefault="007471D4">
            <w:pPr>
              <w:rPr>
                <w:rFonts w:ascii="Times New Roman" w:eastAsia="Times New Roman" w:hAnsi="Times New Roman" w:cs="Times New Roman"/>
                <w:sz w:val="24"/>
                <w:szCs w:val="24"/>
              </w:rPr>
            </w:pPr>
            <w:r>
              <w:rPr>
                <w:rFonts w:ascii="Times New Roman" w:eastAsia="Times New Roman" w:hAnsi="Times New Roman" w:cs="Times New Roman"/>
                <w:sz w:val="24"/>
                <w:szCs w:val="24"/>
              </w:rPr>
              <w:t>Monitoring</w:t>
            </w:r>
          </w:p>
        </w:tc>
        <w:tc>
          <w:tcPr>
            <w:tcW w:w="7590"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cPr>
          <w:p w:rsidR="00E10893" w:rsidRDefault="007471D4">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Fund manager shall ensure that investments in medium-sized and large enterprises subject to the requirements of the Communication comply with the provisions of the Communication and this Scheme, and shall be responsible for registering the provided sta</w:t>
            </w:r>
            <w:r>
              <w:rPr>
                <w:rFonts w:ascii="Times New Roman" w:eastAsia="Times New Roman" w:hAnsi="Times New Roman" w:cs="Times New Roman"/>
                <w:sz w:val="24"/>
                <w:szCs w:val="24"/>
              </w:rPr>
              <w:t>te aid in the Register of State Aid and Immaterial (</w:t>
            </w:r>
            <w:r>
              <w:rPr>
                <w:rFonts w:ascii="Times New Roman" w:eastAsia="Times New Roman" w:hAnsi="Times New Roman" w:cs="Times New Roman"/>
                <w:i/>
                <w:sz w:val="24"/>
                <w:szCs w:val="24"/>
              </w:rPr>
              <w:t xml:space="preserve">de </w:t>
            </w:r>
            <w:proofErr w:type="spellStart"/>
            <w:r>
              <w:rPr>
                <w:rFonts w:ascii="Times New Roman" w:eastAsia="Times New Roman" w:hAnsi="Times New Roman" w:cs="Times New Roman"/>
                <w:i/>
                <w:sz w:val="24"/>
                <w:szCs w:val="24"/>
              </w:rPr>
              <w:t>minimis</w:t>
            </w:r>
            <w:proofErr w:type="spellEnd"/>
            <w:r>
              <w:rPr>
                <w:rFonts w:ascii="Times New Roman" w:eastAsia="Times New Roman" w:hAnsi="Times New Roman" w:cs="Times New Roman"/>
                <w:sz w:val="24"/>
                <w:szCs w:val="24"/>
              </w:rPr>
              <w:t xml:space="preserve">) Aid Granted, the provisions of which have been approved by Resolution No 35 of the Government of the Republic of Lithuania of 19 January 2005 on the approval of the provisions of the register </w:t>
            </w:r>
            <w:r>
              <w:rPr>
                <w:rFonts w:ascii="Times New Roman" w:eastAsia="Times New Roman" w:hAnsi="Times New Roman" w:cs="Times New Roman"/>
                <w:sz w:val="24"/>
                <w:szCs w:val="24"/>
              </w:rPr>
              <w:t>of state aid and immaterial (</w:t>
            </w:r>
            <w:r>
              <w:rPr>
                <w:rFonts w:ascii="Times New Roman" w:eastAsia="Times New Roman" w:hAnsi="Times New Roman" w:cs="Times New Roman"/>
                <w:i/>
                <w:sz w:val="24"/>
                <w:szCs w:val="24"/>
              </w:rPr>
              <w:t xml:space="preserve">de </w:t>
            </w:r>
            <w:proofErr w:type="spellStart"/>
            <w:r>
              <w:rPr>
                <w:rFonts w:ascii="Times New Roman" w:eastAsia="Times New Roman" w:hAnsi="Times New Roman" w:cs="Times New Roman"/>
                <w:i/>
                <w:sz w:val="24"/>
                <w:szCs w:val="24"/>
              </w:rPr>
              <w:t>minimis</w:t>
            </w:r>
            <w:proofErr w:type="spellEnd"/>
            <w:r>
              <w:rPr>
                <w:rFonts w:ascii="Times New Roman" w:eastAsia="Times New Roman" w:hAnsi="Times New Roman" w:cs="Times New Roman"/>
                <w:sz w:val="24"/>
                <w:szCs w:val="24"/>
              </w:rPr>
              <w:t>) aid granted.</w:t>
            </w:r>
          </w:p>
          <w:p w:rsidR="00E10893" w:rsidRDefault="00E10893">
            <w:pPr>
              <w:jc w:val="both"/>
              <w:rPr>
                <w:rFonts w:ascii="Times New Roman" w:eastAsia="Times New Roman" w:hAnsi="Times New Roman" w:cs="Times New Roman"/>
                <w:sz w:val="24"/>
                <w:szCs w:val="24"/>
              </w:rPr>
            </w:pPr>
          </w:p>
          <w:p w:rsidR="00E10893" w:rsidRDefault="007471D4">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Beneficiaries will have to report to the Fund about the progress in the implementation of the repayment schedule within </w:t>
            </w:r>
            <w:r>
              <w:rPr>
                <w:rFonts w:ascii="Times New Roman" w:eastAsia="Times New Roman" w:hAnsi="Times New Roman" w:cs="Times New Roman"/>
                <w:sz w:val="24"/>
                <w:szCs w:val="24"/>
                <w:highlight w:val="yellow"/>
              </w:rPr>
              <w:t>[12]</w:t>
            </w:r>
            <w:r>
              <w:rPr>
                <w:rFonts w:ascii="Times New Roman" w:eastAsia="Times New Roman" w:hAnsi="Times New Roman" w:cs="Times New Roman"/>
                <w:sz w:val="24"/>
                <w:szCs w:val="24"/>
              </w:rPr>
              <w:t xml:space="preserve"> months of the repayment schedule’s presentation, and thereafter periodically</w:t>
            </w:r>
            <w:r>
              <w:rPr>
                <w:rFonts w:ascii="Times New Roman" w:eastAsia="Times New Roman" w:hAnsi="Times New Roman" w:cs="Times New Roman"/>
                <w:sz w:val="24"/>
                <w:szCs w:val="24"/>
              </w:rPr>
              <w:t xml:space="preserve"> every </w:t>
            </w:r>
            <w:r>
              <w:rPr>
                <w:rFonts w:ascii="Times New Roman" w:eastAsia="Times New Roman" w:hAnsi="Times New Roman" w:cs="Times New Roman"/>
                <w:sz w:val="24"/>
                <w:szCs w:val="24"/>
                <w:highlight w:val="yellow"/>
              </w:rPr>
              <w:t>[12]</w:t>
            </w:r>
            <w:r>
              <w:rPr>
                <w:rFonts w:ascii="Times New Roman" w:eastAsia="Times New Roman" w:hAnsi="Times New Roman" w:cs="Times New Roman"/>
                <w:sz w:val="24"/>
                <w:szCs w:val="24"/>
              </w:rPr>
              <w:t xml:space="preserve"> months. The Fund will collect information about the progress in the implementation of the repayment schedules of beneficiaries as well as their </w:t>
            </w:r>
            <w:r>
              <w:rPr>
                <w:rFonts w:ascii="Times New Roman" w:eastAsia="Times New Roman" w:hAnsi="Times New Roman" w:cs="Times New Roman"/>
                <w:sz w:val="24"/>
                <w:szCs w:val="24"/>
              </w:rPr>
              <w:lastRenderedPageBreak/>
              <w:t>actions taken to prevent undue distortions of competition (in line with above-mentioned requirements</w:t>
            </w:r>
            <w:r>
              <w:rPr>
                <w:rFonts w:ascii="Times New Roman" w:eastAsia="Times New Roman" w:hAnsi="Times New Roman" w:cs="Times New Roman"/>
                <w:sz w:val="24"/>
                <w:szCs w:val="24"/>
              </w:rPr>
              <w:t xml:space="preserve">). </w:t>
            </w:r>
          </w:p>
          <w:p w:rsidR="00E10893" w:rsidRDefault="00E10893">
            <w:pPr>
              <w:jc w:val="both"/>
              <w:rPr>
                <w:rFonts w:ascii="Times New Roman" w:eastAsia="Times New Roman" w:hAnsi="Times New Roman" w:cs="Times New Roman"/>
                <w:sz w:val="24"/>
                <w:szCs w:val="24"/>
              </w:rPr>
            </w:pPr>
          </w:p>
          <w:p w:rsidR="00E10893" w:rsidRDefault="007471D4">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Annual reporting to the European Commission regarding the Fund activity and implementation of the repayment schedule shall be ensured. Where the beneficiary received a COVID-19 recapitalisation above EUR </w:t>
            </w:r>
            <w:r>
              <w:rPr>
                <w:rFonts w:ascii="Times New Roman" w:eastAsia="Times New Roman" w:hAnsi="Times New Roman" w:cs="Times New Roman"/>
                <w:sz w:val="24"/>
                <w:szCs w:val="24"/>
                <w:highlight w:val="yellow"/>
              </w:rPr>
              <w:t>[250]</w:t>
            </w:r>
            <w:r>
              <w:rPr>
                <w:rFonts w:ascii="Times New Roman" w:eastAsia="Times New Roman" w:hAnsi="Times New Roman" w:cs="Times New Roman"/>
                <w:sz w:val="24"/>
                <w:szCs w:val="24"/>
              </w:rPr>
              <w:t xml:space="preserve"> million, the report shall include informa</w:t>
            </w:r>
            <w:r>
              <w:rPr>
                <w:rFonts w:ascii="Times New Roman" w:eastAsia="Times New Roman" w:hAnsi="Times New Roman" w:cs="Times New Roman"/>
                <w:sz w:val="24"/>
                <w:szCs w:val="24"/>
              </w:rPr>
              <w:t xml:space="preserve">tion on compliance with the conditions set in the paragraph regarding the </w:t>
            </w:r>
            <w:r>
              <w:rPr>
                <w:rFonts w:ascii="Times New Roman" w:eastAsia="Times New Roman" w:hAnsi="Times New Roman" w:cs="Times New Roman"/>
                <w:sz w:val="24"/>
                <w:szCs w:val="24"/>
                <w:highlight w:val="yellow"/>
              </w:rPr>
              <w:t>[“Amount” of the Recap amendment of the TF]</w:t>
            </w:r>
            <w:r>
              <w:rPr>
                <w:rFonts w:ascii="Times New Roman" w:eastAsia="Times New Roman" w:hAnsi="Times New Roman" w:cs="Times New Roman"/>
                <w:sz w:val="24"/>
                <w:szCs w:val="24"/>
              </w:rPr>
              <w:t>.</w:t>
            </w:r>
          </w:p>
          <w:p w:rsidR="00E10893" w:rsidRDefault="00E10893">
            <w:pPr>
              <w:jc w:val="both"/>
              <w:rPr>
                <w:rFonts w:ascii="Times New Roman" w:eastAsia="Times New Roman" w:hAnsi="Times New Roman" w:cs="Times New Roman"/>
                <w:sz w:val="24"/>
                <w:szCs w:val="24"/>
              </w:rPr>
            </w:pPr>
          </w:p>
          <w:p w:rsidR="00E10893" w:rsidRDefault="007471D4">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Beneficiaries of a COVID-19 recapitalisation, other than SMEs, shall publish information on the use of the aid received. In particular, </w:t>
            </w:r>
            <w:r>
              <w:rPr>
                <w:rFonts w:ascii="Times New Roman" w:eastAsia="Times New Roman" w:hAnsi="Times New Roman" w:cs="Times New Roman"/>
                <w:sz w:val="24"/>
                <w:szCs w:val="24"/>
              </w:rPr>
              <w:t>this should include information on how their use of the aid received supports their activities in line with EU and national obligations linked to the green and digital transformation</w:t>
            </w:r>
          </w:p>
          <w:p w:rsidR="00E10893" w:rsidRDefault="00E10893">
            <w:pPr>
              <w:jc w:val="both"/>
              <w:rPr>
                <w:rFonts w:ascii="Times New Roman" w:eastAsia="Times New Roman" w:hAnsi="Times New Roman" w:cs="Times New Roman"/>
                <w:sz w:val="24"/>
                <w:szCs w:val="24"/>
              </w:rPr>
            </w:pPr>
          </w:p>
          <w:p w:rsidR="00E10893" w:rsidRDefault="007471D4">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Following point 34 of the Communication and Annex III to the General Blo</w:t>
            </w:r>
            <w:r>
              <w:rPr>
                <w:rFonts w:ascii="Times New Roman" w:eastAsia="Times New Roman" w:hAnsi="Times New Roman" w:cs="Times New Roman"/>
                <w:sz w:val="24"/>
                <w:szCs w:val="24"/>
              </w:rPr>
              <w:t xml:space="preserve">ck Exemption Regulation, information on aid granted must be made available on the European Commission’s State Aid Transparency Award Module </w:t>
            </w:r>
            <w:hyperlink r:id="rId9">
              <w:r>
                <w:rPr>
                  <w:rFonts w:ascii="Times New Roman" w:eastAsia="Times New Roman" w:hAnsi="Times New Roman" w:cs="Times New Roman"/>
                  <w:color w:val="0000FF"/>
                  <w:sz w:val="24"/>
                  <w:szCs w:val="24"/>
                  <w:u w:val="single"/>
                </w:rPr>
                <w:t>https://webgate.ec.europa.eu/competition/t</w:t>
              </w:r>
              <w:r>
                <w:rPr>
                  <w:rFonts w:ascii="Times New Roman" w:eastAsia="Times New Roman" w:hAnsi="Times New Roman" w:cs="Times New Roman"/>
                  <w:color w:val="0000FF"/>
                  <w:sz w:val="24"/>
                  <w:szCs w:val="24"/>
                  <w:u w:val="single"/>
                </w:rPr>
                <w:t>ransparency/</w:t>
              </w:r>
            </w:hyperlink>
            <w:r>
              <w:rPr>
                <w:rFonts w:ascii="Times New Roman" w:eastAsia="Times New Roman" w:hAnsi="Times New Roman" w:cs="Times New Roman"/>
                <w:sz w:val="24"/>
                <w:szCs w:val="24"/>
              </w:rPr>
              <w:t xml:space="preserve"> within 12 months of the date of aid provision.</w:t>
            </w:r>
          </w:p>
          <w:p w:rsidR="00E10893" w:rsidRDefault="00E10893">
            <w:pPr>
              <w:jc w:val="both"/>
              <w:rPr>
                <w:rFonts w:ascii="Times New Roman" w:eastAsia="Times New Roman" w:hAnsi="Times New Roman" w:cs="Times New Roman"/>
                <w:sz w:val="24"/>
                <w:szCs w:val="24"/>
              </w:rPr>
            </w:pPr>
          </w:p>
          <w:p w:rsidR="00E10893" w:rsidRDefault="007471D4">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Investments in medium-sized and large enterprises that are not subject to the state aid requirements shall be made on a </w:t>
            </w:r>
            <w:proofErr w:type="spellStart"/>
            <w:r>
              <w:rPr>
                <w:rFonts w:ascii="Times New Roman" w:eastAsia="Times New Roman" w:hAnsi="Times New Roman" w:cs="Times New Roman"/>
                <w:i/>
                <w:sz w:val="24"/>
                <w:szCs w:val="24"/>
              </w:rPr>
              <w:t>pari</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passu</w:t>
            </w:r>
            <w:proofErr w:type="spellEnd"/>
            <w:r>
              <w:rPr>
                <w:rFonts w:ascii="Times New Roman" w:eastAsia="Times New Roman" w:hAnsi="Times New Roman" w:cs="Times New Roman"/>
                <w:sz w:val="24"/>
                <w:szCs w:val="24"/>
              </w:rPr>
              <w:t xml:space="preserve"> basis with the Fund’s private investors. The Fund manager shall </w:t>
            </w:r>
            <w:r>
              <w:rPr>
                <w:rFonts w:ascii="Times New Roman" w:eastAsia="Times New Roman" w:hAnsi="Times New Roman" w:cs="Times New Roman"/>
                <w:sz w:val="24"/>
                <w:szCs w:val="24"/>
              </w:rPr>
              <w:t>ensure that investments in medium-sized and large enterprises that are not subject to the state aid requirements comply with market economy conditions and all requirements for a market economy operator as defined in the Commission Notice on the notion of s</w:t>
            </w:r>
            <w:r>
              <w:rPr>
                <w:rFonts w:ascii="Times New Roman" w:eastAsia="Times New Roman" w:hAnsi="Times New Roman" w:cs="Times New Roman"/>
                <w:sz w:val="24"/>
                <w:szCs w:val="24"/>
              </w:rPr>
              <w:t>tate aid as referred to in Article 107(1) of the Treaty on the Functioning of the European Union.</w:t>
            </w:r>
          </w:p>
          <w:p w:rsidR="00E10893" w:rsidRDefault="00E10893">
            <w:pPr>
              <w:jc w:val="both"/>
              <w:rPr>
                <w:rFonts w:ascii="Times New Roman" w:eastAsia="Times New Roman" w:hAnsi="Times New Roman" w:cs="Times New Roman"/>
                <w:sz w:val="24"/>
                <w:szCs w:val="24"/>
              </w:rPr>
            </w:pPr>
          </w:p>
        </w:tc>
      </w:tr>
      <w:tr w:rsidR="00E10893">
        <w:trPr>
          <w:trHeight w:val="60"/>
        </w:trPr>
        <w:tc>
          <w:tcPr>
            <w:tcW w:w="510" w:type="dxa"/>
            <w:tcBorders>
              <w:top w:val="single" w:sz="4" w:space="0" w:color="000000"/>
              <w:left w:val="single" w:sz="4" w:space="0" w:color="000000"/>
              <w:bottom w:val="single" w:sz="4" w:space="0" w:color="000000"/>
              <w:right w:val="single" w:sz="4" w:space="0" w:color="000000"/>
            </w:tcBorders>
          </w:tcPr>
          <w:p w:rsidR="00E10893" w:rsidRDefault="007471D4">
            <w:pPr>
              <w:pBdr>
                <w:top w:val="nil"/>
                <w:left w:val="nil"/>
                <w:bottom w:val="nil"/>
                <w:right w:val="nil"/>
                <w:between w:val="nil"/>
              </w:pBd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16.</w:t>
            </w:r>
          </w:p>
        </w:tc>
        <w:tc>
          <w:tcPr>
            <w:tcW w:w="1815"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cPr>
          <w:p w:rsidR="00E10893" w:rsidRDefault="007471D4">
            <w:pPr>
              <w:rPr>
                <w:rFonts w:ascii="Times New Roman" w:eastAsia="Times New Roman" w:hAnsi="Times New Roman" w:cs="Times New Roman"/>
                <w:sz w:val="24"/>
                <w:szCs w:val="24"/>
              </w:rPr>
            </w:pPr>
            <w:r>
              <w:rPr>
                <w:rFonts w:ascii="Times New Roman" w:eastAsia="Times New Roman" w:hAnsi="Times New Roman" w:cs="Times New Roman"/>
                <w:sz w:val="24"/>
                <w:szCs w:val="24"/>
              </w:rPr>
              <w:t>Storage of information and documents</w:t>
            </w:r>
          </w:p>
        </w:tc>
        <w:tc>
          <w:tcPr>
            <w:tcW w:w="7590"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cPr>
          <w:p w:rsidR="00E10893" w:rsidRDefault="007471D4">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information and documents related to the granting of the aid shall be stored for at least 10 years from the last date of aid provision.</w:t>
            </w:r>
          </w:p>
        </w:tc>
      </w:tr>
    </w:tbl>
    <w:p w:rsidR="00E10893" w:rsidRDefault="00E10893">
      <w:pPr>
        <w:pBdr>
          <w:top w:val="nil"/>
          <w:left w:val="nil"/>
          <w:bottom w:val="nil"/>
          <w:right w:val="nil"/>
          <w:between w:val="nil"/>
        </w:pBdr>
        <w:ind w:firstLine="312"/>
        <w:jc w:val="both"/>
        <w:rPr>
          <w:color w:val="000000"/>
          <w:sz w:val="20"/>
          <w:szCs w:val="20"/>
        </w:rPr>
      </w:pPr>
    </w:p>
    <w:p w:rsidR="00E10893" w:rsidRDefault="007471D4">
      <w:pPr>
        <w:pBdr>
          <w:top w:val="nil"/>
          <w:left w:val="nil"/>
          <w:bottom w:val="nil"/>
          <w:right w:val="nil"/>
          <w:between w:val="nil"/>
        </w:pBdr>
        <w:jc w:val="center"/>
        <w:rPr>
          <w:color w:val="000000"/>
          <w:sz w:val="12"/>
          <w:szCs w:val="12"/>
        </w:rPr>
      </w:pPr>
      <w:r>
        <w:rPr>
          <w:color w:val="000000"/>
          <w:sz w:val="12"/>
          <w:szCs w:val="12"/>
        </w:rPr>
        <w:t>_____________________________________________</w:t>
      </w:r>
    </w:p>
    <w:p w:rsidR="00E10893" w:rsidRDefault="00E10893">
      <w:pPr>
        <w:pBdr>
          <w:top w:val="nil"/>
          <w:left w:val="nil"/>
          <w:bottom w:val="nil"/>
          <w:right w:val="nil"/>
          <w:between w:val="nil"/>
        </w:pBdr>
        <w:rPr>
          <w:color w:val="000000"/>
          <w:sz w:val="12"/>
          <w:szCs w:val="12"/>
        </w:rPr>
      </w:pPr>
    </w:p>
    <w:p w:rsidR="00E10893" w:rsidRDefault="00E10893">
      <w:pPr>
        <w:pBdr>
          <w:top w:val="nil"/>
          <w:left w:val="nil"/>
          <w:bottom w:val="nil"/>
          <w:right w:val="nil"/>
          <w:between w:val="nil"/>
        </w:pBdr>
        <w:rPr>
          <w:color w:val="000000"/>
          <w:sz w:val="12"/>
          <w:szCs w:val="12"/>
        </w:rPr>
      </w:pPr>
    </w:p>
    <w:p w:rsidR="00E10893" w:rsidRDefault="00E10893">
      <w:pPr>
        <w:pBdr>
          <w:top w:val="nil"/>
          <w:left w:val="nil"/>
          <w:bottom w:val="nil"/>
          <w:right w:val="nil"/>
          <w:between w:val="nil"/>
        </w:pBdr>
        <w:rPr>
          <w:color w:val="000000"/>
          <w:sz w:val="12"/>
          <w:szCs w:val="12"/>
        </w:rPr>
      </w:pPr>
    </w:p>
    <w:sectPr w:rsidR="00E10893">
      <w:headerReference w:type="default" r:id="rId10"/>
      <w:headerReference w:type="first" r:id="rId11"/>
      <w:pgSz w:w="11906" w:h="16838"/>
      <w:pgMar w:top="1134" w:right="567" w:bottom="1134" w:left="1701" w:header="709" w:footer="709" w:gutter="0"/>
      <w:pgNumType w:start="1"/>
      <w:cols w:space="1296" w:equalWidth="0">
        <w:col w:w="9972"/>
      </w:cols>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0000" w:rsidRDefault="007471D4">
      <w:r>
        <w:separator/>
      </w:r>
    </w:p>
  </w:endnote>
  <w:endnote w:type="continuationSeparator" w:id="0">
    <w:p w:rsidR="00000000" w:rsidRDefault="007471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Noto Sans Symbols">
    <w:charset w:val="00"/>
    <w:family w:val="auto"/>
    <w:pitch w:val="default"/>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000247B" w:usb2="00000009" w:usb3="00000000" w:csb0="000001FF" w:csb1="00000000"/>
  </w:font>
  <w:font w:name="Georgia">
    <w:panose1 w:val="02040502050405020303"/>
    <w:charset w:val="BA"/>
    <w:family w:val="roman"/>
    <w:pitch w:val="variable"/>
    <w:sig w:usb0="00000287" w:usb1="00000000" w:usb2="00000000" w:usb3="00000000" w:csb0="0000009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0000" w:rsidRDefault="007471D4">
      <w:r>
        <w:separator/>
      </w:r>
    </w:p>
  </w:footnote>
  <w:footnote w:type="continuationSeparator" w:id="0">
    <w:p w:rsidR="00000000" w:rsidRDefault="007471D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10893" w:rsidRDefault="007471D4">
    <w:pPr>
      <w:pBdr>
        <w:top w:val="nil"/>
        <w:left w:val="nil"/>
        <w:bottom w:val="nil"/>
        <w:right w:val="nil"/>
        <w:between w:val="nil"/>
      </w:pBdr>
      <w:tabs>
        <w:tab w:val="center" w:pos="4819"/>
        <w:tab w:val="right" w:pos="9638"/>
      </w:tabs>
      <w:jc w:val="center"/>
      <w:rPr>
        <w:color w:val="000000"/>
      </w:rPr>
    </w:pPr>
    <w:r>
      <w:rPr>
        <w:color w:val="000000"/>
      </w:rPr>
      <w:fldChar w:fldCharType="begin"/>
    </w:r>
    <w:r>
      <w:rPr>
        <w:color w:val="000000"/>
      </w:rPr>
      <w:instrText>PAGE</w:instrText>
    </w:r>
    <w:r>
      <w:rPr>
        <w:color w:val="000000"/>
      </w:rPr>
      <w:fldChar w:fldCharType="separate"/>
    </w:r>
    <w:r>
      <w:rPr>
        <w:noProof/>
        <w:color w:val="000000"/>
      </w:rPr>
      <w:t>10</w:t>
    </w:r>
    <w:r>
      <w:rPr>
        <w:color w:val="000000"/>
      </w:rPr>
      <w:fldChar w:fldCharType="end"/>
    </w:r>
  </w:p>
  <w:p w:rsidR="00E10893" w:rsidRDefault="00E10893">
    <w:pPr>
      <w:pBdr>
        <w:top w:val="nil"/>
        <w:left w:val="nil"/>
        <w:bottom w:val="nil"/>
        <w:right w:val="nil"/>
        <w:between w:val="nil"/>
      </w:pBdr>
      <w:tabs>
        <w:tab w:val="center" w:pos="4819"/>
        <w:tab w:val="right" w:pos="9638"/>
      </w:tabs>
      <w:rPr>
        <w:color w:val="00000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10893" w:rsidRDefault="007471D4">
    <w:pPr>
      <w:pBdr>
        <w:top w:val="nil"/>
        <w:left w:val="nil"/>
        <w:bottom w:val="nil"/>
        <w:right w:val="nil"/>
        <w:between w:val="nil"/>
      </w:pBdr>
      <w:tabs>
        <w:tab w:val="center" w:pos="4819"/>
        <w:tab w:val="right" w:pos="9638"/>
      </w:tabs>
      <w:jc w:val="right"/>
      <w:rPr>
        <w:b/>
        <w:color w:val="000000"/>
      </w:rPr>
    </w:pPr>
    <w:r>
      <w:rPr>
        <w:b/>
        <w:color w:val="000000"/>
      </w:rPr>
      <w:t>DRAFT</w:t>
    </w:r>
  </w:p>
  <w:p w:rsidR="00E10893" w:rsidRDefault="00E10893">
    <w:pPr>
      <w:pBdr>
        <w:top w:val="nil"/>
        <w:left w:val="nil"/>
        <w:bottom w:val="nil"/>
        <w:right w:val="nil"/>
        <w:between w:val="nil"/>
      </w:pBdr>
      <w:tabs>
        <w:tab w:val="center" w:pos="4819"/>
        <w:tab w:val="right" w:pos="9638"/>
      </w:tabs>
      <w:rPr>
        <w:color w:val="00000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967E57"/>
    <w:multiLevelType w:val="multilevel"/>
    <w:tmpl w:val="5AD87D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nsid w:val="0B085716"/>
    <w:multiLevelType w:val="multilevel"/>
    <w:tmpl w:val="578E33D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nsid w:val="18040204"/>
    <w:multiLevelType w:val="multilevel"/>
    <w:tmpl w:val="0872732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nsid w:val="18AC3DE1"/>
    <w:multiLevelType w:val="multilevel"/>
    <w:tmpl w:val="29D63BF2"/>
    <w:lvl w:ilvl="0">
      <w:start w:val="2"/>
      <w:numFmt w:val="bullet"/>
      <w:lvlText w:val="-"/>
      <w:lvlJc w:val="left"/>
      <w:pPr>
        <w:ind w:left="1440" w:hanging="360"/>
      </w:pPr>
      <w:rPr>
        <w:rFonts w:ascii="Times New Roman" w:eastAsia="Times New Roman" w:hAnsi="Times New Roman" w:cs="Times New Roman"/>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4">
    <w:nsid w:val="1C657D61"/>
    <w:multiLevelType w:val="multilevel"/>
    <w:tmpl w:val="6E60CA60"/>
    <w:lvl w:ilvl="0">
      <w:start w:val="2"/>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nsid w:val="23E40BF1"/>
    <w:multiLevelType w:val="multilevel"/>
    <w:tmpl w:val="9968BEE4"/>
    <w:lvl w:ilvl="0">
      <w:start w:val="2"/>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nsid w:val="262D51B3"/>
    <w:multiLevelType w:val="multilevel"/>
    <w:tmpl w:val="FE66466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nsid w:val="347F241D"/>
    <w:multiLevelType w:val="multilevel"/>
    <w:tmpl w:val="25327B5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nsid w:val="43AE2C0F"/>
    <w:multiLevelType w:val="multilevel"/>
    <w:tmpl w:val="F8509E4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nsid w:val="5420251A"/>
    <w:multiLevelType w:val="multilevel"/>
    <w:tmpl w:val="29482DBA"/>
    <w:lvl w:ilvl="0">
      <w:start w:val="1"/>
      <w:numFmt w:val="decimal"/>
      <w:pStyle w:val="Sraassuenkleliais"/>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0">
    <w:nsid w:val="5C8A66FE"/>
    <w:multiLevelType w:val="multilevel"/>
    <w:tmpl w:val="C70CA77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nsid w:val="62AB1137"/>
    <w:multiLevelType w:val="multilevel"/>
    <w:tmpl w:val="617AF83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nsid w:val="65302C71"/>
    <w:multiLevelType w:val="multilevel"/>
    <w:tmpl w:val="4072AFDE"/>
    <w:lvl w:ilvl="0">
      <w:start w:val="2"/>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3">
    <w:nsid w:val="6B7D71A8"/>
    <w:multiLevelType w:val="multilevel"/>
    <w:tmpl w:val="038C65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0"/>
  </w:num>
  <w:num w:numId="2">
    <w:abstractNumId w:val="1"/>
  </w:num>
  <w:num w:numId="3">
    <w:abstractNumId w:val="4"/>
  </w:num>
  <w:num w:numId="4">
    <w:abstractNumId w:val="5"/>
  </w:num>
  <w:num w:numId="5">
    <w:abstractNumId w:val="12"/>
  </w:num>
  <w:num w:numId="6">
    <w:abstractNumId w:val="7"/>
  </w:num>
  <w:num w:numId="7">
    <w:abstractNumId w:val="6"/>
  </w:num>
  <w:num w:numId="8">
    <w:abstractNumId w:val="3"/>
  </w:num>
  <w:num w:numId="9">
    <w:abstractNumId w:val="0"/>
  </w:num>
  <w:num w:numId="10">
    <w:abstractNumId w:val="2"/>
  </w:num>
  <w:num w:numId="11">
    <w:abstractNumId w:val="13"/>
  </w:num>
  <w:num w:numId="12">
    <w:abstractNumId w:val="11"/>
  </w:num>
  <w:num w:numId="13">
    <w:abstractNumId w:val="8"/>
  </w:num>
  <w:num w:numId="1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4"/>
  </w:compat>
  <w:rsids>
    <w:rsidRoot w:val="00E10893"/>
    <w:rsid w:val="007471D4"/>
    <w:rsid w:val="00E1089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4"/>
        <w:szCs w:val="24"/>
        <w:lang w:val="en-GB" w:eastAsia="lt-L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3517F0"/>
    <w:rPr>
      <w:lang w:eastAsia="en-US"/>
    </w:rPr>
  </w:style>
  <w:style w:type="paragraph" w:styleId="Antrat1">
    <w:name w:val="heading 1"/>
    <w:basedOn w:val="prastasis"/>
    <w:next w:val="prastasis"/>
    <w:pPr>
      <w:keepNext/>
      <w:keepLines/>
      <w:spacing w:before="480" w:after="120"/>
      <w:outlineLvl w:val="0"/>
    </w:pPr>
    <w:rPr>
      <w:b/>
      <w:sz w:val="48"/>
      <w:szCs w:val="48"/>
    </w:rPr>
  </w:style>
  <w:style w:type="paragraph" w:styleId="Antrat2">
    <w:name w:val="heading 2"/>
    <w:basedOn w:val="prastasis"/>
    <w:next w:val="prastasis"/>
    <w:pPr>
      <w:keepNext/>
      <w:keepLines/>
      <w:spacing w:before="360" w:after="80"/>
      <w:outlineLvl w:val="1"/>
    </w:pPr>
    <w:rPr>
      <w:b/>
      <w:sz w:val="36"/>
      <w:szCs w:val="36"/>
    </w:rPr>
  </w:style>
  <w:style w:type="paragraph" w:styleId="Antrat3">
    <w:name w:val="heading 3"/>
    <w:basedOn w:val="prastasis"/>
    <w:next w:val="prastasis"/>
    <w:pPr>
      <w:keepNext/>
      <w:keepLines/>
      <w:spacing w:before="280" w:after="80"/>
      <w:outlineLvl w:val="2"/>
    </w:pPr>
    <w:rPr>
      <w:b/>
      <w:sz w:val="28"/>
      <w:szCs w:val="28"/>
    </w:rPr>
  </w:style>
  <w:style w:type="paragraph" w:styleId="Antrat4">
    <w:name w:val="heading 4"/>
    <w:basedOn w:val="prastasis"/>
    <w:next w:val="prastasis"/>
    <w:pPr>
      <w:keepNext/>
      <w:keepLines/>
      <w:spacing w:before="240" w:after="40"/>
      <w:outlineLvl w:val="3"/>
    </w:pPr>
    <w:rPr>
      <w:b/>
    </w:rPr>
  </w:style>
  <w:style w:type="paragraph" w:styleId="Antrat5">
    <w:name w:val="heading 5"/>
    <w:basedOn w:val="prastasis"/>
    <w:next w:val="prastasis"/>
    <w:pPr>
      <w:keepNext/>
      <w:keepLines/>
      <w:spacing w:before="220" w:after="40"/>
      <w:outlineLvl w:val="4"/>
    </w:pPr>
    <w:rPr>
      <w:b/>
      <w:sz w:val="22"/>
      <w:szCs w:val="22"/>
    </w:rPr>
  </w:style>
  <w:style w:type="paragraph" w:styleId="Antrat6">
    <w:name w:val="heading 6"/>
    <w:basedOn w:val="prastasis"/>
    <w:next w:val="prastasis"/>
    <w:pPr>
      <w:keepNext/>
      <w:keepLines/>
      <w:spacing w:before="200" w:after="40"/>
      <w:outlineLvl w:val="5"/>
    </w:pPr>
    <w:rPr>
      <w:b/>
      <w:sz w:val="2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avadinimas">
    <w:name w:val="Title"/>
    <w:basedOn w:val="prastasis"/>
    <w:next w:val="prastasis"/>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paragraph" w:customStyle="1" w:styleId="ISTATYMAS">
    <w:name w:val="ISTATYMAS"/>
    <w:basedOn w:val="prastasis"/>
    <w:rsid w:val="003517F0"/>
    <w:pPr>
      <w:keepLines/>
      <w:suppressAutoHyphens/>
      <w:autoSpaceDE w:val="0"/>
      <w:autoSpaceDN w:val="0"/>
      <w:adjustRightInd w:val="0"/>
      <w:spacing w:line="288" w:lineRule="auto"/>
      <w:jc w:val="center"/>
      <w:textAlignment w:val="center"/>
    </w:pPr>
    <w:rPr>
      <w:color w:val="000000"/>
      <w:sz w:val="20"/>
      <w:szCs w:val="20"/>
    </w:rPr>
  </w:style>
  <w:style w:type="paragraph" w:customStyle="1" w:styleId="Hyperlink1">
    <w:name w:val="Hyperlink1"/>
    <w:basedOn w:val="prastasis"/>
    <w:rsid w:val="003517F0"/>
    <w:pPr>
      <w:suppressAutoHyphens/>
      <w:autoSpaceDE w:val="0"/>
      <w:autoSpaceDN w:val="0"/>
      <w:adjustRightInd w:val="0"/>
      <w:spacing w:line="298" w:lineRule="auto"/>
      <w:ind w:firstLine="312"/>
      <w:jc w:val="both"/>
      <w:textAlignment w:val="center"/>
    </w:pPr>
    <w:rPr>
      <w:color w:val="000000"/>
      <w:sz w:val="20"/>
      <w:szCs w:val="20"/>
    </w:rPr>
  </w:style>
  <w:style w:type="paragraph" w:customStyle="1" w:styleId="Prezidentas">
    <w:name w:val="Prezidentas"/>
    <w:basedOn w:val="prastasis"/>
    <w:rsid w:val="003517F0"/>
    <w:pPr>
      <w:tabs>
        <w:tab w:val="right" w:pos="9780"/>
      </w:tabs>
      <w:suppressAutoHyphens/>
      <w:autoSpaceDE w:val="0"/>
      <w:autoSpaceDN w:val="0"/>
      <w:adjustRightInd w:val="0"/>
      <w:spacing w:line="288" w:lineRule="auto"/>
      <w:textAlignment w:val="center"/>
    </w:pPr>
    <w:rPr>
      <w:caps/>
      <w:color w:val="000000"/>
      <w:sz w:val="20"/>
      <w:szCs w:val="20"/>
    </w:rPr>
  </w:style>
  <w:style w:type="paragraph" w:customStyle="1" w:styleId="Linija">
    <w:name w:val="Linija"/>
    <w:basedOn w:val="prastasis"/>
    <w:rsid w:val="003517F0"/>
    <w:pPr>
      <w:suppressAutoHyphens/>
      <w:autoSpaceDE w:val="0"/>
      <w:autoSpaceDN w:val="0"/>
      <w:adjustRightInd w:val="0"/>
      <w:spacing w:line="298" w:lineRule="auto"/>
      <w:jc w:val="center"/>
      <w:textAlignment w:val="center"/>
    </w:pPr>
    <w:rPr>
      <w:color w:val="000000"/>
      <w:sz w:val="12"/>
      <w:szCs w:val="12"/>
    </w:rPr>
  </w:style>
  <w:style w:type="paragraph" w:customStyle="1" w:styleId="Pavadinimas1">
    <w:name w:val="Pavadinimas1"/>
    <w:basedOn w:val="prastasis"/>
    <w:rsid w:val="003517F0"/>
    <w:pPr>
      <w:keepLines/>
      <w:suppressAutoHyphens/>
      <w:autoSpaceDE w:val="0"/>
      <w:autoSpaceDN w:val="0"/>
      <w:adjustRightInd w:val="0"/>
      <w:spacing w:line="288" w:lineRule="auto"/>
      <w:ind w:left="850"/>
      <w:textAlignment w:val="center"/>
    </w:pPr>
    <w:rPr>
      <w:b/>
      <w:bCs/>
      <w:caps/>
      <w:color w:val="000000"/>
      <w:sz w:val="22"/>
      <w:szCs w:val="22"/>
    </w:rPr>
  </w:style>
  <w:style w:type="paragraph" w:customStyle="1" w:styleId="Patvirtinta">
    <w:name w:val="Patvirtinta"/>
    <w:basedOn w:val="prastasis"/>
    <w:rsid w:val="003517F0"/>
    <w:pPr>
      <w:keepLines/>
      <w:tabs>
        <w:tab w:val="left" w:pos="1304"/>
        <w:tab w:val="left" w:pos="1457"/>
        <w:tab w:val="left" w:pos="1604"/>
        <w:tab w:val="left" w:pos="1757"/>
      </w:tabs>
      <w:suppressAutoHyphens/>
      <w:autoSpaceDE w:val="0"/>
      <w:autoSpaceDN w:val="0"/>
      <w:adjustRightInd w:val="0"/>
      <w:spacing w:line="288" w:lineRule="auto"/>
      <w:ind w:left="5953"/>
      <w:textAlignment w:val="center"/>
    </w:pPr>
    <w:rPr>
      <w:color w:val="000000"/>
      <w:sz w:val="20"/>
      <w:szCs w:val="20"/>
    </w:rPr>
  </w:style>
  <w:style w:type="paragraph" w:customStyle="1" w:styleId="CentrBold">
    <w:name w:val="CentrBold"/>
    <w:basedOn w:val="prastasis"/>
    <w:rsid w:val="003517F0"/>
    <w:pPr>
      <w:keepLines/>
      <w:suppressAutoHyphens/>
      <w:autoSpaceDE w:val="0"/>
      <w:autoSpaceDN w:val="0"/>
      <w:adjustRightInd w:val="0"/>
      <w:spacing w:line="288" w:lineRule="auto"/>
      <w:jc w:val="center"/>
      <w:textAlignment w:val="center"/>
    </w:pPr>
    <w:rPr>
      <w:b/>
      <w:bCs/>
      <w:caps/>
      <w:color w:val="000000"/>
      <w:sz w:val="20"/>
      <w:szCs w:val="20"/>
    </w:rPr>
  </w:style>
  <w:style w:type="paragraph" w:customStyle="1" w:styleId="BasicParagraph">
    <w:name w:val="[Basic Paragraph]"/>
    <w:basedOn w:val="prastasis"/>
    <w:rsid w:val="003517F0"/>
    <w:pPr>
      <w:suppressAutoHyphens/>
      <w:autoSpaceDE w:val="0"/>
      <w:autoSpaceDN w:val="0"/>
      <w:adjustRightInd w:val="0"/>
      <w:spacing w:line="288" w:lineRule="auto"/>
      <w:textAlignment w:val="center"/>
    </w:pPr>
    <w:rPr>
      <w:color w:val="000000"/>
    </w:rPr>
  </w:style>
  <w:style w:type="character" w:styleId="Hipersaitas">
    <w:name w:val="Hyperlink"/>
    <w:uiPriority w:val="99"/>
    <w:rsid w:val="00AD37E5"/>
    <w:rPr>
      <w:color w:val="0000FF"/>
      <w:u w:val="single"/>
    </w:rPr>
  </w:style>
  <w:style w:type="paragraph" w:customStyle="1" w:styleId="bodytext">
    <w:name w:val="bodytext"/>
    <w:basedOn w:val="prastasis"/>
    <w:rsid w:val="007454E2"/>
    <w:pPr>
      <w:spacing w:before="100" w:beforeAutospacing="1" w:after="100" w:afterAutospacing="1"/>
    </w:pPr>
    <w:rPr>
      <w:lang w:eastAsia="lt-LT"/>
    </w:rPr>
  </w:style>
  <w:style w:type="paragraph" w:customStyle="1" w:styleId="NormalParagraphStyle">
    <w:name w:val="NormalParagraphStyle"/>
    <w:basedOn w:val="prastasis"/>
    <w:rsid w:val="007454E2"/>
    <w:pPr>
      <w:autoSpaceDE w:val="0"/>
      <w:autoSpaceDN w:val="0"/>
      <w:adjustRightInd w:val="0"/>
      <w:spacing w:line="288" w:lineRule="auto"/>
      <w:textAlignment w:val="center"/>
    </w:pPr>
    <w:rPr>
      <w:color w:val="000000"/>
      <w:lang w:eastAsia="lt-LT"/>
    </w:rPr>
  </w:style>
  <w:style w:type="paragraph" w:styleId="Debesliotekstas">
    <w:name w:val="Balloon Text"/>
    <w:basedOn w:val="prastasis"/>
    <w:link w:val="DebesliotekstasDiagrama"/>
    <w:rsid w:val="002231D0"/>
    <w:rPr>
      <w:rFonts w:ascii="Tahoma" w:hAnsi="Tahoma"/>
      <w:noProof/>
      <w:sz w:val="16"/>
      <w:szCs w:val="16"/>
    </w:rPr>
  </w:style>
  <w:style w:type="character" w:customStyle="1" w:styleId="DebesliotekstasDiagrama">
    <w:name w:val="Debesėlio tekstas Diagrama"/>
    <w:link w:val="Debesliotekstas"/>
    <w:rsid w:val="002231D0"/>
    <w:rPr>
      <w:rFonts w:ascii="Tahoma" w:hAnsi="Tahoma" w:cs="Tahoma"/>
      <w:noProof/>
      <w:sz w:val="16"/>
      <w:szCs w:val="16"/>
      <w:lang w:eastAsia="en-US"/>
    </w:rPr>
  </w:style>
  <w:style w:type="character" w:styleId="Komentaronuoroda">
    <w:name w:val="annotation reference"/>
    <w:uiPriority w:val="99"/>
    <w:rsid w:val="00490352"/>
    <w:rPr>
      <w:sz w:val="16"/>
      <w:szCs w:val="16"/>
    </w:rPr>
  </w:style>
  <w:style w:type="paragraph" w:styleId="Komentarotekstas">
    <w:name w:val="annotation text"/>
    <w:basedOn w:val="prastasis"/>
    <w:link w:val="KomentarotekstasDiagrama"/>
    <w:uiPriority w:val="99"/>
    <w:rsid w:val="00490352"/>
    <w:rPr>
      <w:noProof/>
      <w:sz w:val="20"/>
      <w:szCs w:val="20"/>
    </w:rPr>
  </w:style>
  <w:style w:type="character" w:customStyle="1" w:styleId="KomentarotekstasDiagrama">
    <w:name w:val="Komentaro tekstas Diagrama"/>
    <w:link w:val="Komentarotekstas"/>
    <w:uiPriority w:val="99"/>
    <w:rsid w:val="00490352"/>
    <w:rPr>
      <w:noProof/>
      <w:lang w:eastAsia="en-US"/>
    </w:rPr>
  </w:style>
  <w:style w:type="paragraph" w:styleId="Komentarotema">
    <w:name w:val="annotation subject"/>
    <w:basedOn w:val="Komentarotekstas"/>
    <w:next w:val="Komentarotekstas"/>
    <w:link w:val="KomentarotemaDiagrama"/>
    <w:uiPriority w:val="99"/>
    <w:rsid w:val="00490352"/>
    <w:rPr>
      <w:b/>
      <w:bCs/>
    </w:rPr>
  </w:style>
  <w:style w:type="character" w:customStyle="1" w:styleId="KomentarotemaDiagrama">
    <w:name w:val="Komentaro tema Diagrama"/>
    <w:link w:val="Komentarotema"/>
    <w:uiPriority w:val="99"/>
    <w:rsid w:val="00490352"/>
    <w:rPr>
      <w:b/>
      <w:bCs/>
      <w:noProof/>
      <w:lang w:eastAsia="en-US"/>
    </w:rPr>
  </w:style>
  <w:style w:type="paragraph" w:styleId="Pagrindinistekstas">
    <w:name w:val="Body Text"/>
    <w:basedOn w:val="prastasis"/>
    <w:link w:val="PagrindinistekstasDiagrama"/>
    <w:unhideWhenUsed/>
    <w:rsid w:val="002528BD"/>
    <w:pPr>
      <w:spacing w:after="120" w:line="276" w:lineRule="auto"/>
    </w:pPr>
    <w:rPr>
      <w:rFonts w:ascii="Calibri" w:eastAsia="Calibri" w:hAnsi="Calibri"/>
      <w:sz w:val="20"/>
      <w:szCs w:val="20"/>
    </w:rPr>
  </w:style>
  <w:style w:type="character" w:customStyle="1" w:styleId="PagrindinistekstasDiagrama">
    <w:name w:val="Pagrindinis tekstas Diagrama"/>
    <w:link w:val="Pagrindinistekstas"/>
    <w:rsid w:val="002528BD"/>
    <w:rPr>
      <w:rFonts w:ascii="Calibri" w:eastAsia="Calibri" w:hAnsi="Calibri"/>
    </w:rPr>
  </w:style>
  <w:style w:type="paragraph" w:styleId="Antrats">
    <w:name w:val="header"/>
    <w:basedOn w:val="prastasis"/>
    <w:link w:val="AntratsDiagrama"/>
    <w:rsid w:val="00740EA1"/>
    <w:pPr>
      <w:tabs>
        <w:tab w:val="center" w:pos="4819"/>
        <w:tab w:val="right" w:pos="9638"/>
      </w:tabs>
    </w:pPr>
    <w:rPr>
      <w:noProof/>
    </w:rPr>
  </w:style>
  <w:style w:type="character" w:customStyle="1" w:styleId="AntratsDiagrama">
    <w:name w:val="Antraštės Diagrama"/>
    <w:link w:val="Antrats"/>
    <w:rsid w:val="00740EA1"/>
    <w:rPr>
      <w:noProof/>
      <w:sz w:val="24"/>
      <w:szCs w:val="24"/>
      <w:lang w:eastAsia="en-US"/>
    </w:rPr>
  </w:style>
  <w:style w:type="paragraph" w:styleId="Porat">
    <w:name w:val="footer"/>
    <w:basedOn w:val="prastasis"/>
    <w:link w:val="PoratDiagrama"/>
    <w:uiPriority w:val="99"/>
    <w:rsid w:val="00740EA1"/>
    <w:pPr>
      <w:tabs>
        <w:tab w:val="center" w:pos="4819"/>
        <w:tab w:val="right" w:pos="9638"/>
      </w:tabs>
    </w:pPr>
    <w:rPr>
      <w:noProof/>
    </w:rPr>
  </w:style>
  <w:style w:type="character" w:customStyle="1" w:styleId="PoratDiagrama">
    <w:name w:val="Poraštė Diagrama"/>
    <w:link w:val="Porat"/>
    <w:uiPriority w:val="99"/>
    <w:rsid w:val="00740EA1"/>
    <w:rPr>
      <w:noProof/>
      <w:sz w:val="24"/>
      <w:szCs w:val="24"/>
      <w:lang w:eastAsia="en-US"/>
    </w:rPr>
  </w:style>
  <w:style w:type="character" w:styleId="Vietosrezervavimoenklotekstas">
    <w:name w:val="Placeholder Text"/>
    <w:basedOn w:val="Numatytasispastraiposriftas"/>
    <w:uiPriority w:val="99"/>
    <w:semiHidden/>
    <w:rsid w:val="004E2EE9"/>
    <w:rPr>
      <w:color w:val="808080"/>
    </w:rPr>
  </w:style>
  <w:style w:type="table" w:styleId="Lentelstinklelis">
    <w:name w:val="Table Grid"/>
    <w:basedOn w:val="prastojilentel"/>
    <w:uiPriority w:val="59"/>
    <w:rsid w:val="00060FC8"/>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raopastraipa">
    <w:name w:val="List Paragraph"/>
    <w:basedOn w:val="prastasis"/>
    <w:link w:val="SraopastraipaDiagrama"/>
    <w:uiPriority w:val="34"/>
    <w:qFormat/>
    <w:rsid w:val="00525EDD"/>
    <w:pPr>
      <w:spacing w:after="200" w:line="276" w:lineRule="auto"/>
      <w:ind w:left="720"/>
      <w:contextualSpacing/>
    </w:pPr>
    <w:rPr>
      <w:rFonts w:ascii="Calibri" w:eastAsia="Calibri" w:hAnsi="Calibri"/>
      <w:sz w:val="22"/>
      <w:szCs w:val="22"/>
    </w:rPr>
  </w:style>
  <w:style w:type="paragraph" w:styleId="Puslapioinaostekstas">
    <w:name w:val="footnote text"/>
    <w:basedOn w:val="prastasis"/>
    <w:link w:val="PuslapioinaostekstasDiagrama"/>
    <w:uiPriority w:val="99"/>
    <w:semiHidden/>
    <w:unhideWhenUsed/>
    <w:rsid w:val="00D133B3"/>
    <w:rPr>
      <w:rFonts w:ascii="Calibri" w:eastAsia="Calibri" w:hAnsi="Calibri"/>
      <w:sz w:val="20"/>
      <w:szCs w:val="20"/>
    </w:rPr>
  </w:style>
  <w:style w:type="character" w:customStyle="1" w:styleId="PuslapioinaostekstasDiagrama">
    <w:name w:val="Puslapio išnašos tekstas Diagrama"/>
    <w:basedOn w:val="Numatytasispastraiposriftas"/>
    <w:link w:val="Puslapioinaostekstas"/>
    <w:uiPriority w:val="99"/>
    <w:semiHidden/>
    <w:rsid w:val="00D133B3"/>
    <w:rPr>
      <w:rFonts w:ascii="Calibri" w:eastAsia="Calibri" w:hAnsi="Calibri"/>
      <w:lang w:eastAsia="en-US"/>
    </w:rPr>
  </w:style>
  <w:style w:type="character" w:styleId="Puslapioinaosnuoroda">
    <w:name w:val="footnote reference"/>
    <w:basedOn w:val="Numatytasispastraiposriftas"/>
    <w:uiPriority w:val="99"/>
    <w:semiHidden/>
    <w:unhideWhenUsed/>
    <w:rsid w:val="00D133B3"/>
    <w:rPr>
      <w:vertAlign w:val="superscript"/>
    </w:rPr>
  </w:style>
  <w:style w:type="paragraph" w:customStyle="1" w:styleId="Default">
    <w:name w:val="Default"/>
    <w:rsid w:val="0076300D"/>
    <w:pPr>
      <w:autoSpaceDE w:val="0"/>
      <w:autoSpaceDN w:val="0"/>
      <w:adjustRightInd w:val="0"/>
    </w:pPr>
    <w:rPr>
      <w:color w:val="000000"/>
    </w:rPr>
  </w:style>
  <w:style w:type="paragraph" w:styleId="Sraassuenkleliais">
    <w:name w:val="List Bullet"/>
    <w:basedOn w:val="prastasis"/>
    <w:unhideWhenUsed/>
    <w:rsid w:val="00317741"/>
    <w:pPr>
      <w:numPr>
        <w:numId w:val="14"/>
      </w:numPr>
      <w:contextualSpacing/>
    </w:pPr>
  </w:style>
  <w:style w:type="character" w:customStyle="1" w:styleId="SraopastraipaDiagrama">
    <w:name w:val="Sąrašo pastraipa Diagrama"/>
    <w:link w:val="Sraopastraipa"/>
    <w:locked/>
    <w:rsid w:val="00E0166A"/>
    <w:rPr>
      <w:rFonts w:ascii="Calibri" w:eastAsia="Calibri" w:hAnsi="Calibri"/>
      <w:sz w:val="22"/>
      <w:szCs w:val="22"/>
      <w:lang w:eastAsia="en-US"/>
    </w:rPr>
  </w:style>
  <w:style w:type="character" w:styleId="Perirtashipersaitas">
    <w:name w:val="FollowedHyperlink"/>
    <w:basedOn w:val="Numatytasispastraiposriftas"/>
    <w:semiHidden/>
    <w:unhideWhenUsed/>
    <w:rsid w:val="000E4DF6"/>
    <w:rPr>
      <w:color w:val="800080" w:themeColor="followedHyperlink"/>
      <w:u w:val="single"/>
    </w:rPr>
  </w:style>
  <w:style w:type="character" w:styleId="Emfaz">
    <w:name w:val="Emphasis"/>
    <w:basedOn w:val="Numatytasispastraiposriftas"/>
    <w:uiPriority w:val="20"/>
    <w:qFormat/>
    <w:rsid w:val="002E432B"/>
    <w:rPr>
      <w:i/>
      <w:iCs/>
    </w:rPr>
  </w:style>
  <w:style w:type="paragraph" w:styleId="prastasistinklapis">
    <w:name w:val="Normal (Web)"/>
    <w:basedOn w:val="prastasis"/>
    <w:uiPriority w:val="99"/>
    <w:unhideWhenUsed/>
    <w:rsid w:val="00574232"/>
    <w:pPr>
      <w:spacing w:before="100" w:beforeAutospacing="1" w:after="100" w:afterAutospacing="1"/>
    </w:pPr>
  </w:style>
  <w:style w:type="paragraph" w:styleId="Pataisymai">
    <w:name w:val="Revision"/>
    <w:hidden/>
    <w:uiPriority w:val="99"/>
    <w:semiHidden/>
    <w:rsid w:val="00E1579C"/>
    <w:rPr>
      <w:lang w:eastAsia="en-US"/>
    </w:rPr>
  </w:style>
  <w:style w:type="paragraph" w:styleId="Antrinispavadinimas">
    <w:name w:val="Subtitle"/>
    <w:basedOn w:val="prastasis"/>
    <w:next w:val="prastasis"/>
    <w:pPr>
      <w:keepNext/>
      <w:keepLines/>
      <w:spacing w:before="360" w:after="80"/>
    </w:pPr>
    <w:rPr>
      <w:rFonts w:ascii="Georgia" w:eastAsia="Georgia" w:hAnsi="Georgia" w:cs="Georgia"/>
      <w:i/>
      <w:color w:val="666666"/>
      <w:sz w:val="48"/>
      <w:szCs w:val="48"/>
    </w:rPr>
  </w:style>
  <w:style w:type="table" w:customStyle="1" w:styleId="a">
    <w:basedOn w:val="prastojilentel"/>
    <w:rPr>
      <w:rFonts w:ascii="Calibri" w:eastAsia="Calibri" w:hAnsi="Calibri" w:cs="Calibri"/>
      <w:sz w:val="22"/>
      <w:szCs w:val="22"/>
    </w:rPr>
    <w:tblPr>
      <w:tblStyleRowBandSize w:val="1"/>
      <w:tblStyleColBandSize w:val="1"/>
      <w:tblInd w:w="0" w:type="dxa"/>
      <w:tblCellMar>
        <w:top w:w="0" w:type="dxa"/>
        <w:left w:w="108" w:type="dxa"/>
        <w:bottom w:w="0" w:type="dxa"/>
        <w:right w:w="108" w:type="dxa"/>
      </w:tblCellMar>
    </w:tblPr>
  </w:style>
  <w:style w:type="table" w:customStyle="1" w:styleId="a0">
    <w:basedOn w:val="prastojilentel"/>
    <w:tblPr>
      <w:tblStyleRowBandSize w:val="1"/>
      <w:tblStyleColBandSize w:val="1"/>
      <w:tblInd w:w="0" w:type="dxa"/>
      <w:tblCellMar>
        <w:top w:w="0" w:type="dxa"/>
        <w:left w:w="0" w:type="dxa"/>
        <w:bottom w:w="0" w:type="dxa"/>
        <w:right w:w="0" w:type="dxa"/>
      </w:tblCellMar>
    </w:tblPr>
  </w:style>
  <w:style w:type="table" w:customStyle="1" w:styleId="a1">
    <w:basedOn w:val="prastojilentel"/>
    <w:rPr>
      <w:rFonts w:ascii="Calibri" w:eastAsia="Calibri" w:hAnsi="Calibri" w:cs="Calibri"/>
      <w:sz w:val="22"/>
      <w:szCs w:val="22"/>
    </w:rPr>
    <w:tblPr>
      <w:tblStyleRowBandSize w:val="1"/>
      <w:tblStyleColBandSize w:val="1"/>
      <w:tblInd w:w="0" w:type="dxa"/>
      <w:tblCellMar>
        <w:top w:w="0" w:type="dxa"/>
        <w:left w:w="0" w:type="dxa"/>
        <w:bottom w:w="0" w:type="dxa"/>
        <w:right w:w="0" w:type="dxa"/>
      </w:tblCellMar>
    </w:tblPr>
  </w:style>
  <w:style w:type="table" w:customStyle="1" w:styleId="a2">
    <w:basedOn w:val="prastojilentel"/>
    <w:rPr>
      <w:rFonts w:ascii="Calibri" w:eastAsia="Calibri" w:hAnsi="Calibri" w:cs="Calibri"/>
      <w:sz w:val="22"/>
      <w:szCs w:val="22"/>
    </w:rPr>
    <w:tblPr>
      <w:tblStyleRowBandSize w:val="1"/>
      <w:tblStyleColBandSize w:val="1"/>
      <w:tblInd w:w="0" w:type="dxa"/>
      <w:tblCellMar>
        <w:top w:w="0" w:type="dxa"/>
        <w:left w:w="0" w:type="dxa"/>
        <w:bottom w:w="0" w:type="dxa"/>
        <w:right w:w="0" w:type="dxa"/>
      </w:tblCellMar>
    </w:tblPr>
  </w:style>
  <w:style w:type="table" w:customStyle="1" w:styleId="a3">
    <w:basedOn w:val="prastojilentel"/>
    <w:rPr>
      <w:rFonts w:ascii="Calibri" w:eastAsia="Calibri" w:hAnsi="Calibri" w:cs="Calibri"/>
      <w:sz w:val="22"/>
      <w:szCs w:val="22"/>
    </w:rPr>
    <w:tblPr>
      <w:tblStyleRowBandSize w:val="1"/>
      <w:tblStyleColBandSize w:val="1"/>
      <w:tblInd w:w="0" w:type="dxa"/>
      <w:tblCellMar>
        <w:top w:w="0" w:type="dxa"/>
        <w:left w:w="0" w:type="dxa"/>
        <w:bottom w:w="0" w:type="dxa"/>
        <w:right w:w="0"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4"/>
        <w:szCs w:val="24"/>
        <w:lang w:val="en-GB" w:eastAsia="lt-L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3517F0"/>
    <w:rPr>
      <w:lang w:eastAsia="en-US"/>
    </w:rPr>
  </w:style>
  <w:style w:type="paragraph" w:styleId="Antrat1">
    <w:name w:val="heading 1"/>
    <w:basedOn w:val="prastasis"/>
    <w:next w:val="prastasis"/>
    <w:pPr>
      <w:keepNext/>
      <w:keepLines/>
      <w:spacing w:before="480" w:after="120"/>
      <w:outlineLvl w:val="0"/>
    </w:pPr>
    <w:rPr>
      <w:b/>
      <w:sz w:val="48"/>
      <w:szCs w:val="48"/>
    </w:rPr>
  </w:style>
  <w:style w:type="paragraph" w:styleId="Antrat2">
    <w:name w:val="heading 2"/>
    <w:basedOn w:val="prastasis"/>
    <w:next w:val="prastasis"/>
    <w:pPr>
      <w:keepNext/>
      <w:keepLines/>
      <w:spacing w:before="360" w:after="80"/>
      <w:outlineLvl w:val="1"/>
    </w:pPr>
    <w:rPr>
      <w:b/>
      <w:sz w:val="36"/>
      <w:szCs w:val="36"/>
    </w:rPr>
  </w:style>
  <w:style w:type="paragraph" w:styleId="Antrat3">
    <w:name w:val="heading 3"/>
    <w:basedOn w:val="prastasis"/>
    <w:next w:val="prastasis"/>
    <w:pPr>
      <w:keepNext/>
      <w:keepLines/>
      <w:spacing w:before="280" w:after="80"/>
      <w:outlineLvl w:val="2"/>
    </w:pPr>
    <w:rPr>
      <w:b/>
      <w:sz w:val="28"/>
      <w:szCs w:val="28"/>
    </w:rPr>
  </w:style>
  <w:style w:type="paragraph" w:styleId="Antrat4">
    <w:name w:val="heading 4"/>
    <w:basedOn w:val="prastasis"/>
    <w:next w:val="prastasis"/>
    <w:pPr>
      <w:keepNext/>
      <w:keepLines/>
      <w:spacing w:before="240" w:after="40"/>
      <w:outlineLvl w:val="3"/>
    </w:pPr>
    <w:rPr>
      <w:b/>
    </w:rPr>
  </w:style>
  <w:style w:type="paragraph" w:styleId="Antrat5">
    <w:name w:val="heading 5"/>
    <w:basedOn w:val="prastasis"/>
    <w:next w:val="prastasis"/>
    <w:pPr>
      <w:keepNext/>
      <w:keepLines/>
      <w:spacing w:before="220" w:after="40"/>
      <w:outlineLvl w:val="4"/>
    </w:pPr>
    <w:rPr>
      <w:b/>
      <w:sz w:val="22"/>
      <w:szCs w:val="22"/>
    </w:rPr>
  </w:style>
  <w:style w:type="paragraph" w:styleId="Antrat6">
    <w:name w:val="heading 6"/>
    <w:basedOn w:val="prastasis"/>
    <w:next w:val="prastasis"/>
    <w:pPr>
      <w:keepNext/>
      <w:keepLines/>
      <w:spacing w:before="200" w:after="40"/>
      <w:outlineLvl w:val="5"/>
    </w:pPr>
    <w:rPr>
      <w:b/>
      <w:sz w:val="2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avadinimas">
    <w:name w:val="Title"/>
    <w:basedOn w:val="prastasis"/>
    <w:next w:val="prastasis"/>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paragraph" w:customStyle="1" w:styleId="ISTATYMAS">
    <w:name w:val="ISTATYMAS"/>
    <w:basedOn w:val="prastasis"/>
    <w:rsid w:val="003517F0"/>
    <w:pPr>
      <w:keepLines/>
      <w:suppressAutoHyphens/>
      <w:autoSpaceDE w:val="0"/>
      <w:autoSpaceDN w:val="0"/>
      <w:adjustRightInd w:val="0"/>
      <w:spacing w:line="288" w:lineRule="auto"/>
      <w:jc w:val="center"/>
      <w:textAlignment w:val="center"/>
    </w:pPr>
    <w:rPr>
      <w:color w:val="000000"/>
      <w:sz w:val="20"/>
      <w:szCs w:val="20"/>
    </w:rPr>
  </w:style>
  <w:style w:type="paragraph" w:customStyle="1" w:styleId="Hyperlink1">
    <w:name w:val="Hyperlink1"/>
    <w:basedOn w:val="prastasis"/>
    <w:rsid w:val="003517F0"/>
    <w:pPr>
      <w:suppressAutoHyphens/>
      <w:autoSpaceDE w:val="0"/>
      <w:autoSpaceDN w:val="0"/>
      <w:adjustRightInd w:val="0"/>
      <w:spacing w:line="298" w:lineRule="auto"/>
      <w:ind w:firstLine="312"/>
      <w:jc w:val="both"/>
      <w:textAlignment w:val="center"/>
    </w:pPr>
    <w:rPr>
      <w:color w:val="000000"/>
      <w:sz w:val="20"/>
      <w:szCs w:val="20"/>
    </w:rPr>
  </w:style>
  <w:style w:type="paragraph" w:customStyle="1" w:styleId="Prezidentas">
    <w:name w:val="Prezidentas"/>
    <w:basedOn w:val="prastasis"/>
    <w:rsid w:val="003517F0"/>
    <w:pPr>
      <w:tabs>
        <w:tab w:val="right" w:pos="9780"/>
      </w:tabs>
      <w:suppressAutoHyphens/>
      <w:autoSpaceDE w:val="0"/>
      <w:autoSpaceDN w:val="0"/>
      <w:adjustRightInd w:val="0"/>
      <w:spacing w:line="288" w:lineRule="auto"/>
      <w:textAlignment w:val="center"/>
    </w:pPr>
    <w:rPr>
      <w:caps/>
      <w:color w:val="000000"/>
      <w:sz w:val="20"/>
      <w:szCs w:val="20"/>
    </w:rPr>
  </w:style>
  <w:style w:type="paragraph" w:customStyle="1" w:styleId="Linija">
    <w:name w:val="Linija"/>
    <w:basedOn w:val="prastasis"/>
    <w:rsid w:val="003517F0"/>
    <w:pPr>
      <w:suppressAutoHyphens/>
      <w:autoSpaceDE w:val="0"/>
      <w:autoSpaceDN w:val="0"/>
      <w:adjustRightInd w:val="0"/>
      <w:spacing w:line="298" w:lineRule="auto"/>
      <w:jc w:val="center"/>
      <w:textAlignment w:val="center"/>
    </w:pPr>
    <w:rPr>
      <w:color w:val="000000"/>
      <w:sz w:val="12"/>
      <w:szCs w:val="12"/>
    </w:rPr>
  </w:style>
  <w:style w:type="paragraph" w:customStyle="1" w:styleId="Pavadinimas1">
    <w:name w:val="Pavadinimas1"/>
    <w:basedOn w:val="prastasis"/>
    <w:rsid w:val="003517F0"/>
    <w:pPr>
      <w:keepLines/>
      <w:suppressAutoHyphens/>
      <w:autoSpaceDE w:val="0"/>
      <w:autoSpaceDN w:val="0"/>
      <w:adjustRightInd w:val="0"/>
      <w:spacing w:line="288" w:lineRule="auto"/>
      <w:ind w:left="850"/>
      <w:textAlignment w:val="center"/>
    </w:pPr>
    <w:rPr>
      <w:b/>
      <w:bCs/>
      <w:caps/>
      <w:color w:val="000000"/>
      <w:sz w:val="22"/>
      <w:szCs w:val="22"/>
    </w:rPr>
  </w:style>
  <w:style w:type="paragraph" w:customStyle="1" w:styleId="Patvirtinta">
    <w:name w:val="Patvirtinta"/>
    <w:basedOn w:val="prastasis"/>
    <w:rsid w:val="003517F0"/>
    <w:pPr>
      <w:keepLines/>
      <w:tabs>
        <w:tab w:val="left" w:pos="1304"/>
        <w:tab w:val="left" w:pos="1457"/>
        <w:tab w:val="left" w:pos="1604"/>
        <w:tab w:val="left" w:pos="1757"/>
      </w:tabs>
      <w:suppressAutoHyphens/>
      <w:autoSpaceDE w:val="0"/>
      <w:autoSpaceDN w:val="0"/>
      <w:adjustRightInd w:val="0"/>
      <w:spacing w:line="288" w:lineRule="auto"/>
      <w:ind w:left="5953"/>
      <w:textAlignment w:val="center"/>
    </w:pPr>
    <w:rPr>
      <w:color w:val="000000"/>
      <w:sz w:val="20"/>
      <w:szCs w:val="20"/>
    </w:rPr>
  </w:style>
  <w:style w:type="paragraph" w:customStyle="1" w:styleId="CentrBold">
    <w:name w:val="CentrBold"/>
    <w:basedOn w:val="prastasis"/>
    <w:rsid w:val="003517F0"/>
    <w:pPr>
      <w:keepLines/>
      <w:suppressAutoHyphens/>
      <w:autoSpaceDE w:val="0"/>
      <w:autoSpaceDN w:val="0"/>
      <w:adjustRightInd w:val="0"/>
      <w:spacing w:line="288" w:lineRule="auto"/>
      <w:jc w:val="center"/>
      <w:textAlignment w:val="center"/>
    </w:pPr>
    <w:rPr>
      <w:b/>
      <w:bCs/>
      <w:caps/>
      <w:color w:val="000000"/>
      <w:sz w:val="20"/>
      <w:szCs w:val="20"/>
    </w:rPr>
  </w:style>
  <w:style w:type="paragraph" w:customStyle="1" w:styleId="BasicParagraph">
    <w:name w:val="[Basic Paragraph]"/>
    <w:basedOn w:val="prastasis"/>
    <w:rsid w:val="003517F0"/>
    <w:pPr>
      <w:suppressAutoHyphens/>
      <w:autoSpaceDE w:val="0"/>
      <w:autoSpaceDN w:val="0"/>
      <w:adjustRightInd w:val="0"/>
      <w:spacing w:line="288" w:lineRule="auto"/>
      <w:textAlignment w:val="center"/>
    </w:pPr>
    <w:rPr>
      <w:color w:val="000000"/>
    </w:rPr>
  </w:style>
  <w:style w:type="character" w:styleId="Hipersaitas">
    <w:name w:val="Hyperlink"/>
    <w:uiPriority w:val="99"/>
    <w:rsid w:val="00AD37E5"/>
    <w:rPr>
      <w:color w:val="0000FF"/>
      <w:u w:val="single"/>
    </w:rPr>
  </w:style>
  <w:style w:type="paragraph" w:customStyle="1" w:styleId="bodytext">
    <w:name w:val="bodytext"/>
    <w:basedOn w:val="prastasis"/>
    <w:rsid w:val="007454E2"/>
    <w:pPr>
      <w:spacing w:before="100" w:beforeAutospacing="1" w:after="100" w:afterAutospacing="1"/>
    </w:pPr>
    <w:rPr>
      <w:lang w:eastAsia="lt-LT"/>
    </w:rPr>
  </w:style>
  <w:style w:type="paragraph" w:customStyle="1" w:styleId="NormalParagraphStyle">
    <w:name w:val="NormalParagraphStyle"/>
    <w:basedOn w:val="prastasis"/>
    <w:rsid w:val="007454E2"/>
    <w:pPr>
      <w:autoSpaceDE w:val="0"/>
      <w:autoSpaceDN w:val="0"/>
      <w:adjustRightInd w:val="0"/>
      <w:spacing w:line="288" w:lineRule="auto"/>
      <w:textAlignment w:val="center"/>
    </w:pPr>
    <w:rPr>
      <w:color w:val="000000"/>
      <w:lang w:eastAsia="lt-LT"/>
    </w:rPr>
  </w:style>
  <w:style w:type="paragraph" w:styleId="Debesliotekstas">
    <w:name w:val="Balloon Text"/>
    <w:basedOn w:val="prastasis"/>
    <w:link w:val="DebesliotekstasDiagrama"/>
    <w:rsid w:val="002231D0"/>
    <w:rPr>
      <w:rFonts w:ascii="Tahoma" w:hAnsi="Tahoma"/>
      <w:noProof/>
      <w:sz w:val="16"/>
      <w:szCs w:val="16"/>
    </w:rPr>
  </w:style>
  <w:style w:type="character" w:customStyle="1" w:styleId="DebesliotekstasDiagrama">
    <w:name w:val="Debesėlio tekstas Diagrama"/>
    <w:link w:val="Debesliotekstas"/>
    <w:rsid w:val="002231D0"/>
    <w:rPr>
      <w:rFonts w:ascii="Tahoma" w:hAnsi="Tahoma" w:cs="Tahoma"/>
      <w:noProof/>
      <w:sz w:val="16"/>
      <w:szCs w:val="16"/>
      <w:lang w:eastAsia="en-US"/>
    </w:rPr>
  </w:style>
  <w:style w:type="character" w:styleId="Komentaronuoroda">
    <w:name w:val="annotation reference"/>
    <w:uiPriority w:val="99"/>
    <w:rsid w:val="00490352"/>
    <w:rPr>
      <w:sz w:val="16"/>
      <w:szCs w:val="16"/>
    </w:rPr>
  </w:style>
  <w:style w:type="paragraph" w:styleId="Komentarotekstas">
    <w:name w:val="annotation text"/>
    <w:basedOn w:val="prastasis"/>
    <w:link w:val="KomentarotekstasDiagrama"/>
    <w:uiPriority w:val="99"/>
    <w:rsid w:val="00490352"/>
    <w:rPr>
      <w:noProof/>
      <w:sz w:val="20"/>
      <w:szCs w:val="20"/>
    </w:rPr>
  </w:style>
  <w:style w:type="character" w:customStyle="1" w:styleId="KomentarotekstasDiagrama">
    <w:name w:val="Komentaro tekstas Diagrama"/>
    <w:link w:val="Komentarotekstas"/>
    <w:uiPriority w:val="99"/>
    <w:rsid w:val="00490352"/>
    <w:rPr>
      <w:noProof/>
      <w:lang w:eastAsia="en-US"/>
    </w:rPr>
  </w:style>
  <w:style w:type="paragraph" w:styleId="Komentarotema">
    <w:name w:val="annotation subject"/>
    <w:basedOn w:val="Komentarotekstas"/>
    <w:next w:val="Komentarotekstas"/>
    <w:link w:val="KomentarotemaDiagrama"/>
    <w:uiPriority w:val="99"/>
    <w:rsid w:val="00490352"/>
    <w:rPr>
      <w:b/>
      <w:bCs/>
    </w:rPr>
  </w:style>
  <w:style w:type="character" w:customStyle="1" w:styleId="KomentarotemaDiagrama">
    <w:name w:val="Komentaro tema Diagrama"/>
    <w:link w:val="Komentarotema"/>
    <w:uiPriority w:val="99"/>
    <w:rsid w:val="00490352"/>
    <w:rPr>
      <w:b/>
      <w:bCs/>
      <w:noProof/>
      <w:lang w:eastAsia="en-US"/>
    </w:rPr>
  </w:style>
  <w:style w:type="paragraph" w:styleId="Pagrindinistekstas">
    <w:name w:val="Body Text"/>
    <w:basedOn w:val="prastasis"/>
    <w:link w:val="PagrindinistekstasDiagrama"/>
    <w:unhideWhenUsed/>
    <w:rsid w:val="002528BD"/>
    <w:pPr>
      <w:spacing w:after="120" w:line="276" w:lineRule="auto"/>
    </w:pPr>
    <w:rPr>
      <w:rFonts w:ascii="Calibri" w:eastAsia="Calibri" w:hAnsi="Calibri"/>
      <w:sz w:val="20"/>
      <w:szCs w:val="20"/>
    </w:rPr>
  </w:style>
  <w:style w:type="character" w:customStyle="1" w:styleId="PagrindinistekstasDiagrama">
    <w:name w:val="Pagrindinis tekstas Diagrama"/>
    <w:link w:val="Pagrindinistekstas"/>
    <w:rsid w:val="002528BD"/>
    <w:rPr>
      <w:rFonts w:ascii="Calibri" w:eastAsia="Calibri" w:hAnsi="Calibri"/>
    </w:rPr>
  </w:style>
  <w:style w:type="paragraph" w:styleId="Antrats">
    <w:name w:val="header"/>
    <w:basedOn w:val="prastasis"/>
    <w:link w:val="AntratsDiagrama"/>
    <w:rsid w:val="00740EA1"/>
    <w:pPr>
      <w:tabs>
        <w:tab w:val="center" w:pos="4819"/>
        <w:tab w:val="right" w:pos="9638"/>
      </w:tabs>
    </w:pPr>
    <w:rPr>
      <w:noProof/>
    </w:rPr>
  </w:style>
  <w:style w:type="character" w:customStyle="1" w:styleId="AntratsDiagrama">
    <w:name w:val="Antraštės Diagrama"/>
    <w:link w:val="Antrats"/>
    <w:rsid w:val="00740EA1"/>
    <w:rPr>
      <w:noProof/>
      <w:sz w:val="24"/>
      <w:szCs w:val="24"/>
      <w:lang w:eastAsia="en-US"/>
    </w:rPr>
  </w:style>
  <w:style w:type="paragraph" w:styleId="Porat">
    <w:name w:val="footer"/>
    <w:basedOn w:val="prastasis"/>
    <w:link w:val="PoratDiagrama"/>
    <w:uiPriority w:val="99"/>
    <w:rsid w:val="00740EA1"/>
    <w:pPr>
      <w:tabs>
        <w:tab w:val="center" w:pos="4819"/>
        <w:tab w:val="right" w:pos="9638"/>
      </w:tabs>
    </w:pPr>
    <w:rPr>
      <w:noProof/>
    </w:rPr>
  </w:style>
  <w:style w:type="character" w:customStyle="1" w:styleId="PoratDiagrama">
    <w:name w:val="Poraštė Diagrama"/>
    <w:link w:val="Porat"/>
    <w:uiPriority w:val="99"/>
    <w:rsid w:val="00740EA1"/>
    <w:rPr>
      <w:noProof/>
      <w:sz w:val="24"/>
      <w:szCs w:val="24"/>
      <w:lang w:eastAsia="en-US"/>
    </w:rPr>
  </w:style>
  <w:style w:type="character" w:styleId="Vietosrezervavimoenklotekstas">
    <w:name w:val="Placeholder Text"/>
    <w:basedOn w:val="Numatytasispastraiposriftas"/>
    <w:uiPriority w:val="99"/>
    <w:semiHidden/>
    <w:rsid w:val="004E2EE9"/>
    <w:rPr>
      <w:color w:val="808080"/>
    </w:rPr>
  </w:style>
  <w:style w:type="table" w:styleId="Lentelstinklelis">
    <w:name w:val="Table Grid"/>
    <w:basedOn w:val="prastojilentel"/>
    <w:uiPriority w:val="59"/>
    <w:rsid w:val="00060FC8"/>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raopastraipa">
    <w:name w:val="List Paragraph"/>
    <w:basedOn w:val="prastasis"/>
    <w:link w:val="SraopastraipaDiagrama"/>
    <w:uiPriority w:val="34"/>
    <w:qFormat/>
    <w:rsid w:val="00525EDD"/>
    <w:pPr>
      <w:spacing w:after="200" w:line="276" w:lineRule="auto"/>
      <w:ind w:left="720"/>
      <w:contextualSpacing/>
    </w:pPr>
    <w:rPr>
      <w:rFonts w:ascii="Calibri" w:eastAsia="Calibri" w:hAnsi="Calibri"/>
      <w:sz w:val="22"/>
      <w:szCs w:val="22"/>
    </w:rPr>
  </w:style>
  <w:style w:type="paragraph" w:styleId="Puslapioinaostekstas">
    <w:name w:val="footnote text"/>
    <w:basedOn w:val="prastasis"/>
    <w:link w:val="PuslapioinaostekstasDiagrama"/>
    <w:uiPriority w:val="99"/>
    <w:semiHidden/>
    <w:unhideWhenUsed/>
    <w:rsid w:val="00D133B3"/>
    <w:rPr>
      <w:rFonts w:ascii="Calibri" w:eastAsia="Calibri" w:hAnsi="Calibri"/>
      <w:sz w:val="20"/>
      <w:szCs w:val="20"/>
    </w:rPr>
  </w:style>
  <w:style w:type="character" w:customStyle="1" w:styleId="PuslapioinaostekstasDiagrama">
    <w:name w:val="Puslapio išnašos tekstas Diagrama"/>
    <w:basedOn w:val="Numatytasispastraiposriftas"/>
    <w:link w:val="Puslapioinaostekstas"/>
    <w:uiPriority w:val="99"/>
    <w:semiHidden/>
    <w:rsid w:val="00D133B3"/>
    <w:rPr>
      <w:rFonts w:ascii="Calibri" w:eastAsia="Calibri" w:hAnsi="Calibri"/>
      <w:lang w:eastAsia="en-US"/>
    </w:rPr>
  </w:style>
  <w:style w:type="character" w:styleId="Puslapioinaosnuoroda">
    <w:name w:val="footnote reference"/>
    <w:basedOn w:val="Numatytasispastraiposriftas"/>
    <w:uiPriority w:val="99"/>
    <w:semiHidden/>
    <w:unhideWhenUsed/>
    <w:rsid w:val="00D133B3"/>
    <w:rPr>
      <w:vertAlign w:val="superscript"/>
    </w:rPr>
  </w:style>
  <w:style w:type="paragraph" w:customStyle="1" w:styleId="Default">
    <w:name w:val="Default"/>
    <w:rsid w:val="0076300D"/>
    <w:pPr>
      <w:autoSpaceDE w:val="0"/>
      <w:autoSpaceDN w:val="0"/>
      <w:adjustRightInd w:val="0"/>
    </w:pPr>
    <w:rPr>
      <w:color w:val="000000"/>
    </w:rPr>
  </w:style>
  <w:style w:type="paragraph" w:styleId="Sraassuenkleliais">
    <w:name w:val="List Bullet"/>
    <w:basedOn w:val="prastasis"/>
    <w:unhideWhenUsed/>
    <w:rsid w:val="00317741"/>
    <w:pPr>
      <w:numPr>
        <w:numId w:val="14"/>
      </w:numPr>
      <w:contextualSpacing/>
    </w:pPr>
  </w:style>
  <w:style w:type="character" w:customStyle="1" w:styleId="SraopastraipaDiagrama">
    <w:name w:val="Sąrašo pastraipa Diagrama"/>
    <w:link w:val="Sraopastraipa"/>
    <w:locked/>
    <w:rsid w:val="00E0166A"/>
    <w:rPr>
      <w:rFonts w:ascii="Calibri" w:eastAsia="Calibri" w:hAnsi="Calibri"/>
      <w:sz w:val="22"/>
      <w:szCs w:val="22"/>
      <w:lang w:eastAsia="en-US"/>
    </w:rPr>
  </w:style>
  <w:style w:type="character" w:styleId="Perirtashipersaitas">
    <w:name w:val="FollowedHyperlink"/>
    <w:basedOn w:val="Numatytasispastraiposriftas"/>
    <w:semiHidden/>
    <w:unhideWhenUsed/>
    <w:rsid w:val="000E4DF6"/>
    <w:rPr>
      <w:color w:val="800080" w:themeColor="followedHyperlink"/>
      <w:u w:val="single"/>
    </w:rPr>
  </w:style>
  <w:style w:type="character" w:styleId="Emfaz">
    <w:name w:val="Emphasis"/>
    <w:basedOn w:val="Numatytasispastraiposriftas"/>
    <w:uiPriority w:val="20"/>
    <w:qFormat/>
    <w:rsid w:val="002E432B"/>
    <w:rPr>
      <w:i/>
      <w:iCs/>
    </w:rPr>
  </w:style>
  <w:style w:type="paragraph" w:styleId="prastasistinklapis">
    <w:name w:val="Normal (Web)"/>
    <w:basedOn w:val="prastasis"/>
    <w:uiPriority w:val="99"/>
    <w:unhideWhenUsed/>
    <w:rsid w:val="00574232"/>
    <w:pPr>
      <w:spacing w:before="100" w:beforeAutospacing="1" w:after="100" w:afterAutospacing="1"/>
    </w:pPr>
  </w:style>
  <w:style w:type="paragraph" w:styleId="Pataisymai">
    <w:name w:val="Revision"/>
    <w:hidden/>
    <w:uiPriority w:val="99"/>
    <w:semiHidden/>
    <w:rsid w:val="00E1579C"/>
    <w:rPr>
      <w:lang w:eastAsia="en-US"/>
    </w:rPr>
  </w:style>
  <w:style w:type="paragraph" w:styleId="Antrinispavadinimas">
    <w:name w:val="Subtitle"/>
    <w:basedOn w:val="prastasis"/>
    <w:next w:val="prastasis"/>
    <w:pPr>
      <w:keepNext/>
      <w:keepLines/>
      <w:spacing w:before="360" w:after="80"/>
    </w:pPr>
    <w:rPr>
      <w:rFonts w:ascii="Georgia" w:eastAsia="Georgia" w:hAnsi="Georgia" w:cs="Georgia"/>
      <w:i/>
      <w:color w:val="666666"/>
      <w:sz w:val="48"/>
      <w:szCs w:val="48"/>
    </w:rPr>
  </w:style>
  <w:style w:type="table" w:customStyle="1" w:styleId="a">
    <w:basedOn w:val="prastojilentel"/>
    <w:rPr>
      <w:rFonts w:ascii="Calibri" w:eastAsia="Calibri" w:hAnsi="Calibri" w:cs="Calibri"/>
      <w:sz w:val="22"/>
      <w:szCs w:val="22"/>
    </w:rPr>
    <w:tblPr>
      <w:tblStyleRowBandSize w:val="1"/>
      <w:tblStyleColBandSize w:val="1"/>
      <w:tblInd w:w="0" w:type="dxa"/>
      <w:tblCellMar>
        <w:top w:w="0" w:type="dxa"/>
        <w:left w:w="108" w:type="dxa"/>
        <w:bottom w:w="0" w:type="dxa"/>
        <w:right w:w="108" w:type="dxa"/>
      </w:tblCellMar>
    </w:tblPr>
  </w:style>
  <w:style w:type="table" w:customStyle="1" w:styleId="a0">
    <w:basedOn w:val="prastojilentel"/>
    <w:tblPr>
      <w:tblStyleRowBandSize w:val="1"/>
      <w:tblStyleColBandSize w:val="1"/>
      <w:tblInd w:w="0" w:type="dxa"/>
      <w:tblCellMar>
        <w:top w:w="0" w:type="dxa"/>
        <w:left w:w="0" w:type="dxa"/>
        <w:bottom w:w="0" w:type="dxa"/>
        <w:right w:w="0" w:type="dxa"/>
      </w:tblCellMar>
    </w:tblPr>
  </w:style>
  <w:style w:type="table" w:customStyle="1" w:styleId="a1">
    <w:basedOn w:val="prastojilentel"/>
    <w:rPr>
      <w:rFonts w:ascii="Calibri" w:eastAsia="Calibri" w:hAnsi="Calibri" w:cs="Calibri"/>
      <w:sz w:val="22"/>
      <w:szCs w:val="22"/>
    </w:rPr>
    <w:tblPr>
      <w:tblStyleRowBandSize w:val="1"/>
      <w:tblStyleColBandSize w:val="1"/>
      <w:tblInd w:w="0" w:type="dxa"/>
      <w:tblCellMar>
        <w:top w:w="0" w:type="dxa"/>
        <w:left w:w="0" w:type="dxa"/>
        <w:bottom w:w="0" w:type="dxa"/>
        <w:right w:w="0" w:type="dxa"/>
      </w:tblCellMar>
    </w:tblPr>
  </w:style>
  <w:style w:type="table" w:customStyle="1" w:styleId="a2">
    <w:basedOn w:val="prastojilentel"/>
    <w:rPr>
      <w:rFonts w:ascii="Calibri" w:eastAsia="Calibri" w:hAnsi="Calibri" w:cs="Calibri"/>
      <w:sz w:val="22"/>
      <w:szCs w:val="22"/>
    </w:rPr>
    <w:tblPr>
      <w:tblStyleRowBandSize w:val="1"/>
      <w:tblStyleColBandSize w:val="1"/>
      <w:tblInd w:w="0" w:type="dxa"/>
      <w:tblCellMar>
        <w:top w:w="0" w:type="dxa"/>
        <w:left w:w="0" w:type="dxa"/>
        <w:bottom w:w="0" w:type="dxa"/>
        <w:right w:w="0" w:type="dxa"/>
      </w:tblCellMar>
    </w:tblPr>
  </w:style>
  <w:style w:type="table" w:customStyle="1" w:styleId="a3">
    <w:basedOn w:val="prastojilentel"/>
    <w:rPr>
      <w:rFonts w:ascii="Calibri" w:eastAsia="Calibri" w:hAnsi="Calibri" w:cs="Calibri"/>
      <w:sz w:val="22"/>
      <w:szCs w:val="22"/>
    </w:rPr>
    <w:tblPr>
      <w:tblStyleRowBandSize w:val="1"/>
      <w:tblStyleColBandSize w:val="1"/>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s://webgate.ec.europa.eu/competition/transparency/"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30zskJ88wsb57d6QOwCwzrcj7Xg==">AMUW2mWnoCrqvgZajas6RVImsb2EZBJeHLewZ7jY+PqOUq3nRylU+n3SiZkMGWCWw3bFkJHv031iXtlcotT9q+iLjAWsAWbkZUjjKDOhQ16yh2mIVNEVxRk=</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16817</Words>
  <Characters>9586</Characters>
  <Application>Microsoft Office Word</Application>
  <DocSecurity>0</DocSecurity>
  <Lines>79</Lines>
  <Paragraphs>52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26351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Seimas</dc:creator>
  <cp:lastModifiedBy>Agnė Kazlauskaitė</cp:lastModifiedBy>
  <cp:revision>2</cp:revision>
  <dcterms:created xsi:type="dcterms:W3CDTF">2020-05-05T06:46:00Z</dcterms:created>
  <dcterms:modified xsi:type="dcterms:W3CDTF">2020-05-05T06:46:00Z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0x01010075D4BC6569A5584FAD6AC667C528D56C</vt:lpwstr>
  </property>
</Properties>
</file>