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21a94fe713824f6882e606f6c70ba2df"/>
        <w:lock w:val="sdtLocked"/>
        <w:richText/>
      </w:sdtPr>
      <w:sdtContent>
        <w:p>
          <w:pPr>
            <w:jc w:val="right"/>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 xml:space="preserve">DĖL </w:t>
          </w:r>
          <w:r>
            <w:rPr>
              <w:b/>
              <w:bCs/>
              <w:szCs w:val="24"/>
              <w:lang w:eastAsia="lt-LT"/>
            </w:rPr>
            <w:t>LIETUVOS RESPUBLIKOS VYRIAUSYBĖS 2001 M. SAUSIO 25 D. NUTARIMO NR. 86 „DĖL LIGOS IR MOTINYSTĖS SOCIALINIO DRAUDIMO IŠMOKŲ NUOSTATŲ PATVIRTINIMO“ PAKEITIMO</w:t>
          </w: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19ed7a25e5d24ec596ea365b8fc110db"/>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8da6778e18f941518134e85cf3a6fc44"/>
            <w:lock w:val="sdtLocked"/>
            <w:richText/>
          </w:sdtPr>
          <w:sdtContent>
            <w:p>
              <w:pPr>
                <w:spacing w:line="360" w:lineRule="atLeast"/>
                <w:ind w:firstLine="720"/>
                <w:jc w:val="both"/>
                <w:rPr>
                  <w:color w:val="000000"/>
                  <w:szCs w:val="24"/>
                  <w:lang w:eastAsia="lt-LT"/>
                </w:rPr>
              </w:pPr>
              <w:r>
                <w:rPr>
                  <w:color w:val="000000"/>
                  <w:szCs w:val="24"/>
                  <w:lang w:eastAsia="lt-LT"/>
                </w:rPr>
                <w:t>Pakeisti Ligos ir motinystės socialinio draudimo išmokų nuostatus, patvirtintus Lietuvos Respublikos Vyriausybės 2001 m. sausio 25 d. nutarimu Nr. 86 „Dėl Ligos ir motinystės socialinio draudimo išmokų nuostatų patvirtinimo“, ir 19 punktą išdėstyti taip:</w:t>
              </w:r>
            </w:p>
            <w:sdt>
              <w:sdtPr>
                <w:alias w:val="citata"/>
                <w:tag w:val="part_32f5c25c944048d3888ff8c8c70b86fe"/>
                <w:lock w:val="sdtLocked"/>
                <w:richText/>
              </w:sdtPr>
              <w:sdtContent>
                <w:sdt>
                  <w:sdtPr>
                    <w:alias w:val="19 p."/>
                    <w:tag w:val="part_fe4924ffa9e34905bc2cfc98c6e31bdc"/>
                    <w:lock w:val="sdtLocked"/>
                    <w:richText/>
                  </w:sdtPr>
                  <w:sdtContent>
                    <w:p>
                      <w:pPr>
                        <w:spacing w:line="360" w:lineRule="atLeast"/>
                        <w:ind w:firstLine="720"/>
                        <w:jc w:val="both"/>
                        <w:rPr>
                          <w:szCs w:val="24"/>
                          <w:lang w:eastAsia="lt-LT"/>
                        </w:rPr>
                      </w:pPr>
                      <w:r>
                        <w:rPr>
                          <w:color w:val="000000"/>
                          <w:szCs w:val="24"/>
                          <w:lang w:eastAsia="lt-LT"/>
                        </w:rPr>
                        <w:t>„</w:t>
                      </w:r>
                      <w:sdt>
                        <w:sdtPr>
                          <w:alias w:val="Numeris"/>
                          <w:tag w:val="nr_fe4924ffa9e34905bc2cfc98c6e31bdc"/>
                          <w:lock w:val="sdtLocked"/>
                          <w:richText/>
                        </w:sdtPr>
                        <w:sdtContent>
                          <w:r>
                            <w:rPr>
                              <w:color w:val="000000"/>
                              <w:szCs w:val="24"/>
                              <w:lang w:eastAsia="lt-LT"/>
                            </w:rPr>
                            <w:t>19</w:t>
                          </w:r>
                        </w:sdtContent>
                      </w:sdt>
                      <w:r>
                        <w:rPr>
                          <w:color w:val="000000"/>
                          <w:szCs w:val="24"/>
                          <w:lang w:eastAsia="lt-LT"/>
                        </w:rPr>
                        <w:t xml:space="preserve">. Darbo užsienyje laikotarpiai į ligos socialinio draudimo ir motinystės socialinio draudimo stažą įskaitomi Europos Sąjungos socialinės apsaugos sistemų koordinavimo reglamentuose ir tarptautinėse sutartyse nustatyta tvarka. Darbo laikotarpiai, kai asmuo draudžiasi pagal Europos Bendrijų bendrąją sveikatos draudimo sistemą, vadovaujantis Europos Bendrijų pareigūnų tarnybos nuostatais, nustatytais 1968 m. vasario 29 d. Tarybos reglamentu (EEB, EURATOMAS, EAPB) Nr. 259/68, </w:t>
                      </w:r>
                      <w:r>
                        <w:rPr>
                          <w:color w:val="000000"/>
                          <w:shd w:val="clear" w:color="auto" w:fill="FFFFFF"/>
                          <w:lang w:eastAsia="lt-LT"/>
                        </w:rPr>
                        <w:t xml:space="preserve">nustatančiu Europos Bendrijų pareigūnų tarnybos nuostatus ir kitų Europos Bendrijų tarnautojų įdarbinimo sąlygas bei Komisijos pareigūnams laikinai taikomas specialias priemones (Tarnybos nuostatai), su visais pakeitimais, </w:t>
                      </w:r>
                      <w:r>
                        <w:rPr>
                          <w:color w:val="000000"/>
                          <w:szCs w:val="24"/>
                          <w:lang w:eastAsia="lt-LT"/>
                        </w:rPr>
                        <w:t>į ligos socialinio draudimo ir motinystės socialinio draudimo stažą įskaitomi tik tada, kai jie nesutampa su laikotarpiu, dirbtu Lietuvos Respublikoje. Ligos socialinio draudimo ir motinystės socialinio draudimo stažas, įgytas Jungtinėje Didžiosios Britanijos ir Šiaurės Airijos Karalystėje nuo jos išstojimo iš Europos Sąjungos dienos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w:t>
                      </w:r>
                      <w:r>
                        <w:rPr>
                          <w:szCs w:val="24"/>
                          <w:lang w:eastAsia="lt-LT"/>
                        </w:rPr>
                        <w:t xml:space="preserve"> </w:t>
                      </w:r>
                      <w:r>
                        <w:rPr>
                          <w:color w:val="000000"/>
                          <w:szCs w:val="24"/>
                          <w:lang w:eastAsia="lt-LT"/>
                        </w:rPr>
                        <w:t>įskaitomas Europos Sąjungos socialinės apsaugos sistemų koordinavimo reglamentuose nustatyta tvarka. Ligos socialinio draudimo ir motinystės socialinio draudimo stažas, įgytas Jungtinėje Didžiosios Britanijos ir Šiaurės Airijos Karalystėje pasibaigus pereinamajam laikotarpiui, įskaitomas Išstojimo susitarime nustatytais atvejais ir tvarka.“</w:t>
                      </w:r>
                    </w:p>
                    <w:p>
                      <w:pPr>
                        <w:jc w:val="both"/>
                        <w:rPr>
                          <w:lang w:eastAsia="lt-LT"/>
                        </w:rPr>
                      </w:pPr>
                    </w:p>
                    <w:p>
                      <w:pPr>
                        <w:jc w:val="both"/>
                        <w:rPr>
                          <w:lang w:eastAsia="lt-LT"/>
                        </w:rPr>
                      </w:pPr>
                    </w:p>
                    <w:p>
                      <w:pPr>
                        <w:jc w:val="both"/>
                        <w:rPr>
                          <w:lang w:eastAsia="lt-LT"/>
                        </w:rPr>
                      </w:pPr>
                    </w:p>
                  </w:sdtContent>
                </w:sdt>
              </w:sdtContent>
            </w:sdt>
          </w:sdtContent>
        </w:sdt>
        <w:sdt>
          <w:sdtPr>
            <w:alias w:val="signatura"/>
            <w:tag w:val="part_7786ff1bca63424ba5f2345c6574a8a4"/>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szCs w:val="24"/>
                  <w:lang w:eastAsia="lt-LT"/>
                </w:rPr>
                <w:t>Socialinės apsaugos ir darbo ministras</w:t>
              </w:r>
              <w:r>
                <w:rPr>
                  <w:lang w:eastAsia="lt-LT"/>
                </w:rPr>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76d973007ee7454eba43142d71df391c" PartId="21a94fe713824f6882e606f6c70ba2df">
    <Part Type="preambule" DocPartId="3bd3f3212a6f46ec852a33cf0976f12d" PartId="19ed7a25e5d24ec596ea365b8fc110db"/>
    <Part Type="pastraipa" DocPartId="62fac59dac924ab689e7094d96b2638f" PartId="8da6778e18f941518134e85cf3a6fc44">
      <Part Type="citata" DocPartId="c5ef2b9e96e34c01b963a1dc89e054e4" PartId="32f5c25c944048d3888ff8c8c70b86fe">
        <Part Type="punktas" Nr="19" Abbr="19 p." DocPartId="43bb12ca10284bb2b3a0716ca460fe17" PartId="fe4924ffa9e34905bc2cfc98c6e31bdc"/>
      </Part>
    </Part>
    <Part Type="signatura" DocPartId="036b3e5145714b1abb5a13e3cdf0f1ce" PartId="7786ff1bca63424ba5f2345c6574a8a4"/>
  </Part>
</Parts>
</file>

<file path=customXml/itemProps1.xml><?xml version="1.0" encoding="utf-8"?>
<ds:datastoreItem xmlns:ds="http://schemas.openxmlformats.org/officeDocument/2006/customXml" ds:itemID="{36CC8FCF-0E5C-4E22-95F8-EC37EC4C4021}">
  <ds:schemaRefs>
    <ds:schemaRef ds:uri="http://schemas.openxmlformats.org/officeDocument/2006/bibliography"/>
  </ds:schemaRefs>
</ds:datastoreItem>
</file>

<file path=customXml/itemProps2.xml><?xml version="1.0" encoding="utf-8"?>
<ds:datastoreItem xmlns:ds="http://schemas.openxmlformats.org/officeDocument/2006/customXml" ds:itemID="{B8FAAA47-BE34-484B-BC0F-38998F6D31F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2035</Characters>
  <Application>Microsoft Office Word</Application>
  <DocSecurity>4</DocSecurity>
  <Lines>40</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2304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2020-10-01T06:30:00Z</dcterms:created>
  <dc:creator>lrvk</dc:creator>
  <cp:lastModifiedBy>Asseco</cp:lastModifiedBy>
  <cp:lastPrinted>2017-06-01T05:28:00Z</cp:lastPrinted>
  <dcterms:modified xsi:type="dcterms:W3CDTF">2020-10-01T06:30:00Z</dcterms:modified>
  <cp:revision>2</cp:revision>
</cp:coreProperties>
</file>