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967DF" w14:textId="423F7900" w:rsidR="00D2766D" w:rsidRDefault="00C508F6">
      <w:pPr>
        <w:pStyle w:val="Standard"/>
        <w:spacing w:after="0" w:line="240" w:lineRule="auto"/>
        <w:jc w:val="center"/>
      </w:pPr>
      <w:bookmarkStart w:id="0" w:name="_GoBack"/>
      <w:bookmarkEnd w:id="0"/>
      <w:r>
        <w:rPr>
          <w:rFonts w:eastAsia="Times New Roman"/>
          <w:b/>
          <w:bCs/>
          <w:szCs w:val="24"/>
        </w:rPr>
        <w:t>LIETUVOS RESPUBLIKOS KRAŠTO APSAUGOS SISTEMOS ORGANIZAVIMO IR KARO TARNY</w:t>
      </w:r>
      <w:r w:rsidR="00E5177E">
        <w:rPr>
          <w:rFonts w:eastAsia="Times New Roman"/>
          <w:b/>
          <w:bCs/>
          <w:szCs w:val="24"/>
        </w:rPr>
        <w:t>BOS ĮSTATYMO NR. VIII-723 3, 9</w:t>
      </w:r>
      <w:r w:rsidR="00B304F7">
        <w:rPr>
          <w:rFonts w:eastAsia="Times New Roman"/>
          <w:b/>
          <w:bCs/>
          <w:szCs w:val="24"/>
        </w:rPr>
        <w:t>,</w:t>
      </w:r>
      <w:r w:rsidR="00E5177E">
        <w:rPr>
          <w:rFonts w:eastAsia="Times New Roman"/>
          <w:b/>
          <w:bCs/>
          <w:szCs w:val="24"/>
        </w:rPr>
        <w:t xml:space="preserve"> </w:t>
      </w:r>
      <w:r>
        <w:rPr>
          <w:rFonts w:eastAsia="Times New Roman"/>
          <w:b/>
          <w:bCs/>
          <w:szCs w:val="24"/>
        </w:rPr>
        <w:t>59</w:t>
      </w:r>
      <w:r w:rsidR="00B304F7">
        <w:rPr>
          <w:rFonts w:eastAsia="Times New Roman"/>
          <w:b/>
          <w:bCs/>
          <w:szCs w:val="24"/>
        </w:rPr>
        <w:t xml:space="preserve"> IR 69</w:t>
      </w:r>
      <w:r>
        <w:rPr>
          <w:rFonts w:eastAsia="Times New Roman"/>
          <w:b/>
          <w:bCs/>
          <w:szCs w:val="24"/>
        </w:rPr>
        <w:t xml:space="preserve"> STRAIPSNIŲ PAKEITIMO IR ĮSTATYMO PAPILDYMO 10</w:t>
      </w:r>
      <w:r>
        <w:rPr>
          <w:rFonts w:eastAsia="Times New Roman"/>
          <w:b/>
          <w:bCs/>
          <w:szCs w:val="24"/>
          <w:vertAlign w:val="superscript"/>
        </w:rPr>
        <w:t>2</w:t>
      </w:r>
      <w:r>
        <w:rPr>
          <w:rFonts w:eastAsia="Times New Roman"/>
          <w:b/>
          <w:bCs/>
          <w:szCs w:val="24"/>
        </w:rPr>
        <w:t xml:space="preserve"> STRAIPSNIU ĮSTATYMO PROJEKTO</w:t>
      </w:r>
    </w:p>
    <w:p w14:paraId="3DF967E0" w14:textId="77777777" w:rsidR="00D2766D" w:rsidRDefault="00C508F6">
      <w:pPr>
        <w:pStyle w:val="Standard"/>
        <w:spacing w:after="0" w:line="240" w:lineRule="auto"/>
        <w:jc w:val="center"/>
      </w:pPr>
      <w:r>
        <w:rPr>
          <w:b/>
          <w:szCs w:val="24"/>
        </w:rPr>
        <w:t>DERINIMO PAŽYMA</w:t>
      </w:r>
    </w:p>
    <w:p w14:paraId="3DF967E1" w14:textId="77777777" w:rsidR="00D2766D" w:rsidRDefault="00D2766D">
      <w:pPr>
        <w:pStyle w:val="Standard"/>
      </w:pPr>
    </w:p>
    <w:tbl>
      <w:tblPr>
        <w:tblW w:w="14883" w:type="dxa"/>
        <w:tblInd w:w="142" w:type="dxa"/>
        <w:tblLayout w:type="fixed"/>
        <w:tblCellMar>
          <w:left w:w="10" w:type="dxa"/>
          <w:right w:w="10" w:type="dxa"/>
        </w:tblCellMar>
        <w:tblLook w:val="04A0" w:firstRow="1" w:lastRow="0" w:firstColumn="1" w:lastColumn="0" w:noHBand="0" w:noVBand="1"/>
      </w:tblPr>
      <w:tblGrid>
        <w:gridCol w:w="1743"/>
        <w:gridCol w:w="6332"/>
        <w:gridCol w:w="6808"/>
      </w:tblGrid>
      <w:tr w:rsidR="00DD3308" w14:paraId="3DF967E5" w14:textId="77777777" w:rsidTr="00DD3308">
        <w:tc>
          <w:tcPr>
            <w:tcW w:w="17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DF967E2" w14:textId="77777777" w:rsidR="00DD3308" w:rsidRDefault="00DD3308">
            <w:pPr>
              <w:pStyle w:val="Standard"/>
              <w:spacing w:after="0" w:line="240" w:lineRule="auto"/>
              <w:jc w:val="center"/>
            </w:pPr>
            <w:r>
              <w:rPr>
                <w:b/>
                <w:bCs/>
                <w:szCs w:val="24"/>
              </w:rPr>
              <w:t>Institucijos pavadinimas, rašto data ir numeris</w:t>
            </w:r>
          </w:p>
        </w:tc>
        <w:tc>
          <w:tcPr>
            <w:tcW w:w="63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DF967E3" w14:textId="77777777" w:rsidR="00DD3308" w:rsidRDefault="00DD3308">
            <w:pPr>
              <w:pStyle w:val="Standard"/>
              <w:spacing w:after="0" w:line="240" w:lineRule="auto"/>
              <w:jc w:val="center"/>
            </w:pPr>
            <w:r>
              <w:rPr>
                <w:b/>
                <w:bCs/>
                <w:szCs w:val="24"/>
              </w:rPr>
              <w:t>Pastabos ir pasiūlymai</w:t>
            </w:r>
          </w:p>
        </w:tc>
        <w:tc>
          <w:tcPr>
            <w:tcW w:w="68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DF967E4" w14:textId="77777777" w:rsidR="00DD3308" w:rsidRDefault="00DD3308">
            <w:pPr>
              <w:pStyle w:val="Standard"/>
              <w:spacing w:after="0" w:line="240" w:lineRule="auto"/>
              <w:jc w:val="center"/>
              <w:rPr>
                <w:b/>
                <w:szCs w:val="24"/>
              </w:rPr>
            </w:pPr>
            <w:r>
              <w:rPr>
                <w:b/>
                <w:szCs w:val="24"/>
              </w:rPr>
              <w:t>Argumentai, kodėl neatsižvelgta arba tik iš dalies atsižvelgta į suinteresuotų institucijų ir asmenų pastabas ir pasiūlymus</w:t>
            </w:r>
          </w:p>
        </w:tc>
      </w:tr>
      <w:tr w:rsidR="00DD3308" w14:paraId="3DF967F1" w14:textId="77777777" w:rsidTr="00DD3308">
        <w:tc>
          <w:tcPr>
            <w:tcW w:w="17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F967E6" w14:textId="77777777" w:rsidR="00DD3308" w:rsidRDefault="00DD3308">
            <w:pPr>
              <w:pStyle w:val="Standard"/>
              <w:spacing w:after="0" w:line="240" w:lineRule="auto"/>
              <w:jc w:val="center"/>
              <w:rPr>
                <w:bCs/>
                <w:szCs w:val="24"/>
              </w:rPr>
            </w:pPr>
            <w:r>
              <w:rPr>
                <w:bCs/>
                <w:szCs w:val="24"/>
              </w:rPr>
              <w:t>Lietuvos Respublikos Vyriausybės kanceliarijos Teisės grupės 2020-06-01 išvada</w:t>
            </w:r>
          </w:p>
          <w:p w14:paraId="3DF967E7" w14:textId="77777777" w:rsidR="00DD3308" w:rsidRDefault="00DD3308">
            <w:pPr>
              <w:pStyle w:val="Standard"/>
              <w:spacing w:after="0" w:line="240" w:lineRule="auto"/>
              <w:jc w:val="center"/>
            </w:pPr>
            <w:r>
              <w:rPr>
                <w:bCs/>
                <w:szCs w:val="24"/>
              </w:rPr>
              <w:t xml:space="preserve">Nr. </w:t>
            </w:r>
            <w:r>
              <w:rPr>
                <w:color w:val="000000"/>
              </w:rPr>
              <w:t>NV-1483</w:t>
            </w:r>
          </w:p>
        </w:tc>
        <w:tc>
          <w:tcPr>
            <w:tcW w:w="63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F967E8" w14:textId="77777777" w:rsidR="00DD3308" w:rsidRDefault="00DD3308">
            <w:pPr>
              <w:pStyle w:val="Standard"/>
              <w:spacing w:after="0" w:line="240" w:lineRule="auto"/>
              <w:jc w:val="both"/>
            </w:pPr>
            <w:bookmarkStart w:id="1" w:name="_Hlk31995295"/>
            <w:r>
              <w:rPr>
                <w:color w:val="000000"/>
              </w:rPr>
              <w:t>1.</w:t>
            </w:r>
            <w:r>
              <w:rPr>
                <w:color w:val="000000"/>
                <w:sz w:val="14"/>
                <w:szCs w:val="14"/>
              </w:rPr>
              <w:t>              </w:t>
            </w:r>
            <w:r>
              <w:rPr>
                <w:color w:val="000000"/>
              </w:rPr>
              <w:t>Projekto 3 straipsnyje keičiamo Krašto apsaugos sistemos organizavimo ir karo tarnybos įstatymo (toliau – Įstatymas) naujos informacijos išskyrimas nėra pakankamai aiškus ir pagrįstas dėl šių priežasčių. Pirma, Projekto 3 straipsnyje </w:t>
            </w:r>
            <w:bookmarkStart w:id="2" w:name="_Hlk41471026"/>
            <w:bookmarkEnd w:id="1"/>
            <w:r>
              <w:rPr>
                <w:color w:val="000000"/>
              </w:rPr>
              <w:t>keičiamo Įstatym</w:t>
            </w:r>
            <w:bookmarkEnd w:id="2"/>
            <w:r>
              <w:rPr>
                <w:color w:val="000000"/>
              </w:rPr>
              <w:t>o 10</w:t>
            </w:r>
            <w:r>
              <w:rPr>
                <w:color w:val="000000"/>
                <w:vertAlign w:val="superscript"/>
              </w:rPr>
              <w:t>2 </w:t>
            </w:r>
            <w:r>
              <w:rPr>
                <w:color w:val="000000"/>
              </w:rPr>
              <w:t>straipsnyje siūlomą nustatyti Krašto apsaugos sistemos tarnybinio naudojimo informaciją sudarytų informacija apie </w:t>
            </w:r>
            <w:r>
              <w:rPr>
                <w:i/>
                <w:iCs/>
                <w:color w:val="000000"/>
              </w:rPr>
              <w:t xml:space="preserve">karinius </w:t>
            </w:r>
            <w:proofErr w:type="spellStart"/>
            <w:r>
              <w:rPr>
                <w:i/>
                <w:iCs/>
                <w:color w:val="000000"/>
              </w:rPr>
              <w:t>pajėgumus</w:t>
            </w:r>
            <w:proofErr w:type="spellEnd"/>
            <w:r>
              <w:rPr>
                <w:i/>
                <w:iCs/>
                <w:color w:val="000000"/>
              </w:rPr>
              <w:t xml:space="preserve"> ir jų vystymą</w:t>
            </w:r>
            <w:r>
              <w:rPr>
                <w:color w:val="000000"/>
              </w:rPr>
              <w:t>, tačiau Įstatyme ši sąvoka nevartojama, todėl neaiškus jos turinys (šios sąvokos atsisakyta </w:t>
            </w:r>
            <w:r>
              <w:rPr>
                <w:color w:val="000000"/>
                <w:shd w:val="clear" w:color="auto" w:fill="FFFFFF"/>
              </w:rPr>
              <w:t>2017 m. birželio 29 </w:t>
            </w:r>
            <w:r>
              <w:rPr>
                <w:color w:val="000000"/>
              </w:rPr>
              <w:t> d. Įstatymo Nr. </w:t>
            </w:r>
            <w:r>
              <w:rPr>
                <w:color w:val="000000"/>
                <w:shd w:val="clear" w:color="auto" w:fill="FFFFFF"/>
              </w:rPr>
              <w:t>XIII-539 </w:t>
            </w:r>
            <w:r>
              <w:rPr>
                <w:color w:val="000000"/>
              </w:rPr>
              <w:t>redakcijoje). Ši sąvoka vartojama </w:t>
            </w:r>
            <w:r>
              <w:rPr>
                <w:color w:val="000000"/>
                <w:shd w:val="clear" w:color="auto" w:fill="FFFFFF"/>
              </w:rPr>
              <w:t>Mobilizacijos ir priimančiosios šalies paramos įstatymo 2 straipsnio 21 dalyje, kurioje nustatyta, kad </w:t>
            </w:r>
            <w:r>
              <w:rPr>
                <w:i/>
                <w:iCs/>
                <w:color w:val="000000"/>
                <w:shd w:val="clear" w:color="auto" w:fill="FFFFFF"/>
              </w:rPr>
              <w:t xml:space="preserve">duomenys apie karinius </w:t>
            </w:r>
            <w:proofErr w:type="spellStart"/>
            <w:r>
              <w:rPr>
                <w:i/>
                <w:iCs/>
                <w:color w:val="000000"/>
                <w:shd w:val="clear" w:color="auto" w:fill="FFFFFF"/>
              </w:rPr>
              <w:t>pajėgumus</w:t>
            </w:r>
            <w:proofErr w:type="spellEnd"/>
            <w:r>
              <w:rPr>
                <w:color w:val="000000"/>
                <w:shd w:val="clear" w:color="auto" w:fill="FFFFFF"/>
              </w:rPr>
              <w:t> sudaro priimančios šalies paramos galimybių katalogą, kuris</w:t>
            </w:r>
            <w:r>
              <w:rPr>
                <w:i/>
                <w:iCs/>
                <w:color w:val="000000"/>
                <w:shd w:val="clear" w:color="auto" w:fill="FFFFFF"/>
              </w:rPr>
              <w:t> </w:t>
            </w:r>
            <w:r>
              <w:rPr>
                <w:color w:val="000000"/>
                <w:shd w:val="clear" w:color="auto" w:fill="FFFFFF"/>
              </w:rPr>
              <w:t>įslaptinamas, saugomas ir išslaptinamas teisės aktų nustatyta tvarka. Taip pat ir dėl „</w:t>
            </w:r>
            <w:r>
              <w:rPr>
                <w:i/>
                <w:iCs/>
                <w:color w:val="000000"/>
                <w:shd w:val="clear" w:color="auto" w:fill="FFFFFF"/>
              </w:rPr>
              <w:t>tarptautinio karinio bendradarbiavimo“</w:t>
            </w:r>
            <w:r>
              <w:rPr>
                <w:color w:val="000000"/>
                <w:shd w:val="clear" w:color="auto" w:fill="FFFFFF"/>
              </w:rPr>
              <w:t> informacijos turinio kyla neaiškumas, nes Įstatyme nustatytas Krašto apsaugos sistemos institucijų tarptautinis bendradarbiavimas (Įstatymo 5 straipsnis), kitur </w:t>
            </w:r>
            <w:r>
              <w:rPr>
                <w:color w:val="000000"/>
              </w:rPr>
              <w:t>– </w:t>
            </w:r>
            <w:r>
              <w:rPr>
                <w:color w:val="000000"/>
                <w:shd w:val="clear" w:color="auto" w:fill="FFFFFF"/>
              </w:rPr>
              <w:t>tarptautinis gynybos bei karinis bendradarbiavimas, o Projekte vartojama dar kitokia sąvoka, kas sukelia Įstatymo nuostatų interpretavimo neišvengiamumą. Antra, nors tai </w:t>
            </w:r>
            <w:r>
              <w:rPr>
                <w:color w:val="000000"/>
              </w:rPr>
              <w:t xml:space="preserve">valstybės ir tarnybos paslapties nesudaranti informacija, tačiau jos atskleidimas siejamas su valstybės </w:t>
            </w:r>
            <w:r>
              <w:rPr>
                <w:color w:val="000000"/>
              </w:rPr>
              <w:lastRenderedPageBreak/>
              <w:t>saugumo ir gynybos interesų pakenkimu, o tai gali padaryti žalos valstybės interesams, gynybinei galiai, o tai jau yra valstybės paslaptį, nurodytą </w:t>
            </w:r>
            <w:bookmarkStart w:id="3" w:name="_Hlk41496239"/>
            <w:r>
              <w:rPr>
                <w:color w:val="000000"/>
              </w:rPr>
              <w:t>Valstybės ir tarnybos paslapčių įstatyme</w:t>
            </w:r>
            <w:bookmarkEnd w:id="3"/>
            <w:r>
              <w:rPr>
                <w:color w:val="000000"/>
              </w:rPr>
              <w:t>, išskiriantis kriterijus. Atsižvelgdami į tai, siūlome tikslinti naujos informacijos turinį ir aiškiai ją atskirti nuo Valstybės ir tarnybos paslapčių įstatyme nurodytos informacijos arba keisti šį įstatymą. Be to, pritardami Teisingumo ministerijos 2020 m. kovo 17 d. išvados Nr. 20-2524 4 pastabai, siūlome ją įvertinti, nes lydimojoje medžiagoje nepateikti argumentai, kodėl į ją neatsižvelgta, o ir poreikis spręsti informacijos ribojimo klausimą sistemiškai ir kitose srityse išlieka aktualus. Pavyzdžiui, vertinant Teisingumo ministerijos išvadoje paminėto komercinės paslapties apsaugos instituto įgyvendinimą viešojo administravimo sistemoje, yra teisinio reguliavimo nepakankamumas. Šis klausimas tik fragmentiškai reglamentuotas Konkurencijos įstatyme, Viešųjų pirkimų įstatyme, Geležinkelių transporto kodekse, tačiau šis reguliavimais apima tik konkrečius sektorius ir vykdomą konkrečią veiklą, o kitais atvejais šie klausimai nesureglamentuoti ir valstybės institucijos, esant poreikiui, negali tokiai informacijai suteikti riboto naudojimo statuso ir priskirti tarnybinei informacijai (nors tokios informacijos atskleidimas ar išviešinimas ir galėtų sukelti neigiamas finansines pasekmes valstybės institucijai). Siūlytina šį klausimą spręsti sistemiškai, peržiūrint ir Valstybės ir tarnybos paslapčių įstatymą.</w:t>
            </w:r>
          </w:p>
        </w:tc>
        <w:tc>
          <w:tcPr>
            <w:tcW w:w="68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F967E9" w14:textId="77777777" w:rsidR="00DD3308" w:rsidRDefault="00DD3308">
            <w:pPr>
              <w:pStyle w:val="Standard"/>
              <w:spacing w:after="0" w:line="240" w:lineRule="auto"/>
              <w:jc w:val="both"/>
              <w:rPr>
                <w:rFonts w:eastAsia="Times New Roman"/>
                <w:szCs w:val="24"/>
              </w:rPr>
            </w:pPr>
            <w:r>
              <w:rPr>
                <w:rFonts w:eastAsia="Times New Roman"/>
                <w:szCs w:val="24"/>
              </w:rPr>
              <w:lastRenderedPageBreak/>
              <w:t>ATSIŽVELGTA IŠ DALIES.</w:t>
            </w:r>
          </w:p>
          <w:p w14:paraId="3DF967EA" w14:textId="77777777" w:rsidR="00DD3308" w:rsidRDefault="00DD3308">
            <w:pPr>
              <w:pStyle w:val="Standard"/>
              <w:spacing w:after="0" w:line="240" w:lineRule="auto"/>
              <w:jc w:val="both"/>
            </w:pPr>
            <w:r>
              <w:rPr>
                <w:rFonts w:eastAsia="Times New Roman"/>
                <w:szCs w:val="24"/>
              </w:rPr>
              <w:t>Patikslintos Projekto formuluotės.</w:t>
            </w:r>
          </w:p>
          <w:p w14:paraId="3DF967EB" w14:textId="77777777" w:rsidR="00DD3308" w:rsidRDefault="00DD3308">
            <w:pPr>
              <w:pStyle w:val="Standard"/>
              <w:spacing w:after="0" w:line="240" w:lineRule="auto"/>
              <w:jc w:val="both"/>
              <w:rPr>
                <w:rFonts w:eastAsia="Times New Roman"/>
                <w:szCs w:val="24"/>
              </w:rPr>
            </w:pPr>
            <w:r>
              <w:rPr>
                <w:rFonts w:eastAsia="Times New Roman"/>
                <w:szCs w:val="24"/>
              </w:rPr>
              <w:t>Patikslintas aiškinamasis raštas, paaiškinant kai kurias Projekto formuluotes ir nurodant priežastis, kodėl šios formuluotės neturėtų būti papildomai apibrėžiamos.</w:t>
            </w:r>
          </w:p>
          <w:p w14:paraId="3DF967EC" w14:textId="6B676CDA" w:rsidR="00DD3308" w:rsidRDefault="00DD3308">
            <w:pPr>
              <w:pStyle w:val="Standard"/>
              <w:spacing w:after="0" w:line="240" w:lineRule="auto"/>
              <w:jc w:val="both"/>
            </w:pPr>
            <w:r>
              <w:rPr>
                <w:rFonts w:eastAsia="Times New Roman"/>
                <w:szCs w:val="24"/>
              </w:rPr>
              <w:t xml:space="preserve">Neatsižvelgta į siūlymą </w:t>
            </w:r>
            <w:r>
              <w:rPr>
                <w:szCs w:val="24"/>
              </w:rPr>
              <w:t xml:space="preserve">tarnybinio naudojimo informacijos klausimą spręsti sistemiškai ir visos informacijos apsaugą reguliuoti Valstybės ir tarnybos paslapčių įstatyme (toliau – VTPĮ) dėl šių priežasčių: </w:t>
            </w:r>
          </w:p>
          <w:p w14:paraId="3DF967ED" w14:textId="77777777" w:rsidR="00DD3308" w:rsidRDefault="00DD3308" w:rsidP="009134DE">
            <w:pPr>
              <w:pStyle w:val="Standard"/>
              <w:numPr>
                <w:ilvl w:val="0"/>
                <w:numId w:val="3"/>
              </w:numPr>
              <w:tabs>
                <w:tab w:val="left" w:pos="601"/>
              </w:tabs>
              <w:spacing w:after="0" w:line="240" w:lineRule="auto"/>
              <w:ind w:left="0" w:firstLine="357"/>
              <w:jc w:val="both"/>
              <w:rPr>
                <w:szCs w:val="24"/>
              </w:rPr>
            </w:pPr>
            <w:r>
              <w:rPr>
                <w:szCs w:val="24"/>
              </w:rPr>
              <w:t>Siūlymas VTPĮ sureguliuoti tarnybinio naudojimo informaciją buvo teiktas 2016 m. rengiant naują VTPĮ redakciją. Svarstant VTPĮ projektą Seime, šie siūlymai buvo atmesti. Pagrindinis argumentas – tarnybinio naudojimo informacijos žyma yra ne VTPĮ reguliavimo dalykas.</w:t>
            </w:r>
          </w:p>
          <w:p w14:paraId="3DF967EE" w14:textId="392DF46E" w:rsidR="00DD3308" w:rsidRDefault="00DD3308" w:rsidP="009134DE">
            <w:pPr>
              <w:pStyle w:val="Standard"/>
              <w:numPr>
                <w:ilvl w:val="0"/>
                <w:numId w:val="3"/>
              </w:numPr>
              <w:tabs>
                <w:tab w:val="left" w:pos="601"/>
              </w:tabs>
              <w:spacing w:after="0" w:line="240" w:lineRule="auto"/>
              <w:ind w:left="0" w:firstLine="357"/>
              <w:jc w:val="both"/>
              <w:rPr>
                <w:szCs w:val="24"/>
              </w:rPr>
            </w:pPr>
            <w:r>
              <w:rPr>
                <w:szCs w:val="24"/>
              </w:rPr>
              <w:t>Pagal NATO ir E</w:t>
            </w:r>
            <w:r w:rsidR="009134DE">
              <w:rPr>
                <w:szCs w:val="24"/>
              </w:rPr>
              <w:t xml:space="preserve">uropos </w:t>
            </w:r>
            <w:r>
              <w:rPr>
                <w:szCs w:val="24"/>
              </w:rPr>
              <w:t>S</w:t>
            </w:r>
            <w:r w:rsidR="009134DE">
              <w:rPr>
                <w:szCs w:val="24"/>
              </w:rPr>
              <w:t>ąjungos</w:t>
            </w:r>
            <w:r>
              <w:rPr>
                <w:szCs w:val="24"/>
              </w:rPr>
              <w:t xml:space="preserve"> reglamentavimą tarnybinio naudojimo informacijos apsaugos ir jos teikimo taisyklės yra atskirtos nuo įslaptintos informacijos apsaugos reguliavimo.</w:t>
            </w:r>
          </w:p>
          <w:p w14:paraId="3DF967EF" w14:textId="77777777" w:rsidR="00DB4BAB" w:rsidRDefault="00DD3308" w:rsidP="009134DE">
            <w:pPr>
              <w:pStyle w:val="Standard"/>
              <w:numPr>
                <w:ilvl w:val="0"/>
                <w:numId w:val="3"/>
              </w:numPr>
              <w:tabs>
                <w:tab w:val="left" w:pos="601"/>
              </w:tabs>
              <w:spacing w:after="0" w:line="240" w:lineRule="auto"/>
              <w:ind w:left="0" w:firstLine="357"/>
              <w:jc w:val="both"/>
              <w:rPr>
                <w:rFonts w:eastAsia="Times New Roman"/>
                <w:szCs w:val="24"/>
              </w:rPr>
            </w:pPr>
            <w:r>
              <w:rPr>
                <w:rFonts w:eastAsia="Times New Roman"/>
                <w:szCs w:val="24"/>
              </w:rPr>
              <w:t xml:space="preserve">Kiti sisteminio tarnybinės informacijos sureguliavimo būdai buvo analizuoti vykdant Ministro Pirmininko 2018 m. gruodžio 3 d. pavedimą Nr. S-4225, buvo parengtos Visuomenės informavimo įstatymo ir Teisės gauti informaciją iš valstybės ir savivaldybių institucijų ir įstaigų įstatymo pataisos, įteisinančios valstybės institucijų tarnybinio naudojimo informacijos kategoriją. Po </w:t>
            </w:r>
            <w:r>
              <w:rPr>
                <w:rFonts w:eastAsia="Times New Roman"/>
                <w:szCs w:val="24"/>
              </w:rPr>
              <w:lastRenderedPageBreak/>
              <w:t>diskusijų su suinteresuotais subjektais siūlymų keisti minėtus įstatymus buvo atsisakyta.</w:t>
            </w:r>
          </w:p>
          <w:p w14:paraId="3DF967F0" w14:textId="79C7DEA1" w:rsidR="00DD3308" w:rsidRPr="00DB4BAB" w:rsidRDefault="00DD3308" w:rsidP="009134DE">
            <w:pPr>
              <w:pStyle w:val="Standard"/>
              <w:numPr>
                <w:ilvl w:val="0"/>
                <w:numId w:val="3"/>
              </w:numPr>
              <w:tabs>
                <w:tab w:val="left" w:pos="601"/>
              </w:tabs>
              <w:spacing w:after="0" w:line="240" w:lineRule="auto"/>
              <w:ind w:left="0" w:firstLine="357"/>
              <w:jc w:val="both"/>
              <w:rPr>
                <w:rFonts w:eastAsia="Times New Roman"/>
                <w:szCs w:val="24"/>
              </w:rPr>
            </w:pPr>
            <w:r>
              <w:t xml:space="preserve">Visuomenės informavimo įstatymo 18 straipsnis leidžia viešosios informacijos rengėjams ir (ar) skleidėjams, kitiems asmenims neteikti informacijos, kurią teikti draudžia kiti įstatymai, nes jos suteikimas pakenktų valstybės saugumo ir gynybos interesams. Atsižvelgiant į šią </w:t>
            </w:r>
            <w:r w:rsidRPr="009134DE">
              <w:t>normą, Į</w:t>
            </w:r>
            <w:r w:rsidR="009134DE" w:rsidRPr="009134DE">
              <w:t>statyme</w:t>
            </w:r>
            <w:r w:rsidRPr="009134DE">
              <w:t>, kaip</w:t>
            </w:r>
            <w:r>
              <w:t xml:space="preserve"> specialiame įstatyme, yra siūloma numatyti krašto apsaugos sistemoje saugotinos, kitiems asmenims neteikiamos informacijos institutą.</w:t>
            </w:r>
          </w:p>
        </w:tc>
      </w:tr>
    </w:tbl>
    <w:p w14:paraId="3DF967F2" w14:textId="77777777" w:rsidR="00D2766D" w:rsidRDefault="00D2766D">
      <w:pPr>
        <w:pStyle w:val="Standard"/>
      </w:pPr>
    </w:p>
    <w:sectPr w:rsidR="00D2766D" w:rsidSect="009134DE">
      <w:headerReference w:type="default" r:id="rId7"/>
      <w:headerReference w:type="first" r:id="rId8"/>
      <w:pgSz w:w="16838" w:h="11906" w:orient="landscape"/>
      <w:pgMar w:top="1701" w:right="567" w:bottom="1134" w:left="1134" w:header="720"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9E190" w14:textId="77777777" w:rsidR="000E0964" w:rsidRDefault="000E0964">
      <w:pPr>
        <w:spacing w:after="0" w:line="240" w:lineRule="auto"/>
      </w:pPr>
      <w:r>
        <w:separator/>
      </w:r>
    </w:p>
  </w:endnote>
  <w:endnote w:type="continuationSeparator" w:id="0">
    <w:p w14:paraId="50405006" w14:textId="77777777" w:rsidR="000E0964" w:rsidRDefault="000E0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063B8" w14:textId="77777777" w:rsidR="000E0964" w:rsidRDefault="000E0964">
      <w:pPr>
        <w:spacing w:after="0" w:line="240" w:lineRule="auto"/>
      </w:pPr>
      <w:r>
        <w:rPr>
          <w:color w:val="000000"/>
        </w:rPr>
        <w:separator/>
      </w:r>
    </w:p>
  </w:footnote>
  <w:footnote w:type="continuationSeparator" w:id="0">
    <w:p w14:paraId="26797ED5" w14:textId="77777777" w:rsidR="000E0964" w:rsidRDefault="000E0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041271"/>
      <w:docPartObj>
        <w:docPartGallery w:val="Page Numbers (Top of Page)"/>
        <w:docPartUnique/>
      </w:docPartObj>
    </w:sdtPr>
    <w:sdtEndPr>
      <w:rPr>
        <w:noProof/>
      </w:rPr>
    </w:sdtEndPr>
    <w:sdtContent>
      <w:p w14:paraId="66064F87" w14:textId="5DEAF423" w:rsidR="009134DE" w:rsidRDefault="009134DE">
        <w:pPr>
          <w:pStyle w:val="Header"/>
          <w:jc w:val="center"/>
        </w:pPr>
        <w:r>
          <w:fldChar w:fldCharType="begin"/>
        </w:r>
        <w:r>
          <w:instrText xml:space="preserve"> PAGE   \* MERGEFORMAT </w:instrText>
        </w:r>
        <w:r>
          <w:fldChar w:fldCharType="separate"/>
        </w:r>
        <w:r w:rsidR="00AE7C22">
          <w:rPr>
            <w:noProof/>
          </w:rPr>
          <w:t>2</w:t>
        </w:r>
        <w:r>
          <w:rPr>
            <w:noProof/>
          </w:rPr>
          <w:fldChar w:fldCharType="end"/>
        </w:r>
      </w:p>
    </w:sdtContent>
  </w:sdt>
  <w:p w14:paraId="3DF967F7" w14:textId="3286520B" w:rsidR="0027641B" w:rsidRDefault="000E0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29836"/>
      <w:docPartObj>
        <w:docPartGallery w:val="Page Numbers (Top of Page)"/>
        <w:docPartUnique/>
      </w:docPartObj>
    </w:sdtPr>
    <w:sdtEndPr>
      <w:rPr>
        <w:noProof/>
      </w:rPr>
    </w:sdtEndPr>
    <w:sdtContent>
      <w:p w14:paraId="0192AB53" w14:textId="7E564BFA" w:rsidR="009134DE" w:rsidRDefault="000E0964">
        <w:pPr>
          <w:pStyle w:val="Header"/>
          <w:jc w:val="center"/>
        </w:pPr>
      </w:p>
    </w:sdtContent>
  </w:sdt>
  <w:p w14:paraId="75AA4703" w14:textId="77777777" w:rsidR="009134DE" w:rsidRDefault="00913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84745"/>
    <w:multiLevelType w:val="multilevel"/>
    <w:tmpl w:val="C4766A12"/>
    <w:styleLink w:val="WWNum1"/>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 w15:restartNumberingAfterBreak="0">
    <w:nsid w:val="4CAB73A3"/>
    <w:multiLevelType w:val="multilevel"/>
    <w:tmpl w:val="1012C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FB1E71"/>
    <w:multiLevelType w:val="multilevel"/>
    <w:tmpl w:val="0BCA9D62"/>
    <w:styleLink w:val="WWNum2"/>
    <w:lvl w:ilvl="0">
      <w:start w:val="1"/>
      <w:numFmt w:val="japaneseCounting"/>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66D"/>
    <w:rsid w:val="000E0964"/>
    <w:rsid w:val="00285F1D"/>
    <w:rsid w:val="002E1311"/>
    <w:rsid w:val="003678C0"/>
    <w:rsid w:val="003D6DD2"/>
    <w:rsid w:val="003E166A"/>
    <w:rsid w:val="0041420C"/>
    <w:rsid w:val="004F5D22"/>
    <w:rsid w:val="00666B4A"/>
    <w:rsid w:val="00894573"/>
    <w:rsid w:val="009134DE"/>
    <w:rsid w:val="00940329"/>
    <w:rsid w:val="00A047DB"/>
    <w:rsid w:val="00A673CA"/>
    <w:rsid w:val="00AE7C22"/>
    <w:rsid w:val="00B304F7"/>
    <w:rsid w:val="00BA1308"/>
    <w:rsid w:val="00C508F6"/>
    <w:rsid w:val="00D2766D"/>
    <w:rsid w:val="00D2775A"/>
    <w:rsid w:val="00DB4BAB"/>
    <w:rsid w:val="00DD3308"/>
    <w:rsid w:val="00E5177E"/>
    <w:rsid w:val="00EE69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67DF"/>
  <w15:docId w15:val="{063A3010-1F75-4789-8426-4D3727D4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lt-LT"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Times New Roman" w:eastAsia="Calibri" w:hAnsi="Times New Roman" w:cs="Times New Roman"/>
      <w:sz w:val="24"/>
    </w:rPr>
  </w:style>
  <w:style w:type="paragraph" w:styleId="Title">
    <w:name w:val="Title"/>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styleId="EndnoteText">
    <w:name w:val="endnote text"/>
    <w:basedOn w:val="Standard"/>
    <w:pPr>
      <w:spacing w:after="0" w:line="240" w:lineRule="auto"/>
    </w:pPr>
    <w:rPr>
      <w:sz w:val="20"/>
      <w:szCs w:val="20"/>
    </w:rPr>
  </w:style>
  <w:style w:type="paragraph" w:styleId="ListParagraph">
    <w:name w:val="List Paragraph"/>
    <w:basedOn w:val="Standard"/>
    <w:pPr>
      <w:spacing w:after="0" w:line="240" w:lineRule="auto"/>
      <w:ind w:left="720"/>
    </w:pPr>
    <w:rPr>
      <w:rFonts w:eastAsia="Times New Roman"/>
      <w:szCs w:val="24"/>
      <w:lang w:eastAsia="lt-LT"/>
    </w:rPr>
  </w:style>
  <w:style w:type="paragraph" w:styleId="CommentText">
    <w:name w:val="annotation text"/>
    <w:basedOn w:val="Standard"/>
    <w:pPr>
      <w:spacing w:after="0" w:line="240" w:lineRule="auto"/>
    </w:pPr>
    <w:rPr>
      <w:rFonts w:eastAsia="Times New Roman"/>
      <w:sz w:val="20"/>
      <w:szCs w:val="20"/>
    </w:rPr>
  </w:style>
  <w:style w:type="paragraph" w:styleId="BalloonText">
    <w:name w:val="Balloon Text"/>
    <w:basedOn w:val="Standard"/>
    <w:pPr>
      <w:spacing w:after="0" w:line="240" w:lineRule="auto"/>
    </w:pPr>
    <w:rPr>
      <w:rFonts w:ascii="Tahoma" w:hAnsi="Tahoma" w:cs="Tahoma"/>
      <w:sz w:val="16"/>
      <w:szCs w:val="16"/>
    </w:rPr>
  </w:style>
  <w:style w:type="paragraph" w:customStyle="1" w:styleId="KTpunkt">
    <w:name w:val="KT punkt"/>
    <w:basedOn w:val="Standard"/>
    <w:pPr>
      <w:spacing w:after="0" w:line="240" w:lineRule="auto"/>
      <w:ind w:firstLine="567"/>
      <w:jc w:val="both"/>
    </w:pPr>
    <w:rPr>
      <w:rFonts w:cs="F"/>
    </w:rPr>
  </w:style>
  <w:style w:type="paragraph" w:styleId="FootnoteText">
    <w:name w:val="footnote text"/>
    <w:basedOn w:val="Standard"/>
    <w:pPr>
      <w:spacing w:after="0" w:line="240" w:lineRule="auto"/>
      <w:jc w:val="both"/>
    </w:pPr>
    <w:rPr>
      <w:rFonts w:cs="F"/>
      <w:sz w:val="20"/>
      <w:szCs w:val="20"/>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CommentSubject">
    <w:name w:val="annotation subject"/>
    <w:basedOn w:val="CommentText"/>
    <w:pPr>
      <w:spacing w:after="200"/>
    </w:pPr>
    <w:rPr>
      <w:rFonts w:eastAsia="Calibri"/>
      <w:b/>
      <w:bCs/>
    </w:rPr>
  </w:style>
  <w:style w:type="paragraph" w:styleId="Header">
    <w:name w:val="header"/>
    <w:basedOn w:val="Standard"/>
    <w:uiPriority w:val="99"/>
    <w:pPr>
      <w:suppressLineNumbers/>
      <w:tabs>
        <w:tab w:val="center" w:pos="4819"/>
        <w:tab w:val="right" w:pos="9638"/>
      </w:tabs>
      <w:spacing w:after="0" w:line="240" w:lineRule="auto"/>
    </w:pPr>
  </w:style>
  <w:style w:type="paragraph" w:styleId="Footer">
    <w:name w:val="footer"/>
    <w:basedOn w:val="Standard"/>
    <w:pPr>
      <w:suppressLineNumbers/>
      <w:tabs>
        <w:tab w:val="center" w:pos="4819"/>
        <w:tab w:val="right" w:pos="9638"/>
      </w:tabs>
      <w:spacing w:after="0" w:line="240" w:lineRule="auto"/>
    </w:pPr>
  </w:style>
  <w:style w:type="character" w:customStyle="1" w:styleId="EndnoteTextChar">
    <w:name w:val="Endnote Text Char"/>
    <w:basedOn w:val="DefaultParagraphFont"/>
    <w:rPr>
      <w:sz w:val="20"/>
      <w:szCs w:val="20"/>
    </w:rPr>
  </w:style>
  <w:style w:type="character" w:styleId="EndnoteReference">
    <w:name w:val="endnote reference"/>
    <w:basedOn w:val="DefaultParagraphFont"/>
    <w:rPr>
      <w:position w:val="0"/>
      <w:vertAlign w:val="superscript"/>
    </w:rPr>
  </w:style>
  <w:style w:type="character" w:customStyle="1" w:styleId="CommentTextChar">
    <w:name w:val="Comment Text Char"/>
    <w:basedOn w:val="DefaultParagraphFont"/>
    <w:rPr>
      <w:rFonts w:ascii="Times New Roman" w:eastAsia="Times New Roman" w:hAnsi="Times New Roman" w:cs="Times New Roman"/>
      <w:sz w:val="20"/>
      <w:szCs w:val="20"/>
    </w:rPr>
  </w:style>
  <w:style w:type="character" w:styleId="Emphasis">
    <w:name w:val="Emphasis"/>
    <w:basedOn w:val="DefaultParagraphFont"/>
    <w:rPr>
      <w:rFonts w:ascii="Times New Roman" w:hAnsi="Times New Roman"/>
      <w:i w:val="0"/>
      <w:iCs/>
      <w:sz w:val="24"/>
    </w:rPr>
  </w:style>
  <w:style w:type="character" w:customStyle="1" w:styleId="BalloonTextChar">
    <w:name w:val="Balloon Text Char"/>
    <w:basedOn w:val="DefaultParagraphFont"/>
    <w:rPr>
      <w:rFonts w:ascii="Tahoma" w:eastAsia="Calibri" w:hAnsi="Tahoma" w:cs="Tahoma"/>
      <w:sz w:val="16"/>
      <w:szCs w:val="16"/>
    </w:rPr>
  </w:style>
  <w:style w:type="character" w:customStyle="1" w:styleId="KTpunktChar">
    <w:name w:val="KT punkt Char"/>
    <w:basedOn w:val="DefaultParagraphFont"/>
    <w:rPr>
      <w:rFonts w:ascii="Times New Roman" w:hAnsi="Times New Roman"/>
      <w:sz w:val="24"/>
    </w:rPr>
  </w:style>
  <w:style w:type="character" w:customStyle="1" w:styleId="FootnoteTextChar">
    <w:name w:val="Footnote Text Char"/>
    <w:basedOn w:val="DefaultParagraphFont"/>
    <w:rPr>
      <w:rFonts w:ascii="Times New Roman" w:hAnsi="Times New Roman"/>
      <w:sz w:val="20"/>
      <w:szCs w:val="20"/>
    </w:rPr>
  </w:style>
  <w:style w:type="character" w:styleId="FootnoteReference">
    <w:name w:val="footnote reference"/>
    <w:basedOn w:val="DefaultParagraphFont"/>
    <w:rPr>
      <w:position w:val="0"/>
      <w:vertAlign w:val="superscript"/>
    </w:rPr>
  </w:style>
  <w:style w:type="character" w:customStyle="1" w:styleId="Internetlink">
    <w:name w:val="Internet 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annotation reference"/>
    <w:basedOn w:val="DefaultParagraphFont"/>
    <w:rPr>
      <w:sz w:val="16"/>
      <w:szCs w:val="16"/>
    </w:rPr>
  </w:style>
  <w:style w:type="character" w:customStyle="1" w:styleId="CommentSubjectChar">
    <w:name w:val="Comment Subject Char"/>
    <w:basedOn w:val="CommentTextChar"/>
    <w:rPr>
      <w:rFonts w:ascii="Times New Roman" w:eastAsia="Calibri" w:hAnsi="Times New Roman" w:cs="Times New Roman"/>
      <w:b/>
      <w:bCs/>
      <w:sz w:val="20"/>
      <w:szCs w:val="20"/>
    </w:rPr>
  </w:style>
  <w:style w:type="character" w:customStyle="1" w:styleId="HeaderChar">
    <w:name w:val="Header Char"/>
    <w:basedOn w:val="DefaultParagraphFont"/>
    <w:uiPriority w:val="99"/>
    <w:rPr>
      <w:rFonts w:ascii="Times New Roman" w:eastAsia="Calibri" w:hAnsi="Times New Roman" w:cs="Times New Roman"/>
      <w:sz w:val="24"/>
    </w:rPr>
  </w:style>
  <w:style w:type="character" w:customStyle="1" w:styleId="FooterChar">
    <w:name w:val="Footer Char"/>
    <w:basedOn w:val="DefaultParagraphFont"/>
    <w:rPr>
      <w:rFonts w:ascii="Times New Roman" w:eastAsia="Calibri" w:hAnsi="Times New Roman" w:cs="Times New Roman"/>
      <w:sz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3269</Words>
  <Characters>1864</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2020-06-19T11:45:00Z</dcterms:created>
  <dc:creator>Mantas Keliotis</dc:creator>
  <cp:lastModifiedBy>Mantas Keliotis</cp:lastModifiedBy>
  <cp:lastPrinted>2018-09-13T05:21:00Z</cp:lastPrinted>
  <dcterms:modified xsi:type="dcterms:W3CDTF">2020-06-19T11:45:00Z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