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30" w:rsidRDefault="00B25230"/>
    <w:tbl>
      <w:tblPr>
        <w:tblW w:w="95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D74117" w:rsidRPr="00C215DC" w:rsidTr="009B1563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:rsidR="00D74117" w:rsidRDefault="00D74117" w:rsidP="009B1563">
            <w:r>
              <w:t>Lietuvos Respublikos finansų ministerijos</w:t>
            </w:r>
          </w:p>
          <w:p w:rsidR="00D74117" w:rsidRPr="00597382" w:rsidRDefault="00D74117" w:rsidP="009B1563">
            <w:r>
              <w:t>Biudžeto departamentui</w:t>
            </w:r>
          </w:p>
        </w:tc>
        <w:tc>
          <w:tcPr>
            <w:tcW w:w="1417" w:type="dxa"/>
          </w:tcPr>
          <w:p w:rsidR="00D74117" w:rsidRPr="00C215DC" w:rsidRDefault="00D74117" w:rsidP="009B1563">
            <w:r>
              <w:t xml:space="preserve">    2020-0</w:t>
            </w:r>
            <w:r w:rsidR="00011BCB">
              <w:t>6</w:t>
            </w:r>
            <w:r w:rsidR="00DE69A3">
              <w:t>-</w:t>
            </w:r>
            <w:r w:rsidR="00EA2151">
              <w:t>09</w:t>
            </w:r>
            <w:r>
              <w:t xml:space="preserve"> </w:t>
            </w:r>
          </w:p>
        </w:tc>
        <w:tc>
          <w:tcPr>
            <w:tcW w:w="426" w:type="dxa"/>
          </w:tcPr>
          <w:p w:rsidR="00D74117" w:rsidRPr="00C215DC" w:rsidRDefault="00D74117" w:rsidP="009B1563">
            <w:r>
              <w:t xml:space="preserve"> </w:t>
            </w:r>
            <w:r w:rsidRPr="00C215DC">
              <w:t>Nr.</w:t>
            </w:r>
          </w:p>
        </w:tc>
        <w:tc>
          <w:tcPr>
            <w:tcW w:w="2954" w:type="dxa"/>
          </w:tcPr>
          <w:p w:rsidR="00D74117" w:rsidRPr="00C215DC" w:rsidRDefault="00D74117" w:rsidP="009B1563">
            <w:r>
              <w:t xml:space="preserve">( 9.3.3-12) </w:t>
            </w:r>
            <w:r w:rsidRPr="004058B2">
              <w:t>10-</w:t>
            </w:r>
            <w:r w:rsidR="00EA2151">
              <w:t>4422</w:t>
            </w:r>
          </w:p>
        </w:tc>
      </w:tr>
      <w:tr w:rsidR="00D74117" w:rsidRPr="00C215DC" w:rsidTr="009B1563">
        <w:trPr>
          <w:cantSplit/>
          <w:trHeight w:val="270"/>
          <w:jc w:val="center"/>
        </w:trPr>
        <w:tc>
          <w:tcPr>
            <w:tcW w:w="4800" w:type="dxa"/>
            <w:vMerge/>
          </w:tcPr>
          <w:p w:rsidR="00D74117" w:rsidRPr="00C215DC" w:rsidRDefault="00D74117" w:rsidP="009B1563">
            <w:pPr>
              <w:ind w:right="708"/>
            </w:pPr>
          </w:p>
        </w:tc>
        <w:tc>
          <w:tcPr>
            <w:tcW w:w="1417" w:type="dxa"/>
          </w:tcPr>
          <w:p w:rsidR="00D74117" w:rsidRPr="00C215DC" w:rsidRDefault="00D74117" w:rsidP="009B1563">
            <w:pPr>
              <w:ind w:right="-142"/>
            </w:pPr>
          </w:p>
        </w:tc>
        <w:tc>
          <w:tcPr>
            <w:tcW w:w="426" w:type="dxa"/>
          </w:tcPr>
          <w:p w:rsidR="00D74117" w:rsidRPr="00C215DC" w:rsidRDefault="00D74117" w:rsidP="009B1563"/>
        </w:tc>
        <w:tc>
          <w:tcPr>
            <w:tcW w:w="2954" w:type="dxa"/>
          </w:tcPr>
          <w:p w:rsidR="00D74117" w:rsidRPr="00C215DC" w:rsidRDefault="00D74117" w:rsidP="009B1563"/>
        </w:tc>
      </w:tr>
      <w:tr w:rsidR="00D74117" w:rsidRPr="00C215DC" w:rsidTr="009B1563">
        <w:trPr>
          <w:cantSplit/>
          <w:trHeight w:val="270"/>
          <w:jc w:val="center"/>
        </w:trPr>
        <w:tc>
          <w:tcPr>
            <w:tcW w:w="4800" w:type="dxa"/>
            <w:vMerge/>
          </w:tcPr>
          <w:p w:rsidR="00D74117" w:rsidRPr="00C215DC" w:rsidRDefault="00D74117" w:rsidP="009B1563">
            <w:pPr>
              <w:ind w:right="708"/>
            </w:pPr>
          </w:p>
        </w:tc>
        <w:tc>
          <w:tcPr>
            <w:tcW w:w="1417" w:type="dxa"/>
          </w:tcPr>
          <w:p w:rsidR="00D74117" w:rsidRPr="00C215DC" w:rsidRDefault="00D74117" w:rsidP="009B1563">
            <w:pPr>
              <w:ind w:right="-142"/>
            </w:pPr>
          </w:p>
        </w:tc>
        <w:tc>
          <w:tcPr>
            <w:tcW w:w="426" w:type="dxa"/>
          </w:tcPr>
          <w:p w:rsidR="00D74117" w:rsidRPr="00C215DC" w:rsidRDefault="00D74117" w:rsidP="009B1563"/>
        </w:tc>
        <w:tc>
          <w:tcPr>
            <w:tcW w:w="2954" w:type="dxa"/>
          </w:tcPr>
          <w:p w:rsidR="00D74117" w:rsidRPr="00C215DC" w:rsidRDefault="00D74117" w:rsidP="009B1563"/>
        </w:tc>
      </w:tr>
    </w:tbl>
    <w:p w:rsidR="00D74117" w:rsidRPr="00CB42D1" w:rsidRDefault="00D74117" w:rsidP="00B25230">
      <w:pPr>
        <w:tabs>
          <w:tab w:val="left" w:pos="1260"/>
          <w:tab w:val="left" w:pos="7545"/>
        </w:tabs>
        <w:ind w:right="140"/>
        <w:rPr>
          <w:b/>
          <w:bCs/>
        </w:rPr>
      </w:pPr>
      <w:r w:rsidRPr="00CB42D1">
        <w:rPr>
          <w:b/>
          <w:bCs/>
        </w:rPr>
        <w:t>DĖL 20</w:t>
      </w:r>
      <w:r>
        <w:rPr>
          <w:b/>
          <w:bCs/>
        </w:rPr>
        <w:t>20</w:t>
      </w:r>
      <w:r w:rsidRPr="00CB42D1">
        <w:rPr>
          <w:b/>
          <w:bCs/>
        </w:rPr>
        <w:t xml:space="preserve"> METŲ </w:t>
      </w:r>
      <w:r>
        <w:rPr>
          <w:b/>
          <w:bCs/>
        </w:rPr>
        <w:t>ASIGNAVIMŲ PASKIRSTYMO PAGAL PROGRAMAS PAKEITIMO</w:t>
      </w:r>
      <w:r w:rsidRPr="00CB42D1">
        <w:rPr>
          <w:b/>
          <w:bCs/>
        </w:rPr>
        <w:t xml:space="preserve"> </w:t>
      </w:r>
    </w:p>
    <w:p w:rsidR="00D74117" w:rsidRDefault="00D74117" w:rsidP="00B25230">
      <w:pPr>
        <w:pStyle w:val="Pagrindinistekstas3"/>
        <w:tabs>
          <w:tab w:val="left" w:pos="900"/>
        </w:tabs>
        <w:spacing w:after="0"/>
        <w:ind w:right="140"/>
        <w:jc w:val="both"/>
      </w:pPr>
      <w:r w:rsidRPr="00CB42D1">
        <w:rPr>
          <w:sz w:val="24"/>
          <w:szCs w:val="24"/>
        </w:rPr>
        <w:tab/>
      </w:r>
    </w:p>
    <w:p w:rsidR="00D74117" w:rsidRDefault="00D74117" w:rsidP="00924040">
      <w:pPr>
        <w:pStyle w:val="Pagrindinistekstas"/>
        <w:ind w:right="140"/>
      </w:pPr>
      <w:r>
        <w:t xml:space="preserve">          Sveikatos apsaugos ministerija (toliau – Ministerija) vadovaudamasi Lietuvos Respublikos Vyriausybės 2001 m. gegužės 14 d. nutarimo Nr. 543 „Dėl Lietuvos Respublikos valstybės biudžeto ir savivaldybių biudžetų sudarymo ir vykdymo taisyklių patvirtinimo“ 18 punktu, prašo įtraukti siūlymus į </w:t>
      </w:r>
      <w:r w:rsidRPr="00CA6648">
        <w:t xml:space="preserve">Lietuvos Respublikos Vyriausybės nutarimo ,,Dėl Lietuvos Respublikos Vyriausybės </w:t>
      </w:r>
      <w:r w:rsidRPr="00D74117">
        <w:t>2020 m. vasario 12 d. nutarimo Nr. 108</w:t>
      </w:r>
      <w:r>
        <w:t xml:space="preserve"> </w:t>
      </w:r>
      <w:r w:rsidRPr="00CA6648">
        <w:t>,,Dėl 20</w:t>
      </w:r>
      <w:r>
        <w:t>20</w:t>
      </w:r>
      <w:r w:rsidRPr="00CA6648">
        <w:t xml:space="preserve"> metų Lietuvos Respublikos valstybės biudžeto patvirtintų asignavimų paskirstymo pagal programas“ pakeitimo projektą</w:t>
      </w:r>
      <w:r>
        <w:t xml:space="preserve"> pagal lentelę: </w:t>
      </w:r>
    </w:p>
    <w:p w:rsidR="00B25230" w:rsidRDefault="00B25230" w:rsidP="00B25230">
      <w:pPr>
        <w:pStyle w:val="Pagrindinistekstas"/>
        <w:ind w:right="140"/>
      </w:pPr>
    </w:p>
    <w:tbl>
      <w:tblPr>
        <w:tblW w:w="9214" w:type="dxa"/>
        <w:tblInd w:w="118" w:type="dxa"/>
        <w:tblLook w:val="04A0" w:firstRow="1" w:lastRow="0" w:firstColumn="1" w:lastColumn="0" w:noHBand="0" w:noVBand="1"/>
      </w:tblPr>
      <w:tblGrid>
        <w:gridCol w:w="1310"/>
        <w:gridCol w:w="1539"/>
        <w:gridCol w:w="1401"/>
        <w:gridCol w:w="1371"/>
        <w:gridCol w:w="1201"/>
        <w:gridCol w:w="1468"/>
        <w:gridCol w:w="924"/>
      </w:tblGrid>
      <w:tr w:rsidR="00D74117" w:rsidRPr="00402AB2" w:rsidTr="00B25230">
        <w:trPr>
          <w:trHeight w:val="330"/>
        </w:trPr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784608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Programos kodas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784608">
            <w:pPr>
              <w:ind w:left="-126" w:right="140" w:firstLine="126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Programos pavadinimas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84608" w:rsidRDefault="00784608" w:rsidP="00784608">
            <w:pPr>
              <w:ind w:right="140"/>
              <w:rPr>
                <w:sz w:val="22"/>
                <w:szCs w:val="22"/>
                <w:lang w:eastAsia="lt-LT"/>
              </w:rPr>
            </w:pPr>
          </w:p>
          <w:p w:rsidR="00D74117" w:rsidRPr="00D74117" w:rsidRDefault="00784608" w:rsidP="00784608">
            <w:pPr>
              <w:ind w:right="14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Valstybės </w:t>
            </w:r>
            <w:r w:rsidR="00D74117">
              <w:rPr>
                <w:sz w:val="22"/>
                <w:szCs w:val="22"/>
                <w:lang w:eastAsia="lt-LT"/>
              </w:rPr>
              <w:t>funkcija</w:t>
            </w:r>
          </w:p>
        </w:tc>
        <w:tc>
          <w:tcPr>
            <w:tcW w:w="13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iš viso asignavimų</w:t>
            </w:r>
          </w:p>
        </w:tc>
        <w:tc>
          <w:tcPr>
            <w:tcW w:w="35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iš jų</w:t>
            </w:r>
          </w:p>
        </w:tc>
      </w:tr>
      <w:tr w:rsidR="00D74117" w:rsidRPr="00402AB2" w:rsidTr="00B25230">
        <w:trPr>
          <w:trHeight w:val="330"/>
        </w:trPr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išlaidoms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iš jų</w:t>
            </w:r>
          </w:p>
        </w:tc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turtui įsigyti</w:t>
            </w:r>
          </w:p>
        </w:tc>
      </w:tr>
      <w:tr w:rsidR="00D74117" w:rsidRPr="00402AB2" w:rsidTr="00B25230">
        <w:trPr>
          <w:trHeight w:val="461"/>
        </w:trPr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117" w:rsidRPr="00402AB2" w:rsidRDefault="00D74117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darbo užmokesčiui</w:t>
            </w:r>
          </w:p>
        </w:tc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117" w:rsidRPr="00402AB2" w:rsidRDefault="00D74117" w:rsidP="00B25230">
            <w:pPr>
              <w:ind w:right="140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C03B6F" w:rsidRPr="00402AB2" w:rsidTr="00B25230">
        <w:trPr>
          <w:trHeight w:val="313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6F" w:rsidRPr="00402AB2" w:rsidRDefault="00C03B6F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0</w:t>
            </w:r>
            <w:r w:rsidR="00011BCB"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402AB2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011BCB">
              <w:rPr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B6F" w:rsidRPr="00402AB2" w:rsidRDefault="00011BCB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Sveikatos sistemos valdymas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3" w:rsidRDefault="00FA38A3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</w:p>
          <w:p w:rsidR="00C03B6F" w:rsidRPr="00FA38A3" w:rsidRDefault="00FA38A3" w:rsidP="00B25230">
            <w:pPr>
              <w:ind w:right="14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FA38A3">
              <w:rPr>
                <w:sz w:val="22"/>
                <w:szCs w:val="22"/>
                <w:lang w:eastAsia="lt-LT"/>
              </w:rPr>
              <w:t>07.0</w:t>
            </w:r>
            <w:r w:rsidR="00011BCB">
              <w:rPr>
                <w:sz w:val="22"/>
                <w:szCs w:val="22"/>
                <w:lang w:eastAsia="lt-LT"/>
              </w:rPr>
              <w:t>6</w:t>
            </w:r>
            <w:r w:rsidRPr="00FA38A3">
              <w:rPr>
                <w:sz w:val="22"/>
                <w:szCs w:val="22"/>
                <w:lang w:eastAsia="lt-LT"/>
              </w:rPr>
              <w:t>.01.02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B6F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-3</w:t>
            </w:r>
            <w:r w:rsidR="00011BCB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B6F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-3</w:t>
            </w:r>
            <w:r w:rsidR="00011BCB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B6F" w:rsidRPr="009F67EC" w:rsidRDefault="00011BCB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3B6F" w:rsidRPr="009F67EC" w:rsidRDefault="00011BCB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3B49AD" w:rsidRPr="00402AB2" w:rsidTr="00B25230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AD" w:rsidRPr="00402AB2" w:rsidRDefault="003B49AD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02AB2">
              <w:rPr>
                <w:color w:val="000000"/>
                <w:sz w:val="22"/>
                <w:szCs w:val="22"/>
                <w:lang w:eastAsia="lt-LT"/>
              </w:rPr>
              <w:t>02 2</w:t>
            </w:r>
            <w:r w:rsidR="00F64D6C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AD" w:rsidRPr="00402AB2" w:rsidRDefault="00FA38A3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Asmens sveikatos priežiūros kokybės užtikrinimas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3" w:rsidRDefault="00FA38A3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</w:p>
          <w:p w:rsidR="00B25230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</w:p>
          <w:p w:rsidR="003B49AD" w:rsidRPr="003B49AD" w:rsidRDefault="003B49AD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07.06.01.02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9AD" w:rsidRPr="009F67EC" w:rsidRDefault="009F67EC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+</w:t>
            </w:r>
            <w:r w:rsidR="00B25230" w:rsidRPr="009F67EC">
              <w:rPr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9AD" w:rsidRPr="009F67EC" w:rsidRDefault="009F67EC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+</w:t>
            </w:r>
            <w:r w:rsidR="00B25230" w:rsidRPr="009F67EC">
              <w:rPr>
                <w:sz w:val="22"/>
                <w:szCs w:val="22"/>
                <w:lang w:eastAsia="lt-LT"/>
              </w:rPr>
              <w:t>3</w:t>
            </w:r>
            <w:r w:rsidR="00011BCB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9AD" w:rsidRPr="009F67EC" w:rsidRDefault="00011BCB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9AD" w:rsidRPr="009F67EC" w:rsidRDefault="00011BCB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FA38A3" w:rsidRPr="00402AB2" w:rsidTr="00B25230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402AB2" w:rsidRDefault="00FA38A3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38A3" w:rsidRPr="00402AB2" w:rsidRDefault="00FA38A3" w:rsidP="00B25230">
            <w:pPr>
              <w:ind w:right="14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3" w:rsidRDefault="00FA38A3" w:rsidP="00B25230">
            <w:pPr>
              <w:ind w:right="14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A3" w:rsidRPr="009F67EC" w:rsidRDefault="00B25230" w:rsidP="00B25230">
            <w:pPr>
              <w:ind w:right="140"/>
              <w:jc w:val="center"/>
              <w:rPr>
                <w:sz w:val="22"/>
                <w:szCs w:val="22"/>
                <w:lang w:eastAsia="lt-LT"/>
              </w:rPr>
            </w:pPr>
            <w:r w:rsidRPr="009F67EC">
              <w:rPr>
                <w:sz w:val="22"/>
                <w:szCs w:val="22"/>
                <w:lang w:eastAsia="lt-LT"/>
              </w:rPr>
              <w:t>0</w:t>
            </w:r>
          </w:p>
        </w:tc>
      </w:tr>
    </w:tbl>
    <w:p w:rsidR="00C94844" w:rsidRDefault="00C94844" w:rsidP="00784608">
      <w:pPr>
        <w:ind w:firstLine="709"/>
        <w:jc w:val="both"/>
      </w:pPr>
    </w:p>
    <w:p w:rsidR="004E2BE1" w:rsidRDefault="008603E6" w:rsidP="004E2BE1">
      <w:pPr>
        <w:ind w:firstLine="709"/>
        <w:jc w:val="both"/>
      </w:pPr>
      <w:r>
        <w:t xml:space="preserve">Ministerija </w:t>
      </w:r>
      <w:r w:rsidR="00F102F2">
        <w:t xml:space="preserve">atlikusi Nacionaliniam transplantacijos biure </w:t>
      </w:r>
      <w:r w:rsidR="00336E73">
        <w:t xml:space="preserve">(toliau – Biuras) </w:t>
      </w:r>
      <w:r w:rsidR="00F102F2">
        <w:t>auditą dėl Žmogaus audinių, ląstelių ir organų donorų bei recipientų registro</w:t>
      </w:r>
      <w:r w:rsidR="006777CA">
        <w:t xml:space="preserve"> (toliau – Registras)</w:t>
      </w:r>
      <w:r w:rsidR="00F102F2">
        <w:t>, nustatė, kad kaupia</w:t>
      </w:r>
      <w:r w:rsidR="006777CA">
        <w:t>mi</w:t>
      </w:r>
      <w:r w:rsidR="00F102F2">
        <w:t xml:space="preserve"> ir apdoroja</w:t>
      </w:r>
      <w:r w:rsidR="006777CA">
        <w:t xml:space="preserve">mi </w:t>
      </w:r>
      <w:r w:rsidR="00F102F2">
        <w:t xml:space="preserve">donorų ir recipientų duomenis ne Registre, </w:t>
      </w:r>
      <w:r w:rsidR="00526BD7">
        <w:t>o</w:t>
      </w:r>
      <w:r w:rsidR="00F102F2">
        <w:t xml:space="preserve"> Biuro darbuotojo</w:t>
      </w:r>
      <w:r w:rsidR="006777CA">
        <w:t xml:space="preserve"> kompiuteryje Microsoft </w:t>
      </w:r>
      <w:proofErr w:type="spellStart"/>
      <w:r w:rsidR="004E2BE1">
        <w:t>e</w:t>
      </w:r>
      <w:r w:rsidR="006777CA">
        <w:t>xsel</w:t>
      </w:r>
      <w:proofErr w:type="spellEnd"/>
      <w:r w:rsidR="006777CA">
        <w:t xml:space="preserve"> duomenų bazėje, </w:t>
      </w:r>
      <w:r w:rsidR="00526BD7">
        <w:t xml:space="preserve">kurie </w:t>
      </w:r>
      <w:r w:rsidR="006777CA">
        <w:t>gali būti prarasti arba atskleisti ko</w:t>
      </w:r>
      <w:r w:rsidR="004E2BE1">
        <w:t>n</w:t>
      </w:r>
      <w:r w:rsidR="006777CA">
        <w:t xml:space="preserve">fidencialūs donorų bei recipientų duomenys. Siekiant </w:t>
      </w:r>
      <w:r w:rsidR="00526BD7">
        <w:t>užtikrinti surinktų duomenų apie lytines ląsteles ir embrionus saugą, jų atsekamumą, Biurui būtina atlikti Registro plėtrą – inicijuoti lytinių ląstelių ir embriono modulio sukūrimą</w:t>
      </w:r>
      <w:r w:rsidR="004E2BE1">
        <w:t>, Ministerija, atsižvelgdama į asmens duomenų saugumą, siūlo perskirstyti Ministerijos vykdomos priemonės „</w:t>
      </w:r>
      <w:r w:rsidR="004E2BE1" w:rsidRPr="00C056E9">
        <w:t>Užtikrinti e. sveikatos paslaugų gyventojams, pacientams, sveikatos priežiūros įstaigoms ir specialistams plėtojimą</w:t>
      </w:r>
      <w:r w:rsidR="004E2BE1">
        <w:t xml:space="preserve">“ 18 tūkst. eurų ir skirti juos Biurui. </w:t>
      </w:r>
    </w:p>
    <w:p w:rsidR="00F102F2" w:rsidRDefault="00336E73" w:rsidP="00784608">
      <w:pPr>
        <w:ind w:firstLine="709"/>
        <w:jc w:val="both"/>
      </w:pPr>
      <w:r>
        <w:t>Taip pat Ministerija</w:t>
      </w:r>
      <w:r w:rsidR="00DA7C2C" w:rsidRPr="00DA7C2C">
        <w:t xml:space="preserve"> </w:t>
      </w:r>
      <w:r w:rsidR="00DA7C2C">
        <w:t xml:space="preserve">numatė skirti </w:t>
      </w:r>
      <w:r w:rsidR="00924040">
        <w:t xml:space="preserve">12 tūkst. eurų </w:t>
      </w:r>
      <w:r w:rsidR="00DA7C2C">
        <w:t>Biurui donorystės viešinimui</w:t>
      </w:r>
      <w:r w:rsidR="00924040">
        <w:t>. Galimybė atsirado</w:t>
      </w:r>
      <w:r w:rsidR="00DA7C2C">
        <w:t xml:space="preserve"> neįvykus planuotiems renginiams, atsižvelgus į esamą ekstremalią situaciją Lietuvoje dėl COVID-19 ligos</w:t>
      </w:r>
      <w:r w:rsidR="00924040">
        <w:t>.</w:t>
      </w:r>
      <w:r w:rsidR="00DA7C2C">
        <w:t xml:space="preserve"> </w:t>
      </w:r>
    </w:p>
    <w:p w:rsidR="00B25230" w:rsidRDefault="00B25230" w:rsidP="00B25230"/>
    <w:p w:rsidR="00B25230" w:rsidRDefault="00B25230" w:rsidP="00B25230">
      <w:r>
        <w:t xml:space="preserve">Asmens departamento direktorė, </w:t>
      </w:r>
    </w:p>
    <w:p w:rsidR="00B25230" w:rsidRDefault="00B25230" w:rsidP="00B25230">
      <w:pPr>
        <w:rPr>
          <w:rFonts w:ascii="Arial" w:hAnsi="Arial" w:cs="Arial"/>
        </w:rPr>
      </w:pPr>
      <w:r>
        <w:t xml:space="preserve">laikinai vykdanti ministerijos kanclerio funkcijas </w:t>
      </w:r>
      <w:r>
        <w:tab/>
      </w:r>
      <w:r>
        <w:tab/>
        <w:t xml:space="preserve">                       Odeta Vitkūnienė</w:t>
      </w:r>
    </w:p>
    <w:sectPr w:rsidR="00B25230" w:rsidSect="0092404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567" w:bottom="1134" w:left="1701" w:header="737" w:footer="283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EA" w:rsidRDefault="003728EA" w:rsidP="00377C8F">
      <w:r>
        <w:separator/>
      </w:r>
    </w:p>
  </w:endnote>
  <w:endnote w:type="continuationSeparator" w:id="0">
    <w:p w:rsidR="003728EA" w:rsidRDefault="003728EA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230" w:rsidRDefault="00B25230" w:rsidP="00B25230">
    <w:pPr>
      <w:tabs>
        <w:tab w:val="left" w:pos="9356"/>
        <w:tab w:val="right" w:pos="9498"/>
      </w:tabs>
      <w:rPr>
        <w:noProof/>
        <w:lang w:eastAsia="lt-LT"/>
      </w:rPr>
    </w:pPr>
    <w:bookmarkStart w:id="0" w:name="_Hlk42525041"/>
    <w:r>
      <w:t xml:space="preserve">Irena Vaitaitienė, tel. (8 5) 266 1456, el. p. </w:t>
    </w:r>
    <w:hyperlink r:id="rId1" w:history="1">
      <w:r w:rsidRPr="00CF265A">
        <w:rPr>
          <w:rStyle w:val="Hipersaitas"/>
        </w:rPr>
        <w:t>irena.vaitaitiene@sam.lt</w:t>
      </w:r>
    </w:hyperlink>
    <w:r>
      <w:rPr>
        <w:rStyle w:val="Hipersaitas"/>
        <w:sz w:val="22"/>
        <w:szCs w:val="22"/>
      </w:rPr>
      <w:t xml:space="preserve">                                     </w:t>
    </w:r>
    <w:r>
      <w:rPr>
        <w:noProof/>
        <w:lang w:eastAsia="lt-LT"/>
      </w:rPr>
      <w:drawing>
        <wp:inline distT="0" distB="0" distL="0" distR="0" wp14:anchorId="2B3B93C1" wp14:editId="27A0216A">
          <wp:extent cx="638175" cy="542925"/>
          <wp:effectExtent l="0" t="0" r="9525" b="9525"/>
          <wp:docPr id="1" name="Paveikslėlis 1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lt-LT"/>
      </w:rPr>
      <w:t xml:space="preserve">                             </w:t>
    </w:r>
  </w:p>
  <w:bookmarkEnd w:id="0"/>
  <w:p w:rsidR="00EA3F91" w:rsidRPr="00EA3F91" w:rsidRDefault="00EA3F91" w:rsidP="00EA3F91">
    <w:pPr>
      <w:pStyle w:val="Porat"/>
    </w:pPr>
    <w:r>
      <w:rPr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40" w:rsidRDefault="00924040" w:rsidP="00924040">
    <w:pPr>
      <w:tabs>
        <w:tab w:val="left" w:pos="9356"/>
        <w:tab w:val="right" w:pos="9498"/>
      </w:tabs>
      <w:rPr>
        <w:noProof/>
        <w:lang w:eastAsia="lt-LT"/>
      </w:rPr>
    </w:pPr>
    <w:r>
      <w:t xml:space="preserve">Irena Vaitaitienė, tel. (8 5) 266 1456, el. p. </w:t>
    </w:r>
    <w:hyperlink r:id="rId1" w:history="1">
      <w:r w:rsidRPr="00CF265A">
        <w:rPr>
          <w:rStyle w:val="Hipersaitas"/>
        </w:rPr>
        <w:t>irena.vaitaitiene@sam.lt</w:t>
      </w:r>
    </w:hyperlink>
    <w:r>
      <w:rPr>
        <w:rStyle w:val="Hipersaitas"/>
        <w:sz w:val="22"/>
        <w:szCs w:val="22"/>
      </w:rPr>
      <w:t xml:space="preserve">                                     </w:t>
    </w:r>
    <w:r>
      <w:rPr>
        <w:noProof/>
        <w:lang w:eastAsia="lt-LT"/>
      </w:rPr>
      <w:drawing>
        <wp:inline distT="0" distB="0" distL="0" distR="0" wp14:anchorId="561167E4" wp14:editId="74CB82D9">
          <wp:extent cx="638175" cy="542925"/>
          <wp:effectExtent l="0" t="0" r="9525" b="9525"/>
          <wp:docPr id="2" name="Paveikslėlis 2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lt-LT"/>
      </w:rPr>
      <w:t xml:space="preserve">                             </w:t>
    </w:r>
  </w:p>
  <w:p w:rsidR="00A72CFA" w:rsidRDefault="00A72CFA" w:rsidP="009F5883">
    <w:pPr>
      <w:tabs>
        <w:tab w:val="left" w:pos="9356"/>
        <w:tab w:val="right" w:pos="949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EA" w:rsidRDefault="003728EA" w:rsidP="00377C8F">
      <w:r>
        <w:separator/>
      </w:r>
    </w:p>
  </w:footnote>
  <w:footnote w:type="continuationSeparator" w:id="0">
    <w:p w:rsidR="003728EA" w:rsidRDefault="003728EA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215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12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.1pt" o:ole="" fillcolor="window">
          <v:imagedata r:id="rId1" o:title=""/>
        </v:shape>
        <o:OLEObject Type="Embed" ProgID="Word.Picture.8" ShapeID="_x0000_i1025" DrawAspect="Content" ObjectID="_1653204828" r:id="rId2"/>
      </w:object>
    </w:r>
  </w:p>
  <w:p w:rsidR="00A72CFA" w:rsidRDefault="00A72CFA">
    <w:pPr>
      <w:pStyle w:val="Antrats"/>
      <w:jc w:val="center"/>
      <w:rPr>
        <w:sz w:val="20"/>
        <w:szCs w:val="20"/>
      </w:rPr>
    </w:pPr>
  </w:p>
  <w:p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A72CFA" w:rsidRDefault="00A72CFA">
    <w:pPr>
      <w:pStyle w:val="Antrats"/>
      <w:jc w:val="center"/>
      <w:rPr>
        <w:sz w:val="16"/>
        <w:szCs w:val="16"/>
      </w:rPr>
    </w:pP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65B4"/>
    <w:multiLevelType w:val="hybridMultilevel"/>
    <w:tmpl w:val="054C82E2"/>
    <w:lvl w:ilvl="0" w:tplc="A480540C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08E5BA7"/>
    <w:multiLevelType w:val="hybridMultilevel"/>
    <w:tmpl w:val="AE64A4FC"/>
    <w:lvl w:ilvl="0" w:tplc="6AD608E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defaultTabStop w:val="1296"/>
  <w:hyphenationZone w:val="396"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10E93"/>
    <w:rsid w:val="00011BCB"/>
    <w:rsid w:val="00051DBF"/>
    <w:rsid w:val="00081B7F"/>
    <w:rsid w:val="0008701D"/>
    <w:rsid w:val="000F62B5"/>
    <w:rsid w:val="0011348D"/>
    <w:rsid w:val="00124311"/>
    <w:rsid w:val="00153381"/>
    <w:rsid w:val="00163719"/>
    <w:rsid w:val="00197701"/>
    <w:rsid w:val="001A1E39"/>
    <w:rsid w:val="001B763A"/>
    <w:rsid w:val="001D08D9"/>
    <w:rsid w:val="001D6BC6"/>
    <w:rsid w:val="001D6F1F"/>
    <w:rsid w:val="001E28A9"/>
    <w:rsid w:val="001E5D3A"/>
    <w:rsid w:val="00213189"/>
    <w:rsid w:val="00221C91"/>
    <w:rsid w:val="00227FF3"/>
    <w:rsid w:val="002668A3"/>
    <w:rsid w:val="002677C0"/>
    <w:rsid w:val="002964F8"/>
    <w:rsid w:val="002B5D8A"/>
    <w:rsid w:val="002E79F9"/>
    <w:rsid w:val="00336E73"/>
    <w:rsid w:val="003372AD"/>
    <w:rsid w:val="003728EA"/>
    <w:rsid w:val="00377C8F"/>
    <w:rsid w:val="00387C25"/>
    <w:rsid w:val="00390B7C"/>
    <w:rsid w:val="003B49AD"/>
    <w:rsid w:val="003C4F43"/>
    <w:rsid w:val="003F487C"/>
    <w:rsid w:val="0040551A"/>
    <w:rsid w:val="00410BE7"/>
    <w:rsid w:val="0041740D"/>
    <w:rsid w:val="0042112C"/>
    <w:rsid w:val="0043216A"/>
    <w:rsid w:val="004326A8"/>
    <w:rsid w:val="004332B4"/>
    <w:rsid w:val="0043369D"/>
    <w:rsid w:val="00440B48"/>
    <w:rsid w:val="00462AD9"/>
    <w:rsid w:val="0046448D"/>
    <w:rsid w:val="00464B88"/>
    <w:rsid w:val="004731C3"/>
    <w:rsid w:val="00475C6D"/>
    <w:rsid w:val="00475F65"/>
    <w:rsid w:val="00486D2B"/>
    <w:rsid w:val="004D3191"/>
    <w:rsid w:val="004E2BE1"/>
    <w:rsid w:val="00526BD7"/>
    <w:rsid w:val="00532CFA"/>
    <w:rsid w:val="00544E70"/>
    <w:rsid w:val="005571EE"/>
    <w:rsid w:val="0056130D"/>
    <w:rsid w:val="00597382"/>
    <w:rsid w:val="005A6470"/>
    <w:rsid w:val="005B197A"/>
    <w:rsid w:val="005D34A5"/>
    <w:rsid w:val="005F1C01"/>
    <w:rsid w:val="0061059A"/>
    <w:rsid w:val="00645B08"/>
    <w:rsid w:val="00646C46"/>
    <w:rsid w:val="0066017A"/>
    <w:rsid w:val="0067385C"/>
    <w:rsid w:val="006777CA"/>
    <w:rsid w:val="0068409B"/>
    <w:rsid w:val="006842D8"/>
    <w:rsid w:val="00687682"/>
    <w:rsid w:val="006A383C"/>
    <w:rsid w:val="006C659D"/>
    <w:rsid w:val="006E4E40"/>
    <w:rsid w:val="00712F42"/>
    <w:rsid w:val="00717F82"/>
    <w:rsid w:val="007221B7"/>
    <w:rsid w:val="007553E1"/>
    <w:rsid w:val="007657A0"/>
    <w:rsid w:val="007661AD"/>
    <w:rsid w:val="00784608"/>
    <w:rsid w:val="00790F7B"/>
    <w:rsid w:val="00792707"/>
    <w:rsid w:val="007930FB"/>
    <w:rsid w:val="007932CC"/>
    <w:rsid w:val="007A05B2"/>
    <w:rsid w:val="007B4A09"/>
    <w:rsid w:val="007B7798"/>
    <w:rsid w:val="007C7309"/>
    <w:rsid w:val="007D00AF"/>
    <w:rsid w:val="007D183E"/>
    <w:rsid w:val="007D613A"/>
    <w:rsid w:val="007E2385"/>
    <w:rsid w:val="007F3C85"/>
    <w:rsid w:val="007F53CB"/>
    <w:rsid w:val="00827FCC"/>
    <w:rsid w:val="00840326"/>
    <w:rsid w:val="008404A6"/>
    <w:rsid w:val="00844948"/>
    <w:rsid w:val="008603E6"/>
    <w:rsid w:val="008606D0"/>
    <w:rsid w:val="00870DA3"/>
    <w:rsid w:val="00873D1A"/>
    <w:rsid w:val="00882893"/>
    <w:rsid w:val="008C703F"/>
    <w:rsid w:val="00901F40"/>
    <w:rsid w:val="009165FD"/>
    <w:rsid w:val="00920A40"/>
    <w:rsid w:val="00924040"/>
    <w:rsid w:val="00926A03"/>
    <w:rsid w:val="00940B47"/>
    <w:rsid w:val="0095551B"/>
    <w:rsid w:val="009708E7"/>
    <w:rsid w:val="00973941"/>
    <w:rsid w:val="0098431C"/>
    <w:rsid w:val="009F5883"/>
    <w:rsid w:val="009F67EC"/>
    <w:rsid w:val="00A05F5C"/>
    <w:rsid w:val="00A22297"/>
    <w:rsid w:val="00A57127"/>
    <w:rsid w:val="00A60EDB"/>
    <w:rsid w:val="00A72CFA"/>
    <w:rsid w:val="00A93D86"/>
    <w:rsid w:val="00A962D5"/>
    <w:rsid w:val="00AA44C6"/>
    <w:rsid w:val="00AB7F40"/>
    <w:rsid w:val="00AD0E34"/>
    <w:rsid w:val="00AE31F5"/>
    <w:rsid w:val="00AE4CDF"/>
    <w:rsid w:val="00AF0F9B"/>
    <w:rsid w:val="00B25230"/>
    <w:rsid w:val="00B5463F"/>
    <w:rsid w:val="00B747D6"/>
    <w:rsid w:val="00B83DB9"/>
    <w:rsid w:val="00BA43F1"/>
    <w:rsid w:val="00BB3EFF"/>
    <w:rsid w:val="00BC3822"/>
    <w:rsid w:val="00BF6FB3"/>
    <w:rsid w:val="00C03B6F"/>
    <w:rsid w:val="00C1430A"/>
    <w:rsid w:val="00C215DC"/>
    <w:rsid w:val="00C34D00"/>
    <w:rsid w:val="00C94844"/>
    <w:rsid w:val="00CC3246"/>
    <w:rsid w:val="00CE2920"/>
    <w:rsid w:val="00CE3BC4"/>
    <w:rsid w:val="00D10DFE"/>
    <w:rsid w:val="00D2284D"/>
    <w:rsid w:val="00D37E20"/>
    <w:rsid w:val="00D413EF"/>
    <w:rsid w:val="00D4597A"/>
    <w:rsid w:val="00D74117"/>
    <w:rsid w:val="00D978C1"/>
    <w:rsid w:val="00DA7C2C"/>
    <w:rsid w:val="00DB5ACF"/>
    <w:rsid w:val="00DC7A60"/>
    <w:rsid w:val="00DD29F5"/>
    <w:rsid w:val="00DD70F7"/>
    <w:rsid w:val="00DE2ED2"/>
    <w:rsid w:val="00DE3760"/>
    <w:rsid w:val="00DE5C7E"/>
    <w:rsid w:val="00DE69A3"/>
    <w:rsid w:val="00DE7945"/>
    <w:rsid w:val="00E12D21"/>
    <w:rsid w:val="00E32F56"/>
    <w:rsid w:val="00E32FC9"/>
    <w:rsid w:val="00E357C6"/>
    <w:rsid w:val="00E54CF8"/>
    <w:rsid w:val="00E910CB"/>
    <w:rsid w:val="00E9503C"/>
    <w:rsid w:val="00EA2151"/>
    <w:rsid w:val="00EA3F91"/>
    <w:rsid w:val="00ED6C85"/>
    <w:rsid w:val="00EF08D7"/>
    <w:rsid w:val="00F026B9"/>
    <w:rsid w:val="00F07FFC"/>
    <w:rsid w:val="00F102F2"/>
    <w:rsid w:val="00F16E89"/>
    <w:rsid w:val="00F44C61"/>
    <w:rsid w:val="00F64A94"/>
    <w:rsid w:val="00F64D6C"/>
    <w:rsid w:val="00F67330"/>
    <w:rsid w:val="00F9209C"/>
    <w:rsid w:val="00FA38A3"/>
    <w:rsid w:val="00FB301F"/>
    <w:rsid w:val="00FD30B8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551B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uiPriority w:val="99"/>
    <w:rsid w:val="00D7411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74117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harChar">
    <w:name w:val="Char Char"/>
    <w:basedOn w:val="prastasis"/>
    <w:rsid w:val="00AD0E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3C4F43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6FB3"/>
    <w:rPr>
      <w:rFonts w:eastAsiaTheme="minorHAns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6FB3"/>
    <w:rPr>
      <w:rFonts w:ascii="Times New Roman" w:eastAsiaTheme="minorHAnsi" w:hAns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F6FB3"/>
    <w:rPr>
      <w:vertAlign w:val="superscript"/>
    </w:rPr>
  </w:style>
  <w:style w:type="paragraph" w:customStyle="1" w:styleId="statymopavad">
    <w:name w:val="Įstatymo pavad."/>
    <w:basedOn w:val="prastasis"/>
    <w:rsid w:val="004731C3"/>
    <w:pPr>
      <w:spacing w:line="360" w:lineRule="auto"/>
      <w:ind w:firstLine="720"/>
      <w:jc w:val="center"/>
    </w:pPr>
    <w:rPr>
      <w:rFonts w:ascii="TimesLT" w:hAnsi="TimesLT" w:cs="TimesLT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551B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uiPriority w:val="99"/>
    <w:rsid w:val="00D74117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74117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CharChar">
    <w:name w:val="Char Char"/>
    <w:basedOn w:val="prastasis"/>
    <w:rsid w:val="00AD0E3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3C4F43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6FB3"/>
    <w:rPr>
      <w:rFonts w:eastAsiaTheme="minorHAnsi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6FB3"/>
    <w:rPr>
      <w:rFonts w:ascii="Times New Roman" w:eastAsiaTheme="minorHAnsi" w:hAns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F6FB3"/>
    <w:rPr>
      <w:vertAlign w:val="superscript"/>
    </w:rPr>
  </w:style>
  <w:style w:type="paragraph" w:customStyle="1" w:styleId="statymopavad">
    <w:name w:val="Įstatymo pavad."/>
    <w:basedOn w:val="prastasis"/>
    <w:rsid w:val="004731C3"/>
    <w:pPr>
      <w:spacing w:line="360" w:lineRule="auto"/>
      <w:ind w:firstLine="720"/>
      <w:jc w:val="center"/>
    </w:pPr>
    <w:rPr>
      <w:rFonts w:ascii="TimesLT" w:hAnsi="TimesLT" w:cs="TimesLT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rena.vaitaitiene@sam.l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rena.vaitaitien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D3D7E-F831-4365-840F-D4D957DB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Rita Banuškevičienė</cp:lastModifiedBy>
  <cp:revision>2</cp:revision>
  <cp:lastPrinted>2020-04-20T14:06:00Z</cp:lastPrinted>
  <dcterms:created xsi:type="dcterms:W3CDTF">2020-06-08T13:21:00Z</dcterms:created>
  <dcterms:modified xsi:type="dcterms:W3CDTF">2020-06-08T13:21:00Z</dcterms:modified>
</cp:coreProperties>
</file>