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bb5d8057fc1446939f57791ccbd9bd50"/>
        <w:lock w:val="sdtLocked"/>
        <w:richText/>
      </w:sdtPr>
      <w:sdtContent>
        <w:p>
          <w:pPr>
            <w:tabs>
              <w:tab w:val="center" w:pos="4153"/>
              <w:tab w:val="right" w:pos="8306"/>
            </w:tabs>
            <w:ind w:left="6804" w:firstLine="960"/>
            <w:rPr>
              <w:b/>
              <w:bCs/>
              <w:lang w:eastAsia="lt-LT"/>
            </w:rPr>
          </w:pPr>
          <w:r>
            <w:rPr>
              <w:b/>
              <w:bCs/>
              <w:lang w:eastAsia="lt-LT"/>
            </w:rPr>
            <w:t>Projektas</w:t>
          </w:r>
        </w:p>
        <w:p>
          <w:pPr>
            <w:keepNext/>
            <w:jc w:val="center"/>
            <w:rPr>
              <w:caps/>
              <w:szCs w:val="24"/>
              <w:lang w:eastAsia="lt-LT"/>
            </w:rPr>
          </w:pPr>
        </w:p>
        <w:p>
          <w:pPr>
            <w:jc w:val="center"/>
            <w:rPr>
              <w:caps/>
              <w:lang w:eastAsia="lt-LT"/>
            </w:rPr>
          </w:pPr>
        </w:p>
        <w:p>
          <w:pPr>
            <w:jc w:val="center"/>
            <w:rPr>
              <w:b/>
              <w:caps/>
              <w:lang w:eastAsia="lt-LT"/>
            </w:rPr>
          </w:pPr>
          <w:r>
            <w:rPr>
              <w:b/>
              <w:caps/>
              <w:lang w:eastAsia="lt-LT"/>
            </w:rPr>
            <w:t>LIETUVOS RESPUBLIKOS VYRIAUSYBĖ</w:t>
          </w:r>
        </w:p>
        <w:p>
          <w:pPr>
            <w:jc w:val="center"/>
            <w:rPr>
              <w:b/>
              <w:caps/>
              <w:lang w:eastAsia="lt-LT"/>
            </w:rPr>
          </w:pPr>
        </w:p>
        <w:p>
          <w:pPr>
            <w:jc w:val="center"/>
            <w:rPr>
              <w:b/>
              <w:caps/>
              <w:lang w:eastAsia="lt-LT"/>
            </w:rPr>
          </w:pPr>
          <w:r>
            <w:rPr>
              <w:b/>
              <w:caps/>
              <w:lang w:eastAsia="lt-LT"/>
            </w:rPr>
            <w:t>nutarimas</w:t>
          </w:r>
        </w:p>
        <w:p>
          <w:pPr>
            <w:widowControl w:val="0"/>
            <w:jc w:val="center"/>
            <w:rPr>
              <w:b/>
              <w:caps/>
              <w:lang w:eastAsia="lt-LT"/>
            </w:rPr>
          </w:pPr>
          <w:r>
            <w:rPr>
              <w:b/>
              <w:caps/>
              <w:lang w:eastAsia="lt-LT"/>
            </w:rPr>
            <w:t>DĖL</w:t>
          </w:r>
          <w:r>
            <w:rPr>
              <w:rFonts w:eastAsia="Calibri"/>
              <w:b/>
              <w:szCs w:val="24"/>
            </w:rPr>
            <w:t xml:space="preserve"> </w:t>
          </w:r>
          <w:r>
            <w:rPr>
              <w:b/>
              <w:caps/>
              <w:lang w:eastAsia="lt-LT"/>
            </w:rPr>
            <w:t xml:space="preserve">LIETUVOS RESPUBLIKOS VYRIAUSYBĖS </w:t>
          </w:r>
          <w:r>
            <w:rPr>
              <w:b/>
              <w:bCs/>
              <w:caps/>
              <w:lang w:eastAsia="lt-LT"/>
            </w:rPr>
            <w:t xml:space="preserve">2019 m. LIEPOS 31 d. nutarimo nr. 808 </w:t>
          </w:r>
          <w:r>
            <w:rPr>
              <w:b/>
              <w:caps/>
              <w:lang w:eastAsia="lt-LT"/>
            </w:rPr>
            <w:t>„</w:t>
          </w:r>
          <w:r>
            <w:rPr>
              <w:b/>
              <w:bCs/>
              <w:caps/>
              <w:lang w:eastAsia="lt-LT"/>
            </w:rPr>
            <w:t>DĖL ĮGALIOJIMŲ SUTEIKIMO ĮGYVENDINANT LIETUVOS RESPUBLIKOS GINKLŲ IR ŠAUDMENŲ KONTROLĖS ĮSTATYMĄ</w:t>
          </w:r>
          <w:r>
            <w:rPr>
              <w:b/>
              <w:caps/>
              <w:lang w:eastAsia="lt-LT"/>
            </w:rPr>
            <w:t xml:space="preserve">“ PAKEITIMO </w:t>
          </w:r>
        </w:p>
        <w:p>
          <w:pPr>
            <w:tabs>
              <w:tab w:val="center" w:pos="4153"/>
              <w:tab w:val="right" w:pos="8306"/>
            </w:tabs>
            <w:rPr>
              <w:lang w:eastAsia="lt-LT"/>
            </w:rPr>
          </w:pPr>
        </w:p>
        <w:p>
          <w:pPr>
            <w:ind w:firstLine="62"/>
            <w:jc w:val="center"/>
            <w:rPr>
              <w:lang w:eastAsia="lt-LT"/>
            </w:rPr>
          </w:pPr>
          <w:r>
            <w:rPr>
              <w:lang w:eastAsia="lt-LT"/>
            </w:rPr>
            <w:t xml:space="preserve">Nr. </w:t>
          </w:r>
        </w:p>
        <w:p>
          <w:pPr>
            <w:jc w:val="center"/>
            <w:rPr>
              <w:lang w:eastAsia="lt-LT"/>
            </w:rPr>
          </w:pPr>
          <w:r>
            <w:rPr>
              <w:lang w:eastAsia="lt-LT"/>
            </w:rPr>
            <w:t>Vilnius</w:t>
          </w:r>
        </w:p>
        <w:p>
          <w:pPr>
            <w:ind w:firstLine="851"/>
            <w:jc w:val="center"/>
            <w:rPr>
              <w:lang w:eastAsia="lt-LT"/>
            </w:rPr>
          </w:pPr>
        </w:p>
        <w:sdt>
          <w:sdtPr>
            <w:alias w:val="preambule"/>
            <w:tag w:val="part_b169f608283445608907d7805ad2c0f3"/>
            <w:lock w:val="sdtLocked"/>
            <w:richText/>
          </w:sdtPr>
          <w:sdtContent>
            <w:p>
              <w:pPr>
                <w:ind w:firstLine="851"/>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1 p."/>
            <w:tag w:val="part_e6e940013b8d4df6aad55c0848c549a7"/>
            <w:lock w:val="sdtLocked"/>
            <w:richText/>
          </w:sdtPr>
          <w:sdtContent>
            <w:p>
              <w:pPr>
                <w:tabs>
                  <w:tab w:val="left" w:pos="9214"/>
                </w:tabs>
                <w:ind w:firstLine="851"/>
                <w:jc w:val="both"/>
                <w:rPr>
                  <w:szCs w:val="24"/>
                  <w:lang w:eastAsia="lt-LT"/>
                </w:rPr>
              </w:pPr>
              <w:sdt>
                <w:sdtPr>
                  <w:alias w:val="Numeris"/>
                  <w:tag w:val="nr_e6e940013b8d4df6aad55c0848c549a7"/>
                  <w:lock w:val="sdtLocked"/>
                  <w:richText/>
                </w:sdtPr>
                <w:sdtContent>
                  <w:r>
                    <w:rPr>
                      <w:szCs w:val="24"/>
                      <w:lang w:eastAsia="lt-LT"/>
                    </w:rPr>
                    <w:t>1</w:t>
                  </w:r>
                </w:sdtContent>
              </w:sdt>
              <w:r>
                <w:rPr>
                  <w:szCs w:val="24"/>
                  <w:lang w:eastAsia="lt-LT"/>
                </w:rPr>
                <w:t xml:space="preserve">. Pakeisti Lietuvos Respublikos Vyriausybės 2019 m. liepos 31 d. nutarimą Nr. 808 „Dėl </w:t>
              </w:r>
              <w:r>
                <w:rPr>
                  <w:bCs/>
                  <w:szCs w:val="24"/>
                  <w:lang w:eastAsia="lt-LT"/>
                </w:rPr>
                <w:t>įgaliojimų suteikimo įgyvendinant Lietuvos Respublikos ginklų ir šaudmenų kontrolės įstatymą“ ir jį išdėstyti nauja redakcija</w:t>
              </w:r>
              <w:r>
                <w:rPr>
                  <w:szCs w:val="24"/>
                  <w:lang w:eastAsia="lt-LT"/>
                </w:rPr>
                <w:t>:</w:t>
              </w:r>
            </w:p>
            <w:p>
              <w:pPr>
                <w:tabs>
                  <w:tab w:val="left" w:pos="9214"/>
                </w:tabs>
                <w:ind w:firstLine="720"/>
                <w:jc w:val="both"/>
                <w:rPr>
                  <w:szCs w:val="24"/>
                  <w:lang w:eastAsia="lt-LT"/>
                </w:rPr>
              </w:pPr>
            </w:p>
            <w:sdt>
              <w:sdtPr>
                <w:alias w:val="citata"/>
                <w:tag w:val="part_96aec2cf55e247a1b9ca1781df5001e9"/>
                <w:lock w:val="sdtLocked"/>
                <w:richText/>
              </w:sdtPr>
              <w:sdtContent>
                <w:sdt>
                  <w:sdtPr>
                    <w:alias w:val="pagrindine"/>
                    <w:tag w:val="part_5013b9c6b2ef4808897d34e8288924a0"/>
                    <w:lock w:val="sdtLocked"/>
                    <w:richText/>
                  </w:sdtPr>
                  <w:sdtContent>
                    <w:p>
                      <w:pPr>
                        <w:jc w:val="center"/>
                        <w:rPr>
                          <w:b/>
                          <w:caps/>
                          <w:lang w:eastAsia="lt-LT"/>
                        </w:rPr>
                      </w:pPr>
                      <w:r>
                        <w:rPr>
                          <w:b/>
                          <w:caps/>
                          <w:lang w:eastAsia="lt-LT"/>
                        </w:rPr>
                        <w:t>„LIETUVOS RESPUBLIKOS VYRIAUSYBĖ</w:t>
                      </w:r>
                    </w:p>
                    <w:p>
                      <w:pPr>
                        <w:jc w:val="center"/>
                        <w:rPr>
                          <w:b/>
                          <w:caps/>
                          <w:lang w:eastAsia="lt-LT"/>
                        </w:rPr>
                      </w:pPr>
                    </w:p>
                    <w:p>
                      <w:pPr>
                        <w:jc w:val="center"/>
                        <w:rPr>
                          <w:b/>
                          <w:caps/>
                          <w:lang w:eastAsia="lt-LT"/>
                        </w:rPr>
                      </w:pPr>
                      <w:r>
                        <w:rPr>
                          <w:b/>
                          <w:caps/>
                          <w:lang w:eastAsia="lt-LT"/>
                        </w:rPr>
                        <w:t>nutarimas</w:t>
                      </w:r>
                    </w:p>
                    <w:p>
                      <w:pPr>
                        <w:tabs>
                          <w:tab w:val="left" w:pos="9214"/>
                        </w:tabs>
                        <w:jc w:val="center"/>
                        <w:rPr>
                          <w:b/>
                          <w:bCs/>
                          <w:caps/>
                          <w:lang w:eastAsia="lt-LT"/>
                        </w:rPr>
                      </w:pPr>
                      <w:r>
                        <w:rPr>
                          <w:b/>
                          <w:bCs/>
                          <w:caps/>
                          <w:lang w:eastAsia="lt-LT"/>
                        </w:rPr>
                        <w:t>DĖL ĮGALIOJIMŲ SUTEIKIMO ĮGYVENDINANT LIETUVOS RESPUBLIKOS GINKLŲ IR ŠAUDMENŲ KONTROLĖS ĮSTATYMĄ</w:t>
                      </w:r>
                    </w:p>
                    <w:p>
                      <w:pPr>
                        <w:tabs>
                          <w:tab w:val="left" w:pos="9214"/>
                        </w:tabs>
                        <w:ind w:firstLine="720"/>
                        <w:jc w:val="both"/>
                        <w:rPr>
                          <w:szCs w:val="24"/>
                          <w:lang w:eastAsia="lt-LT"/>
                        </w:rPr>
                      </w:pPr>
                    </w:p>
                    <w:sdt>
                      <w:sdtPr>
                        <w:alias w:val="preambule"/>
                        <w:tag w:val="part_cbdc60b139eb4433b61ab5358edba827"/>
                        <w:lock w:val="sdtLocked"/>
                        <w:richText/>
                      </w:sdtPr>
                      <w:sdtContent>
                        <w:p>
                          <w:pPr>
                            <w:ind w:firstLine="851"/>
                            <w:jc w:val="both"/>
                            <w:rPr>
                              <w:color w:val="000000"/>
                              <w:szCs w:val="24"/>
                              <w:lang w:eastAsia="lt-LT"/>
                            </w:rPr>
                          </w:pPr>
                          <w:r>
                            <w:rPr>
                              <w:color w:val="000000"/>
                              <w:szCs w:val="24"/>
                              <w:lang w:eastAsia="lt-LT"/>
                            </w:rPr>
                            <w:t>Įgyvendindama Lietuvos Respublikos ginklų ir šaudmenų kontrolės įstatymą, Lietuvos Respublikos Vyriausybė nutaria:</w:t>
                          </w:r>
                        </w:p>
                      </w:sdtContent>
                    </w:sdt>
                    <w:sdt>
                      <w:sdtPr>
                        <w:alias w:val="1 p."/>
                        <w:tag w:val="part_54374566396449f998d91aa2a57dc9d5"/>
                        <w:lock w:val="sdtLocked"/>
                        <w:richText/>
                      </w:sdtPr>
                      <w:sdtContent>
                        <w:p>
                          <w:pPr>
                            <w:ind w:firstLine="851"/>
                            <w:jc w:val="both"/>
                            <w:rPr>
                              <w:b/>
                              <w:color w:val="000000"/>
                              <w:szCs w:val="24"/>
                              <w:lang w:eastAsia="lt-LT"/>
                            </w:rPr>
                          </w:pPr>
                          <w:sdt>
                            <w:sdtPr>
                              <w:alias w:val="Numeris"/>
                              <w:tag w:val="nr_54374566396449f998d91aa2a57dc9d5"/>
                              <w:lock w:val="sdtLocked"/>
                              <w:richText/>
                            </w:sdtPr>
                            <w:sdtContent>
                              <w:r>
                                <w:rPr>
                                  <w:color w:val="000000"/>
                                  <w:szCs w:val="24"/>
                                  <w:lang w:eastAsia="lt-LT"/>
                                </w:rPr>
                                <w:t>1</w:t>
                              </w:r>
                            </w:sdtContent>
                          </w:sdt>
                          <w:r>
                            <w:rPr>
                              <w:color w:val="000000"/>
                              <w:szCs w:val="24"/>
                              <w:lang w:eastAsia="lt-LT"/>
                            </w:rPr>
                            <w:t>. Įgalioti</w:t>
                          </w:r>
                          <w:r>
                            <w:rPr>
                              <w:b/>
                              <w:color w:val="000000"/>
                              <w:szCs w:val="24"/>
                              <w:lang w:eastAsia="lt-LT"/>
                            </w:rPr>
                            <w:t>:</w:t>
                          </w:r>
                        </w:p>
                        <w:sdt>
                          <w:sdtPr>
                            <w:alias w:val="1.1 pp."/>
                            <w:tag w:val="part_ddc4ced1191544d793ae2894c7694638"/>
                            <w:lock w:val="sdtLocked"/>
                            <w:richText/>
                          </w:sdtPr>
                          <w:sdtContent>
                            <w:p>
                              <w:pPr>
                                <w:ind w:firstLine="851"/>
                                <w:jc w:val="both"/>
                                <w:rPr>
                                  <w:color w:val="000000"/>
                                  <w:szCs w:val="24"/>
                                  <w:lang w:eastAsia="lt-LT"/>
                                </w:rPr>
                              </w:pPr>
                              <w:sdt>
                                <w:sdtPr>
                                  <w:alias w:val="Numeris"/>
                                  <w:tag w:val="nr_ddc4ced1191544d793ae2894c7694638"/>
                                  <w:lock w:val="sdtLocked"/>
                                  <w:richText/>
                                </w:sdtPr>
                                <w:sdtContent>
                                  <w:r>
                                    <w:rPr>
                                      <w:color w:val="000000"/>
                                      <w:szCs w:val="24"/>
                                      <w:lang w:eastAsia="lt-LT"/>
                                    </w:rPr>
                                    <w:t>1.1</w:t>
                                  </w:r>
                                </w:sdtContent>
                              </w:sdt>
                              <w:r>
                                <w:rPr>
                                  <w:color w:val="000000"/>
                                  <w:szCs w:val="24"/>
                                  <w:lang w:eastAsia="lt-LT"/>
                                </w:rPr>
                                <w:t>. Policijos departamentą prie Lietuvos Respublikos vidaus reikalų ministerijos:</w:t>
                              </w:r>
                            </w:p>
                            <w:sdt>
                              <w:sdtPr>
                                <w:alias w:val="1.1.1 pp."/>
                                <w:tag w:val="part_dd7f7bef8d4b433587363737ad6e17ff"/>
                                <w:lock w:val="sdtLocked"/>
                                <w:richText/>
                              </w:sdtPr>
                              <w:sdtContent>
                                <w:p>
                                  <w:pPr>
                                    <w:ind w:firstLine="851"/>
                                    <w:jc w:val="both"/>
                                    <w:rPr>
                                      <w:color w:val="000000"/>
                                      <w:szCs w:val="24"/>
                                      <w:lang w:eastAsia="lt-LT"/>
                                    </w:rPr>
                                  </w:pPr>
                                  <w:sdt>
                                    <w:sdtPr>
                                      <w:alias w:val="Numeris"/>
                                      <w:tag w:val="nr_dd7f7bef8d4b433587363737ad6e17ff"/>
                                      <w:lock w:val="sdtLocked"/>
                                      <w:richText/>
                                    </w:sdtPr>
                                    <w:sdtContent>
                                      <w:r>
                                        <w:rPr>
                                          <w:color w:val="000000"/>
                                          <w:szCs w:val="24"/>
                                          <w:lang w:eastAsia="lt-LT"/>
                                        </w:rPr>
                                        <w:t>1.1.1</w:t>
                                      </w:r>
                                    </w:sdtContent>
                                  </w:sdt>
                                  <w:r>
                                    <w:rPr>
                                      <w:color w:val="000000"/>
                                      <w:szCs w:val="24"/>
                                      <w:lang w:eastAsia="lt-LT"/>
                                    </w:rPr>
                                    <w:t>. patvirtinti:</w:t>
                                  </w:r>
                                </w:p>
                                <w:sdt>
                                  <w:sdtPr>
                                    <w:alias w:val="1.1.1.1 pp."/>
                                    <w:tag w:val="part_6837ca24848c4ed0ae4f5df5606acb58"/>
                                    <w:lock w:val="sdtLocked"/>
                                    <w:richText/>
                                  </w:sdtPr>
                                  <w:sdtContent>
                                    <w:p>
                                      <w:pPr>
                                        <w:ind w:firstLine="851"/>
                                        <w:jc w:val="both"/>
                                        <w:rPr>
                                          <w:color w:val="000000"/>
                                          <w:szCs w:val="24"/>
                                          <w:lang w:eastAsia="lt-LT"/>
                                        </w:rPr>
                                      </w:pPr>
                                      <w:sdt>
                                        <w:sdtPr>
                                          <w:alias w:val="Numeris"/>
                                          <w:tag w:val="nr_6837ca24848c4ed0ae4f5df5606acb58"/>
                                          <w:lock w:val="sdtLocked"/>
                                          <w:richText/>
                                        </w:sdtPr>
                                        <w:sdtContent>
                                          <w:r>
                                            <w:rPr>
                                              <w:color w:val="000000"/>
                                              <w:szCs w:val="24"/>
                                              <w:lang w:eastAsia="lt-LT"/>
                                            </w:rPr>
                                            <w:t>1.1.1.1</w:t>
                                          </w:r>
                                        </w:sdtContent>
                                      </w:sdt>
                                      <w:r>
                                        <w:rPr>
                                          <w:color w:val="000000"/>
                                          <w:szCs w:val="24"/>
                                          <w:lang w:eastAsia="lt-LT"/>
                                        </w:rPr>
                                        <w:t>. Fizinių asmenų ginklų ir šaudmenų civilinės apyvartos tvarką;</w:t>
                                      </w:r>
                                    </w:p>
                                  </w:sdtContent>
                                </w:sdt>
                                <w:sdt>
                                  <w:sdtPr>
                                    <w:alias w:val="1.1.1.2 pp."/>
                                    <w:tag w:val="part_99a728bd6c7d4e46aa7f15c10846c4c7"/>
                                    <w:lock w:val="sdtLocked"/>
                                    <w:richText/>
                                  </w:sdtPr>
                                  <w:sdtContent>
                                    <w:p>
                                      <w:pPr>
                                        <w:ind w:firstLine="851"/>
                                        <w:jc w:val="both"/>
                                        <w:rPr>
                                          <w:color w:val="000000"/>
                                          <w:szCs w:val="24"/>
                                          <w:lang w:eastAsia="lt-LT"/>
                                        </w:rPr>
                                      </w:pPr>
                                      <w:sdt>
                                        <w:sdtPr>
                                          <w:alias w:val="Numeris"/>
                                          <w:tag w:val="nr_99a728bd6c7d4e46aa7f15c10846c4c7"/>
                                          <w:lock w:val="sdtLocked"/>
                                          <w:richText/>
                                        </w:sdtPr>
                                        <w:sdtContent>
                                          <w:r>
                                            <w:rPr>
                                              <w:color w:val="000000"/>
                                              <w:szCs w:val="24"/>
                                              <w:lang w:eastAsia="lt-LT"/>
                                            </w:rPr>
                                            <w:t>1.1.1.2</w:t>
                                          </w:r>
                                        </w:sdtContent>
                                      </w:sdt>
                                      <w:r>
                                        <w:rPr>
                                          <w:color w:val="000000"/>
                                          <w:szCs w:val="24"/>
                                          <w:lang w:eastAsia="lt-LT"/>
                                        </w:rPr>
                                        <w:t>. Juridinių asmenų ginklų ir šaudmenų civilinės apyvartos tvarką;</w:t>
                                      </w:r>
                                    </w:p>
                                  </w:sdtContent>
                                </w:sdt>
                                <w:sdt>
                                  <w:sdtPr>
                                    <w:alias w:val="1.1.1.3 pp."/>
                                    <w:tag w:val="part_dee43e551a1c4589a0ef787f5656c11c"/>
                                    <w:lock w:val="sdtLocked"/>
                                    <w:richText/>
                                  </w:sdtPr>
                                  <w:sdtContent>
                                    <w:p>
                                      <w:pPr>
                                        <w:ind w:firstLine="851"/>
                                        <w:jc w:val="both"/>
                                        <w:rPr>
                                          <w:color w:val="000000"/>
                                          <w:szCs w:val="24"/>
                                          <w:lang w:eastAsia="lt-LT"/>
                                        </w:rPr>
                                      </w:pPr>
                                      <w:sdt>
                                        <w:sdtPr>
                                          <w:alias w:val="Numeris"/>
                                          <w:tag w:val="nr_dee43e551a1c4589a0ef787f5656c11c"/>
                                          <w:lock w:val="sdtLocked"/>
                                          <w:richText/>
                                        </w:sdtPr>
                                        <w:sdtContent>
                                          <w:r>
                                            <w:rPr>
                                              <w:color w:val="000000"/>
                                              <w:szCs w:val="24"/>
                                              <w:lang w:eastAsia="lt-LT"/>
                                            </w:rPr>
                                            <w:t>1.1.1.3</w:t>
                                          </w:r>
                                        </w:sdtContent>
                                      </w:sdt>
                                      <w:r>
                                        <w:rPr>
                                          <w:color w:val="000000"/>
                                          <w:szCs w:val="24"/>
                                          <w:lang w:eastAsia="lt-LT"/>
                                        </w:rPr>
                                        <w:t>. Šaunamųjų ginklų perdirbimo į imitacinius ginklus, jų naudojimo, ginklų, šaudmenų, jų dalių kolekcijų sudarymo, laikymo, eksponavimo, likvidavimo, ginklų, šaudmenų perdirbimo kolekcijoms ir ginklų, ginklų priedėlių, šaudmenų, jų dalių parodų organizavimo, reikalavimų parodoms tvarką;</w:t>
                                      </w:r>
                                    </w:p>
                                  </w:sdtContent>
                                </w:sdt>
                                <w:sdt>
                                  <w:sdtPr>
                                    <w:alias w:val="1.1.1.4 pp."/>
                                    <w:tag w:val="part_e782bf675a4a4516965b9243fbfd2df8"/>
                                    <w:lock w:val="sdtLocked"/>
                                    <w:richText/>
                                  </w:sdtPr>
                                  <w:sdtContent>
                                    <w:p>
                                      <w:pPr>
                                        <w:ind w:firstLine="851"/>
                                        <w:jc w:val="both"/>
                                        <w:rPr>
                                          <w:color w:val="000000"/>
                                          <w:szCs w:val="24"/>
                                          <w:lang w:eastAsia="lt-LT"/>
                                        </w:rPr>
                                      </w:pPr>
                                      <w:sdt>
                                        <w:sdtPr>
                                          <w:alias w:val="Numeris"/>
                                          <w:tag w:val="nr_e782bf675a4a4516965b9243fbfd2df8"/>
                                          <w:lock w:val="sdtLocked"/>
                                          <w:richText/>
                                        </w:sdtPr>
                                        <w:sdtContent>
                                          <w:r>
                                            <w:rPr>
                                              <w:color w:val="000000"/>
                                              <w:szCs w:val="24"/>
                                              <w:lang w:eastAsia="lt-LT"/>
                                            </w:rPr>
                                            <w:t>1.1.1.4</w:t>
                                          </w:r>
                                        </w:sdtContent>
                                      </w:sdt>
                                      <w:r>
                                        <w:rPr>
                                          <w:color w:val="000000"/>
                                          <w:szCs w:val="24"/>
                                          <w:lang w:eastAsia="lt-LT"/>
                                        </w:rPr>
                                        <w:t>. Akredituoto ir reziduojančio užsienio valstybių diplomatinių atstovybių, konsulinių įstaigų ir tarptautinių organizacijų atstovybių diplomatinio, administracinio, techninio ir aptarnaujančiojo personalo, jų šeimos narių, taip pat kitų asmenų, kuriems atitinkamas privilegijas suteikia tarptautiniai susitarimai, ginklų ir šaudmenų įsigijimo, laikymo, įvežimo ir išvežimo tvarką;</w:t>
                                      </w:r>
                                    </w:p>
                                  </w:sdtContent>
                                </w:sdt>
                                <w:sdt>
                                  <w:sdtPr>
                                    <w:alias w:val="1.1.1.5 pp."/>
                                    <w:tag w:val="part_cbacb8317cbc4f7ab4fe5ed2a1d149ed"/>
                                    <w:lock w:val="sdtLocked"/>
                                    <w:richText/>
                                  </w:sdtPr>
                                  <w:sdtContent>
                                    <w:p>
                                      <w:pPr>
                                        <w:ind w:firstLine="851"/>
                                        <w:jc w:val="both"/>
                                        <w:rPr>
                                          <w:color w:val="000000"/>
                                          <w:szCs w:val="24"/>
                                          <w:lang w:eastAsia="lt-LT"/>
                                        </w:rPr>
                                      </w:pPr>
                                      <w:sdt>
                                        <w:sdtPr>
                                          <w:alias w:val="Numeris"/>
                                          <w:tag w:val="nr_cbacb8317cbc4f7ab4fe5ed2a1d149ed"/>
                                          <w:lock w:val="sdtLocked"/>
                                          <w:richText/>
                                        </w:sdtPr>
                                        <w:sdtContent>
                                          <w:r>
                                            <w:rPr>
                                              <w:color w:val="000000"/>
                                              <w:szCs w:val="24"/>
                                              <w:lang w:eastAsia="lt-LT"/>
                                            </w:rPr>
                                            <w:t>1.1.1.5</w:t>
                                          </w:r>
                                        </w:sdtContent>
                                      </w:sdt>
                                      <w:r>
                                        <w:rPr>
                                          <w:color w:val="000000"/>
                                          <w:szCs w:val="24"/>
                                          <w:lang w:eastAsia="lt-LT"/>
                                        </w:rPr>
                                        <w:t>. Ginklų, ginklų priedėlių, šaudmenų, jų dalių laikymo, saugojimo ir laikino saugojimo reikalavimus;</w:t>
                                      </w:r>
                                    </w:p>
                                  </w:sdtContent>
                                </w:sdt>
                                <w:sdt>
                                  <w:sdtPr>
                                    <w:alias w:val="1.1.1.6 pp."/>
                                    <w:tag w:val="part_7f838320f2634f0aa911048637cfb9c3"/>
                                    <w:lock w:val="sdtLocked"/>
                                    <w:richText/>
                                  </w:sdtPr>
                                  <w:sdtContent>
                                    <w:p>
                                      <w:pPr>
                                        <w:ind w:firstLine="851"/>
                                        <w:jc w:val="both"/>
                                        <w:rPr>
                                          <w:color w:val="000000"/>
                                          <w:szCs w:val="24"/>
                                          <w:lang w:eastAsia="lt-LT"/>
                                        </w:rPr>
                                      </w:pPr>
                                      <w:sdt>
                                        <w:sdtPr>
                                          <w:alias w:val="Numeris"/>
                                          <w:tag w:val="nr_7f838320f2634f0aa911048637cfb9c3"/>
                                          <w:lock w:val="sdtLocked"/>
                                          <w:richText/>
                                        </w:sdtPr>
                                        <w:sdtContent>
                                          <w:r>
                                            <w:rPr>
                                              <w:color w:val="000000"/>
                                              <w:szCs w:val="24"/>
                                              <w:lang w:eastAsia="lt-LT"/>
                                            </w:rPr>
                                            <w:t>1.1.1.6</w:t>
                                          </w:r>
                                        </w:sdtContent>
                                      </w:sdt>
                                      <w:r>
                                        <w:rPr>
                                          <w:color w:val="000000"/>
                                          <w:szCs w:val="24"/>
                                          <w:lang w:eastAsia="lt-LT"/>
                                        </w:rPr>
                                        <w:t>. Į Lietuvos Respubliką importuotų, atvežtų, pagamintų ar specialiojo statuso subjektų į civilinę apyvartą perduotų ginklų žymėjimo tvarką;</w:t>
                                      </w:r>
                                    </w:p>
                                  </w:sdtContent>
                                </w:sdt>
                                <w:sdt>
                                  <w:sdtPr>
                                    <w:alias w:val="1.1.1.7 pp."/>
                                    <w:tag w:val="part_84e40fa3352e4a609b5352931af26c67"/>
                                    <w:lock w:val="sdtLocked"/>
                                    <w:richText/>
                                  </w:sdtPr>
                                  <w:sdtContent>
                                    <w:p>
                                      <w:pPr>
                                        <w:ind w:firstLine="851"/>
                                        <w:jc w:val="both"/>
                                        <w:rPr>
                                          <w:color w:val="000000"/>
                                          <w:szCs w:val="24"/>
                                          <w:lang w:eastAsia="lt-LT"/>
                                        </w:rPr>
                                      </w:pPr>
                                      <w:sdt>
                                        <w:sdtPr>
                                          <w:alias w:val="Numeris"/>
                                          <w:tag w:val="nr_84e40fa3352e4a609b5352931af26c67"/>
                                          <w:lock w:val="sdtLocked"/>
                                          <w:richText/>
                                        </w:sdtPr>
                                        <w:sdtContent>
                                          <w:r>
                                            <w:rPr>
                                              <w:color w:val="000000"/>
                                              <w:szCs w:val="24"/>
                                              <w:lang w:eastAsia="lt-LT"/>
                                            </w:rPr>
                                            <w:t>1.1.1.7</w:t>
                                          </w:r>
                                        </w:sdtContent>
                                      </w:sdt>
                                      <w:r>
                                        <w:rPr>
                                          <w:color w:val="000000"/>
                                          <w:szCs w:val="24"/>
                                          <w:lang w:eastAsia="lt-LT"/>
                                        </w:rPr>
                                        <w:t>. Šaudymo tiruose ar šaudyklose, jų teritorijoje reikalavimus, reikalavimus tirų, šaudyklų patalpoms bei ginklo naudojimo ir nuomos tire ar šaudykloje tvarką;</w:t>
                                      </w:r>
                                    </w:p>
                                  </w:sdtContent>
                                </w:sdt>
                                <w:sdt>
                                  <w:sdtPr>
                                    <w:alias w:val="1.1.1.8 pp."/>
                                    <w:tag w:val="part_32ed0a721cb34ab8a5c7815c202369bb"/>
                                    <w:lock w:val="sdtLocked"/>
                                    <w:richText/>
                                  </w:sdtPr>
                                  <w:sdtContent>
                                    <w:p>
                                      <w:pPr>
                                        <w:ind w:firstLine="851"/>
                                        <w:jc w:val="both"/>
                                        <w:rPr>
                                          <w:color w:val="000000"/>
                                          <w:szCs w:val="24"/>
                                          <w:lang w:eastAsia="lt-LT"/>
                                        </w:rPr>
                                      </w:pPr>
                                      <w:sdt>
                                        <w:sdtPr>
                                          <w:alias w:val="Numeris"/>
                                          <w:tag w:val="nr_32ed0a721cb34ab8a5c7815c202369bb"/>
                                          <w:lock w:val="sdtLocked"/>
                                          <w:richText/>
                                        </w:sdtPr>
                                        <w:sdtContent>
                                          <w:r>
                                            <w:rPr>
                                              <w:color w:val="000000"/>
                                              <w:szCs w:val="24"/>
                                              <w:lang w:eastAsia="lt-LT"/>
                                            </w:rPr>
                                            <w:t>1.1.1.8</w:t>
                                          </w:r>
                                        </w:sdtContent>
                                      </w:sdt>
                                      <w:r>
                                        <w:rPr>
                                          <w:color w:val="000000"/>
                                          <w:szCs w:val="24"/>
                                          <w:lang w:eastAsia="lt-LT"/>
                                        </w:rPr>
                                        <w:t>. A, B kategorijų graižtvinių trumpųjų šaunamųjų ginklų išbandymo, tūtelių ir kulkų kolekcijų sudarymo, tvarkymo ir naudojimo tvarką;</w:t>
                                      </w:r>
                                    </w:p>
                                  </w:sdtContent>
                                </w:sdt>
                                <w:sdt>
                                  <w:sdtPr>
                                    <w:alias w:val="1.1.1.9 pp."/>
                                    <w:tag w:val="part_27769c39fcf44f9090e1e1e426465c04"/>
                                    <w:lock w:val="sdtLocked"/>
                                    <w:richText/>
                                  </w:sdtPr>
                                  <w:sdtContent>
                                    <w:p>
                                      <w:pPr>
                                        <w:ind w:firstLine="851"/>
                                        <w:jc w:val="both"/>
                                        <w:rPr>
                                          <w:color w:val="000000"/>
                                          <w:szCs w:val="24"/>
                                          <w:lang w:eastAsia="lt-LT"/>
                                        </w:rPr>
                                      </w:pPr>
                                      <w:sdt>
                                        <w:sdtPr>
                                          <w:alias w:val="Numeris"/>
                                          <w:tag w:val="nr_27769c39fcf44f9090e1e1e426465c04"/>
                                          <w:lock w:val="sdtLocked"/>
                                          <w:richText/>
                                        </w:sdtPr>
                                        <w:sdtContent>
                                          <w:r>
                                            <w:rPr>
                                              <w:color w:val="000000"/>
                                              <w:szCs w:val="24"/>
                                              <w:lang w:eastAsia="lt-LT"/>
                                            </w:rPr>
                                            <w:t>1.1.1.9</w:t>
                                          </w:r>
                                        </w:sdtContent>
                                      </w:sdt>
                                      <w:r>
                                        <w:rPr>
                                          <w:color w:val="000000"/>
                                          <w:szCs w:val="24"/>
                                          <w:lang w:eastAsia="lt-LT"/>
                                        </w:rPr>
                                        <w:t xml:space="preserve">. Visiškai netinkamų naudoti ginklų ir signalinių ginklų registravimo tvarką; </w:t>
                                      </w:r>
                                    </w:p>
                                  </w:sdtContent>
                                </w:sdt>
                                <w:sdt>
                                  <w:sdtPr>
                                    <w:alias w:val="1.1.1.10 pp."/>
                                    <w:tag w:val="part_974a703e92cc442ab6e6ed6bdc19496e"/>
                                    <w:lock w:val="sdtLocked"/>
                                    <w:richText/>
                                  </w:sdtPr>
                                  <w:sdtContent>
                                    <w:p>
                                      <w:pPr>
                                        <w:ind w:firstLine="851"/>
                                        <w:jc w:val="both"/>
                                        <w:rPr>
                                          <w:color w:val="000000"/>
                                          <w:szCs w:val="24"/>
                                          <w:lang w:eastAsia="lt-LT"/>
                                        </w:rPr>
                                      </w:pPr>
                                      <w:sdt>
                                        <w:sdtPr>
                                          <w:alias w:val="Numeris"/>
                                          <w:tag w:val="nr_974a703e92cc442ab6e6ed6bdc19496e"/>
                                          <w:lock w:val="sdtLocked"/>
                                          <w:richText/>
                                        </w:sdtPr>
                                        <w:sdtContent>
                                          <w:r>
                                            <w:rPr>
                                              <w:szCs w:val="24"/>
                                              <w:lang w:eastAsia="lt-LT"/>
                                            </w:rPr>
                                            <w:t>1.1.1.10</w:t>
                                          </w:r>
                                        </w:sdtContent>
                                      </w:sdt>
                                      <w:r>
                                        <w:rPr>
                                          <w:szCs w:val="24"/>
                                          <w:lang w:eastAsia="lt-LT"/>
                                        </w:rPr>
                                        <w:t xml:space="preserve">. </w:t>
                                      </w:r>
                                      <w:r>
                                        <w:rPr>
                                          <w:color w:val="000000"/>
                                          <w:szCs w:val="24"/>
                                          <w:lang w:eastAsia="lt-LT"/>
                                        </w:rPr>
                                        <w:t>Ginklų, ginklų priedėlių, šaudmenų, jų dalių paėmimo, tinkamumo naudoti nustatymo ir tolesnio jų panaudojimo tvarką;</w:t>
                                      </w:r>
                                    </w:p>
                                  </w:sdtContent>
                                </w:sdt>
                              </w:sdtContent>
                            </w:sdt>
                            <w:sdt>
                              <w:sdtPr>
                                <w:alias w:val="1.1.2 pp."/>
                                <w:tag w:val="part_594d624b6a0d4ccd839ca21d9a2a9813"/>
                                <w:lock w:val="sdtLocked"/>
                                <w:richText/>
                              </w:sdtPr>
                              <w:sdtContent>
                                <w:p>
                                  <w:pPr>
                                    <w:ind w:firstLine="851"/>
                                    <w:jc w:val="both"/>
                                    <w:rPr>
                                      <w:color w:val="000000"/>
                                      <w:szCs w:val="24"/>
                                      <w:lang w:eastAsia="lt-LT"/>
                                    </w:rPr>
                                  </w:pPr>
                                  <w:sdt>
                                    <w:sdtPr>
                                      <w:alias w:val="Numeris"/>
                                      <w:tag w:val="nr_594d624b6a0d4ccd839ca21d9a2a9813"/>
                                      <w:lock w:val="sdtLocked"/>
                                      <w:richText/>
                                    </w:sdtPr>
                                    <w:sdtContent>
                                      <w:r>
                                        <w:rPr>
                                          <w:color w:val="000000"/>
                                          <w:szCs w:val="24"/>
                                          <w:lang w:eastAsia="lt-LT"/>
                                        </w:rPr>
                                        <w:t>1.1.2</w:t>
                                      </w:r>
                                    </w:sdtContent>
                                  </w:sdt>
                                  <w:r>
                                    <w:rPr>
                                      <w:color w:val="000000"/>
                                      <w:szCs w:val="24"/>
                                      <w:lang w:eastAsia="lt-LT"/>
                                    </w:rPr>
                                    <w:t>. sudaryti Ekspertų komisiją daiktų ir įrenginių modelius ginklams, ginklų priedėliams, šaudmenims, jų dalims ir konkrečiai jų kategorijai priskirti.</w:t>
                                  </w:r>
                                </w:p>
                              </w:sdtContent>
                            </w:sdt>
                          </w:sdtContent>
                        </w:sdt>
                        <w:sdt>
                          <w:sdtPr>
                            <w:alias w:val="1.2 pp."/>
                            <w:tag w:val="part_36ffa0e564ff44ce93b333e91370d318"/>
                            <w:lock w:val="sdtLocked"/>
                            <w:richText/>
                          </w:sdtPr>
                          <w:sdtContent>
                            <w:p>
                              <w:pPr>
                                <w:tabs>
                                  <w:tab w:val="left" w:pos="9214"/>
                                </w:tabs>
                                <w:ind w:firstLine="851"/>
                                <w:jc w:val="both"/>
                                <w:rPr>
                                  <w:color w:val="000000"/>
                                  <w:szCs w:val="24"/>
                                </w:rPr>
                              </w:pPr>
                              <w:sdt>
                                <w:sdtPr>
                                  <w:alias w:val="Numeris"/>
                                  <w:tag w:val="nr_36ffa0e564ff44ce93b333e91370d318"/>
                                  <w:lock w:val="sdtLocked"/>
                                  <w:richText/>
                                </w:sdtPr>
                                <w:sdtContent>
                                  <w:r>
                                    <w:rPr>
                                      <w:szCs w:val="24"/>
                                      <w:lang w:eastAsia="lt-LT"/>
                                    </w:rPr>
                                    <w:t>1.2</w:t>
                                  </w:r>
                                </w:sdtContent>
                              </w:sdt>
                              <w:r>
                                <w:rPr>
                                  <w:szCs w:val="24"/>
                                  <w:lang w:eastAsia="lt-LT"/>
                                </w:rPr>
                                <w:t xml:space="preserve">. </w:t>
                              </w:r>
                              <w:r>
                                <w:rPr>
                                  <w:color w:val="000000"/>
                                  <w:szCs w:val="24"/>
                                </w:rPr>
                                <w:t>Turto valdymo ir ūkio departamentą prie Lietuvos Respublikos vidaus reikalų ministerijos:</w:t>
                              </w:r>
                            </w:p>
                            <w:sdt>
                              <w:sdtPr>
                                <w:alias w:val="1.2.1 pp."/>
                                <w:tag w:val="part_33598d32a5514dbdba047de4e214612f"/>
                                <w:lock w:val="sdtLocked"/>
                                <w:richText/>
                              </w:sdtPr>
                              <w:sdtContent>
                                <w:p>
                                  <w:pPr>
                                    <w:tabs>
                                      <w:tab w:val="left" w:pos="9214"/>
                                    </w:tabs>
                                    <w:ind w:firstLine="851"/>
                                    <w:jc w:val="both"/>
                                    <w:rPr>
                                      <w:color w:val="000000"/>
                                      <w:szCs w:val="24"/>
                                    </w:rPr>
                                  </w:pPr>
                                  <w:sdt>
                                    <w:sdtPr>
                                      <w:alias w:val="Numeris"/>
                                      <w:tag w:val="nr_33598d32a5514dbdba047de4e214612f"/>
                                      <w:lock w:val="sdtLocked"/>
                                      <w:richText/>
                                    </w:sdtPr>
                                    <w:sdtContent>
                                      <w:r>
                                        <w:rPr>
                                          <w:color w:val="000000"/>
                                          <w:szCs w:val="24"/>
                                        </w:rPr>
                                        <w:t>1.2.1</w:t>
                                      </w:r>
                                    </w:sdtContent>
                                  </w:sdt>
                                  <w:r>
                                    <w:rPr>
                                      <w:color w:val="000000"/>
                                      <w:szCs w:val="24"/>
                                    </w:rPr>
                                    <w:t>. patvirtinti:</w:t>
                                  </w:r>
                                </w:p>
                                <w:sdt>
                                  <w:sdtPr>
                                    <w:alias w:val="1.2.1.1 pp."/>
                                    <w:tag w:val="part_cb74b6affa4d4d639af90f513f5f754a"/>
                                    <w:lock w:val="sdtLocked"/>
                                    <w:richText/>
                                  </w:sdtPr>
                                  <w:sdtContent>
                                    <w:p>
                                      <w:pPr>
                                        <w:tabs>
                                          <w:tab w:val="left" w:pos="9214"/>
                                        </w:tabs>
                                        <w:ind w:firstLine="851"/>
                                        <w:jc w:val="both"/>
                                        <w:rPr>
                                          <w:color w:val="000000"/>
                                          <w:szCs w:val="24"/>
                                        </w:rPr>
                                      </w:pPr>
                                      <w:sdt>
                                        <w:sdtPr>
                                          <w:alias w:val="Numeris"/>
                                          <w:tag w:val="nr_cb74b6affa4d4d639af90f513f5f754a"/>
                                          <w:lock w:val="sdtLocked"/>
                                          <w:richText/>
                                        </w:sdtPr>
                                        <w:sdtContent>
                                          <w:r>
                                            <w:rPr>
                                              <w:color w:val="000000"/>
                                              <w:szCs w:val="24"/>
                                            </w:rPr>
                                            <w:t>1.2.1.1</w:t>
                                          </w:r>
                                        </w:sdtContent>
                                      </w:sdt>
                                      <w:r>
                                        <w:rPr>
                                          <w:color w:val="000000"/>
                                          <w:szCs w:val="24"/>
                                        </w:rPr>
                                        <w:t>. Perduotų realizuoti ginklų, ginklų priedėlių, šaudmenų, jų dalių vertės apskaičiavimo tvarką;</w:t>
                                      </w:r>
                                    </w:p>
                                  </w:sdtContent>
                                </w:sdt>
                                <w:sdt>
                                  <w:sdtPr>
                                    <w:alias w:val="1.2.1.2 pp."/>
                                    <w:tag w:val="part_d2d61c3ec95a44f0bd2cbe15dfdc7444"/>
                                    <w:lock w:val="sdtLocked"/>
                                    <w:richText/>
                                  </w:sdtPr>
                                  <w:sdtContent>
                                    <w:p>
                                      <w:pPr>
                                        <w:tabs>
                                          <w:tab w:val="left" w:pos="9214"/>
                                        </w:tabs>
                                        <w:ind w:firstLine="851"/>
                                        <w:jc w:val="both"/>
                                        <w:rPr>
                                          <w:color w:val="000000"/>
                                          <w:szCs w:val="24"/>
                                        </w:rPr>
                                      </w:pPr>
                                      <w:sdt>
                                        <w:sdtPr>
                                          <w:alias w:val="Numeris"/>
                                          <w:tag w:val="nr_d2d61c3ec95a44f0bd2cbe15dfdc7444"/>
                                          <w:lock w:val="sdtLocked"/>
                                          <w:richText/>
                                        </w:sdtPr>
                                        <w:sdtContent>
                                          <w:r>
                                            <w:rPr>
                                              <w:color w:val="000000"/>
                                              <w:szCs w:val="24"/>
                                            </w:rPr>
                                            <w:t>1.2.1.2</w:t>
                                          </w:r>
                                        </w:sdtContent>
                                      </w:sdt>
                                      <w:r>
                                        <w:rPr>
                                          <w:color w:val="000000"/>
                                          <w:szCs w:val="24"/>
                                        </w:rPr>
                                        <w:t>. Ginklų, šaudmenų, jų dalių sunaikinimo tvarką.</w:t>
                                      </w:r>
                                    </w:p>
                                  </w:sdtContent>
                                </w:sdt>
                              </w:sdtContent>
                            </w:sdt>
                            <w:sdt>
                              <w:sdtPr>
                                <w:alias w:val="1.2.2 pp."/>
                                <w:tag w:val="part_a5219dffc9c84c70b3e9f37d42700795"/>
                                <w:lock w:val="sdtLocked"/>
                                <w:richText/>
                              </w:sdtPr>
                              <w:sdtContent>
                                <w:p>
                                  <w:pPr>
                                    <w:tabs>
                                      <w:tab w:val="left" w:pos="9214"/>
                                    </w:tabs>
                                    <w:ind w:firstLine="851"/>
                                    <w:jc w:val="both"/>
                                    <w:rPr>
                                      <w:color w:val="000000"/>
                                      <w:szCs w:val="24"/>
                                    </w:rPr>
                                  </w:pPr>
                                  <w:sdt>
                                    <w:sdtPr>
                                      <w:alias w:val="Numeris"/>
                                      <w:tag w:val="nr_a5219dffc9c84c70b3e9f37d42700795"/>
                                      <w:lock w:val="sdtLocked"/>
                                      <w:richText/>
                                    </w:sdtPr>
                                    <w:sdtContent>
                                      <w:r>
                                        <w:rPr>
                                          <w:color w:val="000000"/>
                                          <w:szCs w:val="24"/>
                                        </w:rPr>
                                        <w:t>1.2.2</w:t>
                                      </w:r>
                                    </w:sdtContent>
                                  </w:sdt>
                                  <w:r>
                                    <w:rPr>
                                      <w:color w:val="000000"/>
                                      <w:szCs w:val="24"/>
                                    </w:rPr>
                                    <w:t>. atrinkti subjektą, turintį teisę prekiauti ginklais, ginklų priedėliais, šaudmenimis ir jų dalimis, kuris realizuos iš asmenų paimtus tinkamus naudoti ginklus, ginklų priedėlius, šaudmenis, jų dalis;</w:t>
                                  </w:r>
                                </w:p>
                              </w:sdtContent>
                            </w:sdt>
                            <w:sdt>
                              <w:sdtPr>
                                <w:alias w:val="1.2.3 pp."/>
                                <w:tag w:val="part_5ab58c862b014ef6b928986c24ab4323"/>
                                <w:lock w:val="sdtLocked"/>
                                <w:richText/>
                              </w:sdtPr>
                              <w:sdtContent>
                                <w:p>
                                  <w:pPr>
                                    <w:tabs>
                                      <w:tab w:val="left" w:pos="9214"/>
                                    </w:tabs>
                                    <w:ind w:firstLine="851"/>
                                    <w:jc w:val="both"/>
                                    <w:rPr>
                                      <w:color w:val="000000"/>
                                      <w:szCs w:val="24"/>
                                    </w:rPr>
                                  </w:pPr>
                                  <w:sdt>
                                    <w:sdtPr>
                                      <w:alias w:val="Numeris"/>
                                      <w:tag w:val="nr_5ab58c862b014ef6b928986c24ab4323"/>
                                      <w:lock w:val="sdtLocked"/>
                                      <w:richText/>
                                    </w:sdtPr>
                                    <w:sdtContent>
                                      <w:r>
                                        <w:rPr>
                                          <w:color w:val="000000"/>
                                          <w:szCs w:val="24"/>
                                        </w:rPr>
                                        <w:t>1.2.3</w:t>
                                      </w:r>
                                    </w:sdtContent>
                                  </w:sdt>
                                  <w:r>
                                    <w:rPr>
                                      <w:color w:val="000000"/>
                                      <w:szCs w:val="24"/>
                                    </w:rPr>
                                    <w:t>. realizuoti iš asmenų paimtus ar asmenų perduotus tinkamus naudoti A kategorijos ginklus, ginklų dalis ir šaudmenis, skirtus tik A kategorijos ginklams, A kategorijos ginklų priedėlius taip pat Lietuvos Respublikos ginklų ir šaudmenų kontrolės įstatymo 3 straipsnio 7 punkte nurodytų ginklų dėtuves, į kurias telpa daugiau kaip 20 šovinių, ir šio įstatymo 3 straipsnio 8 punkte nurodytų ginklų dėtuves, į kurias telpa daugiau kaip 10 šovinių;</w:t>
                                  </w:r>
                                </w:p>
                              </w:sdtContent>
                            </w:sdt>
                            <w:sdt>
                              <w:sdtPr>
                                <w:alias w:val="1.2.4 pp."/>
                                <w:tag w:val="part_e88e3b1930834484b5f374a93067f732"/>
                                <w:lock w:val="sdtLocked"/>
                                <w:richText/>
                              </w:sdtPr>
                              <w:sdtContent>
                                <w:p>
                                  <w:pPr>
                                    <w:tabs>
                                      <w:tab w:val="left" w:pos="9214"/>
                                    </w:tabs>
                                    <w:ind w:firstLine="851"/>
                                    <w:jc w:val="both"/>
                                    <w:rPr>
                                      <w:color w:val="000000"/>
                                      <w:szCs w:val="24"/>
                                    </w:rPr>
                                  </w:pPr>
                                  <w:sdt>
                                    <w:sdtPr>
                                      <w:alias w:val="Numeris"/>
                                      <w:tag w:val="nr_e88e3b1930834484b5f374a93067f732"/>
                                      <w:lock w:val="sdtLocked"/>
                                      <w:richText/>
                                    </w:sdtPr>
                                    <w:sdtContent>
                                      <w:r>
                                        <w:rPr>
                                          <w:color w:val="000000"/>
                                          <w:szCs w:val="24"/>
                                        </w:rPr>
                                        <w:t>1.2.4</w:t>
                                      </w:r>
                                    </w:sdtContent>
                                  </w:sdt>
                                  <w:r>
                                    <w:rPr>
                                      <w:color w:val="000000"/>
                                      <w:szCs w:val="24"/>
                                    </w:rPr>
                                    <w:t>. naikinti netinkamus naudoti ar perduotus sunaikinti ginklus, ginklų priedėlius, šaudmenis, jų dalis;</w:t>
                                  </w:r>
                                </w:p>
                              </w:sdtContent>
                            </w:sdt>
                            <w:sdt>
                              <w:sdtPr>
                                <w:alias w:val="1.2.5 pp."/>
                                <w:tag w:val="part_7544d0687b7843758006f50c8a497ff0"/>
                                <w:lock w:val="sdtLocked"/>
                                <w:richText/>
                              </w:sdtPr>
                              <w:sdtContent>
                                <w:p>
                                  <w:pPr>
                                    <w:tabs>
                                      <w:tab w:val="left" w:pos="9214"/>
                                    </w:tabs>
                                    <w:ind w:firstLine="851"/>
                                    <w:jc w:val="both"/>
                                    <w:rPr>
                                      <w:color w:val="000000"/>
                                      <w:szCs w:val="24"/>
                                    </w:rPr>
                                  </w:pPr>
                                  <w:sdt>
                                    <w:sdtPr>
                                      <w:alias w:val="Numeris"/>
                                      <w:tag w:val="nr_7544d0687b7843758006f50c8a497ff0"/>
                                      <w:lock w:val="sdtLocked"/>
                                      <w:richText/>
                                    </w:sdtPr>
                                    <w:sdtContent>
                                      <w:r>
                                        <w:rPr>
                                          <w:color w:val="000000"/>
                                          <w:szCs w:val="24"/>
                                        </w:rPr>
                                        <w:t>1.2.5</w:t>
                                      </w:r>
                                    </w:sdtContent>
                                  </w:sdt>
                                  <w:r>
                                    <w:rPr>
                                      <w:color w:val="000000"/>
                                      <w:szCs w:val="24"/>
                                    </w:rPr>
                                    <w:t>. aprūpinti valstybės institucijas ir įstaigas, išskyrus Lietuvos Respublikos krašto apsaugos ministeriją, jai pavaldžias įstaigas ir Lietuvos kariuomenę, visų kategorijų ginklais, ginklų priedėliais, šaudmenimis ir jų dalimis, atlikti ginklų, ginklų priedėlių, šaudmenų ir jų dalių pirkimus;</w:t>
                                  </w:r>
                                </w:p>
                              </w:sdtContent>
                            </w:sdt>
                            <w:sdt>
                              <w:sdtPr>
                                <w:alias w:val="1.2.6 pp."/>
                                <w:tag w:val="part_9a07154f887845ac80925c9623a873fe"/>
                                <w:lock w:val="sdtLocked"/>
                                <w:richText/>
                              </w:sdtPr>
                              <w:sdtContent>
                                <w:p>
                                  <w:pPr>
                                    <w:tabs>
                                      <w:tab w:val="left" w:pos="9214"/>
                                    </w:tabs>
                                    <w:ind w:firstLine="851"/>
                                    <w:jc w:val="both"/>
                                    <w:rPr>
                                      <w:color w:val="000000"/>
                                      <w:szCs w:val="24"/>
                                    </w:rPr>
                                  </w:pPr>
                                  <w:sdt>
                                    <w:sdtPr>
                                      <w:alias w:val="Numeris"/>
                                      <w:tag w:val="nr_9a07154f887845ac80925c9623a873fe"/>
                                      <w:lock w:val="sdtLocked"/>
                                      <w:richText/>
                                    </w:sdtPr>
                                    <w:sdtContent>
                                      <w:r>
                                        <w:rPr>
                                          <w:color w:val="000000"/>
                                          <w:szCs w:val="24"/>
                                        </w:rPr>
                                        <w:t>1.2.6</w:t>
                                      </w:r>
                                    </w:sdtContent>
                                  </w:sdt>
                                  <w:r>
                                    <w:rPr>
                                      <w:color w:val="000000"/>
                                      <w:szCs w:val="24"/>
                                    </w:rPr>
                                    <w:t xml:space="preserve">. užtikrinti galimybę fiziniams ir juridiniams asmenims, </w:t>
                                  </w:r>
                                  <w:r>
                                    <w:t>turintiems tokią teisę pagal Lietuvos Respublikos ginklų ir šaudmenų kontrolės įstatymą,</w:t>
                                  </w:r>
                                  <w:r>
                                    <w:rPr>
                                      <w:color w:val="000000"/>
                                      <w:szCs w:val="24"/>
                                    </w:rPr>
                                    <w:t xml:space="preserve"> įsigyti A kategorijos ginklų, ginklų dalių ir šaudmenų, skirtų tik A kategorijos ginklams, A kategorijos ginklų priedėlių, taip pat Lietuvos Respublikos ginklų ir šaudmenų kontrolės įstatymo 3 straipsnio 7 punkte nurodytų ginklų dėtuvių, į kurias telpa daugiau kaip 20 šovinių, ir šio įstatymo 3 straipsnio 8 punkte nurodytų ginklų dėtuvių, į kurias telpa daugiau kaip 10 šovinių;</w:t>
                                  </w:r>
                                </w:p>
                              </w:sdtContent>
                            </w:sdt>
                            <w:sdt>
                              <w:sdtPr>
                                <w:alias w:val="1.2.7 pp."/>
                                <w:tag w:val="part_eda72d84bff4412ebe06b210852cb6b7"/>
                                <w:lock w:val="sdtLocked"/>
                                <w:richText/>
                              </w:sdtPr>
                              <w:sdtContent>
                                <w:p>
                                  <w:pPr>
                                    <w:tabs>
                                      <w:tab w:val="left" w:pos="9214"/>
                                    </w:tabs>
                                    <w:ind w:firstLine="851"/>
                                    <w:jc w:val="both"/>
                                    <w:rPr>
                                      <w:color w:val="000000"/>
                                      <w:szCs w:val="24"/>
                                    </w:rPr>
                                  </w:pPr>
                                  <w:sdt>
                                    <w:sdtPr>
                                      <w:alias w:val="Numeris"/>
                                      <w:tag w:val="nr_eda72d84bff4412ebe06b210852cb6b7"/>
                                      <w:lock w:val="sdtLocked"/>
                                      <w:richText/>
                                    </w:sdtPr>
                                    <w:sdtContent>
                                      <w:r>
                                        <w:rPr>
                                          <w:color w:val="000000"/>
                                          <w:szCs w:val="24"/>
                                        </w:rPr>
                                        <w:t>1.2.7</w:t>
                                      </w:r>
                                    </w:sdtContent>
                                  </w:sdt>
                                  <w:r>
                                    <w:rPr>
                                      <w:color w:val="000000"/>
                                      <w:szCs w:val="24"/>
                                    </w:rPr>
                                    <w:t>. sudaryti ginklų naikinimo komisiją.</w:t>
                                  </w:r>
                                </w:p>
                              </w:sdtContent>
                            </w:sdt>
                          </w:sdtContent>
                        </w:sdt>
                      </w:sdtContent>
                    </w:sdt>
                    <w:sdt>
                      <w:sdtPr>
                        <w:alias w:val="2 p."/>
                        <w:tag w:val="part_7795d9d3038d442c877463e4574f5f8c"/>
                        <w:lock w:val="sdtLocked"/>
                        <w:richText/>
                      </w:sdtPr>
                      <w:sdtContent>
                        <w:p>
                          <w:pPr>
                            <w:tabs>
                              <w:tab w:val="left" w:pos="9214"/>
                            </w:tabs>
                            <w:ind w:firstLine="851"/>
                            <w:jc w:val="both"/>
                            <w:rPr>
                              <w:color w:val="000000"/>
                              <w:szCs w:val="24"/>
                            </w:rPr>
                          </w:pPr>
                          <w:sdt>
                            <w:sdtPr>
                              <w:alias w:val="Numeris"/>
                              <w:tag w:val="nr_7795d9d3038d442c877463e4574f5f8c"/>
                              <w:lock w:val="sdtLocked"/>
                              <w:richText/>
                            </w:sdtPr>
                            <w:sdtContent>
                              <w:r>
                                <w:rPr>
                                  <w:color w:val="000000"/>
                                  <w:szCs w:val="24"/>
                                </w:rPr>
                                <w:t>2</w:t>
                              </w:r>
                            </w:sdtContent>
                          </w:sdt>
                          <w:r>
                            <w:rPr>
                              <w:color w:val="000000"/>
                              <w:szCs w:val="24"/>
                            </w:rPr>
                            <w:t>. Nustatyti, kad Turto valdymo ir ūkio departamentas prie Lietuvos Respublikos vidaus reikalų ministerijos turi teisę:</w:t>
                          </w:r>
                        </w:p>
                        <w:sdt>
                          <w:sdtPr>
                            <w:alias w:val="2.1 pp."/>
                            <w:tag w:val="part_13c5253a37b9485b90e0c8646891c3f1"/>
                            <w:lock w:val="sdtLocked"/>
                            <w:richText/>
                          </w:sdtPr>
                          <w:sdtContent>
                            <w:p>
                              <w:pPr>
                                <w:tabs>
                                  <w:tab w:val="left" w:pos="9214"/>
                                </w:tabs>
                                <w:ind w:firstLine="851"/>
                                <w:jc w:val="both"/>
                                <w:rPr>
                                  <w:color w:val="000000"/>
                                  <w:szCs w:val="24"/>
                                </w:rPr>
                              </w:pPr>
                              <w:sdt>
                                <w:sdtPr>
                                  <w:alias w:val="Numeris"/>
                                  <w:tag w:val="nr_13c5253a37b9485b90e0c8646891c3f1"/>
                                  <w:lock w:val="sdtLocked"/>
                                  <w:richText/>
                                </w:sdtPr>
                                <w:sdtContent>
                                  <w:r>
                                    <w:rPr>
                                      <w:color w:val="000000"/>
                                      <w:szCs w:val="24"/>
                                    </w:rPr>
                                    <w:t>2.1</w:t>
                                  </w:r>
                                </w:sdtContent>
                              </w:sdt>
                              <w:r>
                                <w:rPr>
                                  <w:color w:val="000000"/>
                                  <w:szCs w:val="24"/>
                                </w:rPr>
                                <w:t>. eksportuoti, importuoti, vežti visų kategorijų ginklus, ginklų priedėlius, šaudmenis, jų dalis, taip pat Lietuvos Respublikos ginklų ir šaudmenų kontrolės įstatymo 3 straipsnio 7 punkte nurodytų ginklų dėtuves, į kurias telpa daugiau kaip 20 šovinių, ir šio įstatymo 3 straipsnio 8 punkte nurodytų ginklų dėtuves, į kurias telpa daugiau kaip 10 šovinių;</w:t>
                              </w:r>
                            </w:p>
                          </w:sdtContent>
                        </w:sdt>
                        <w:sdt>
                          <w:sdtPr>
                            <w:alias w:val="2.2 pp."/>
                            <w:tag w:val="part_2d3a8721602245db8dfb295dcaf2773f"/>
                            <w:lock w:val="sdtLocked"/>
                            <w:richText/>
                          </w:sdtPr>
                          <w:sdtContent>
                            <w:p>
                              <w:pPr>
                                <w:tabs>
                                  <w:tab w:val="left" w:pos="9214"/>
                                </w:tabs>
                                <w:ind w:firstLine="851"/>
                                <w:jc w:val="both"/>
                                <w:rPr>
                                  <w:color w:val="000000"/>
                                  <w:szCs w:val="24"/>
                                </w:rPr>
                              </w:pPr>
                              <w:sdt>
                                <w:sdtPr>
                                  <w:alias w:val="Numeris"/>
                                  <w:tag w:val="nr_2d3a8721602245db8dfb295dcaf2773f"/>
                                  <w:lock w:val="sdtLocked"/>
                                  <w:richText/>
                                </w:sdtPr>
                                <w:sdtContent>
                                  <w:r>
                                    <w:rPr>
                                      <w:color w:val="000000"/>
                                      <w:szCs w:val="24"/>
                                    </w:rPr>
                                    <w:t>2.2</w:t>
                                  </w:r>
                                </w:sdtContent>
                              </w:sdt>
                              <w:r>
                                <w:rPr>
                                  <w:color w:val="000000"/>
                                  <w:szCs w:val="24"/>
                                </w:rPr>
                                <w:t>. prekiauti visų kategorijų ginklais, ginklų priedėliais, šaudmenimis, jų dalimis, taip pat Lietuvos Respublikos ginklų ir šaudmenų kontrolės įstatymo 3 straipsnio 7 punkte nurodytų ginklų dėtuvėmis, į kurias telpa daugiau kaip 20 šovinių, ir šio įstatymo 3 straipsnio 8 punkte nurodytų ginklų dėtuvėmis, į kurias telpa daugiau kaip 10 šovinių.“</w:t>
                              </w:r>
                            </w:p>
                          </w:sdtContent>
                        </w:sdt>
                      </w:sdtContent>
                    </w:sdt>
                  </w:sdtContent>
                </w:sdt>
              </w:sdtContent>
            </w:sdt>
          </w:sdtContent>
        </w:sdt>
        <w:sdt>
          <w:sdtPr>
            <w:alias w:val="2 p."/>
            <w:tag w:val="part_8b184af1ec494166907ca18923caab87"/>
            <w:lock w:val="sdtLocked"/>
            <w:richText/>
          </w:sdtPr>
          <w:sdtContent>
            <w:p>
              <w:pPr>
                <w:tabs>
                  <w:tab w:val="left" w:pos="9214"/>
                </w:tabs>
                <w:ind w:firstLine="851"/>
                <w:jc w:val="both"/>
                <w:rPr>
                  <w:color w:val="000000"/>
                  <w:szCs w:val="24"/>
                </w:rPr>
              </w:pPr>
              <w:sdt>
                <w:sdtPr>
                  <w:alias w:val="Numeris"/>
                  <w:tag w:val="nr_8b184af1ec494166907ca18923caab87"/>
                  <w:lock w:val="sdtLocked"/>
                  <w:richText/>
                </w:sdtPr>
                <w:sdtContent>
                  <w:r>
                    <w:rPr>
                      <w:color w:val="000000"/>
                      <w:szCs w:val="24"/>
                    </w:rPr>
                    <w:t>2</w:t>
                  </w:r>
                </w:sdtContent>
              </w:sdt>
              <w:r>
                <w:rPr>
                  <w:color w:val="000000"/>
                  <w:szCs w:val="24"/>
                </w:rPr>
                <w:t>. Pavesti Turto valdymo ir ūkio departamentui prie Lietuvos Respublikos vidaus reikalų ministerijos:</w:t>
              </w:r>
            </w:p>
            <w:sdt>
              <w:sdtPr>
                <w:alias w:val="2.1 pp."/>
                <w:tag w:val="part_a4fc9f680029463e88c010ceadbf8c59"/>
                <w:lock w:val="sdtLocked"/>
                <w:richText/>
              </w:sdtPr>
              <w:sdtContent>
                <w:p>
                  <w:pPr>
                    <w:tabs>
                      <w:tab w:val="left" w:pos="9214"/>
                    </w:tabs>
                    <w:ind w:firstLine="851"/>
                    <w:jc w:val="both"/>
                    <w:rPr>
                      <w:color w:val="000000"/>
                      <w:szCs w:val="24"/>
                    </w:rPr>
                  </w:pPr>
                  <w:sdt>
                    <w:sdtPr>
                      <w:alias w:val="Numeris"/>
                      <w:tag w:val="nr_a4fc9f680029463e88c010ceadbf8c59"/>
                      <w:lock w:val="sdtLocked"/>
                      <w:richText/>
                    </w:sdtPr>
                    <w:sdtContent>
                      <w:r>
                        <w:rPr>
                          <w:color w:val="000000"/>
                          <w:szCs w:val="24"/>
                        </w:rPr>
                        <w:t>2.1</w:t>
                      </w:r>
                    </w:sdtContent>
                  </w:sdt>
                  <w:r>
                    <w:rPr>
                      <w:color w:val="000000"/>
                      <w:szCs w:val="24"/>
                    </w:rPr>
                    <w:t xml:space="preserve">. pabaigti Lietuvos Respublikos ginklų fondo prie Lietuvos Respublikos vidaus reikalų ministerijos iki </w:t>
                  </w:r>
                  <w:r>
                    <w:rPr>
                      <w:bCs/>
                      <w:color w:val="000000"/>
                      <w:szCs w:val="24"/>
                    </w:rPr>
                    <w:t>Lietuvos Respublikos</w:t>
                  </w:r>
                  <w:r>
                    <w:rPr>
                      <w:color w:val="000000"/>
                      <w:szCs w:val="24"/>
                    </w:rPr>
                    <w:t xml:space="preserve"> </w:t>
                  </w:r>
                  <w:r>
                    <w:rPr>
                      <w:bCs/>
                      <w:color w:val="000000"/>
                      <w:szCs w:val="24"/>
                    </w:rPr>
                    <w:t xml:space="preserve">ginklų ir šaudmenų kontrolės įstatymo </w:t>
                    <w:br/>
                    <w:t>Nr. IX-705 2, 8, 16, 23, 24, 25, 26, 30, 41, 42, 43 straipsnių pakeitimo ir įstatymo papildymo 45</w:t>
                  </w:r>
                  <w:r>
                    <w:rPr>
                      <w:bCs/>
                      <w:color w:val="000000"/>
                      <w:szCs w:val="24"/>
                      <w:vertAlign w:val="superscript"/>
                    </w:rPr>
                    <w:t>1</w:t>
                  </w:r>
                  <w:r>
                    <w:rPr>
                      <w:bCs/>
                      <w:color w:val="000000"/>
                      <w:szCs w:val="24"/>
                    </w:rPr>
                    <w:t xml:space="preserve"> straipsniu </w:t>
                  </w:r>
                  <w:r>
                    <w:rPr>
                      <w:color w:val="000000"/>
                      <w:szCs w:val="24"/>
                    </w:rPr>
                    <w:t>įstatymo įsigaliojimo pradėtas ginklų, ginklų priedėlių, šaudmenų ir jų dalių pirkimo, sunaikinimo, importo (įvežimo), eksporto (išvežimo) procedūras;</w:t>
                  </w:r>
                </w:p>
              </w:sdtContent>
            </w:sdt>
            <w:sdt>
              <w:sdtPr>
                <w:alias w:val="2.2 pp."/>
                <w:tag w:val="part_07c0c4ea5fa145f5a2984d43a79cc046"/>
                <w:lock w:val="sdtLocked"/>
                <w:richText/>
              </w:sdtPr>
              <w:sdtContent>
                <w:p>
                  <w:pPr>
                    <w:tabs>
                      <w:tab w:val="left" w:pos="9214"/>
                    </w:tabs>
                    <w:ind w:firstLine="851"/>
                    <w:jc w:val="both"/>
                    <w:rPr>
                      <w:color w:val="000000"/>
                      <w:szCs w:val="24"/>
                    </w:rPr>
                  </w:pPr>
                  <w:sdt>
                    <w:sdtPr>
                      <w:alias w:val="Numeris"/>
                      <w:tag w:val="nr_07c0c4ea5fa145f5a2984d43a79cc046"/>
                      <w:lock w:val="sdtLocked"/>
                      <w:richText/>
                    </w:sdtPr>
                    <w:sdtContent>
                      <w:r>
                        <w:rPr>
                          <w:color w:val="000000"/>
                          <w:szCs w:val="24"/>
                        </w:rPr>
                        <w:t>2.2</w:t>
                      </w:r>
                    </w:sdtContent>
                  </w:sdt>
                  <w:r>
                    <w:rPr>
                      <w:color w:val="000000"/>
                      <w:szCs w:val="24"/>
                    </w:rPr>
                    <w:t>. priimti iš Lietuvos Respublikos ginklų fondo prie Lietuvos Respublikos vidaus reikalų ministerijos šio fondo turimus ginklus, ginklų priedėlius, šaudmenis ir jų dalis, taip pat dokumentus, susijusius su ginklų, ginklų priedėlių, šaudmenų ir jų dalių apyvarta;</w:t>
                  </w:r>
                </w:p>
              </w:sdtContent>
            </w:sdt>
            <w:sdt>
              <w:sdtPr>
                <w:alias w:val="2.3 pp."/>
                <w:tag w:val="part_16788aaa234e4de1aa8d93a6429a9e2e"/>
                <w:lock w:val="sdtLocked"/>
                <w:richText/>
              </w:sdtPr>
              <w:sdtContent>
                <w:p>
                  <w:pPr>
                    <w:tabs>
                      <w:tab w:val="left" w:pos="9214"/>
                    </w:tabs>
                    <w:ind w:firstLine="851"/>
                    <w:jc w:val="both"/>
                    <w:rPr>
                      <w:color w:val="000000"/>
                      <w:szCs w:val="24"/>
                    </w:rPr>
                  </w:pPr>
                  <w:sdt>
                    <w:sdtPr>
                      <w:alias w:val="Numeris"/>
                      <w:tag w:val="nr_16788aaa234e4de1aa8d93a6429a9e2e"/>
                      <w:lock w:val="sdtLocked"/>
                      <w:richText/>
                    </w:sdtPr>
                    <w:sdtContent>
                      <w:r>
                        <w:rPr>
                          <w:color w:val="000000"/>
                          <w:szCs w:val="24"/>
                        </w:rPr>
                        <w:t>2.3</w:t>
                      </w:r>
                    </w:sdtContent>
                  </w:sdt>
                  <w:r>
                    <w:rPr>
                      <w:color w:val="000000"/>
                      <w:szCs w:val="24"/>
                    </w:rPr>
                    <w:t>. komiso sutarčių pagrindais Lietuvos Respublikos ginklų fondo prie Lietuvos Respublikos vidaus reikalų ministerijos gautus ginklus, ginklų priedėlius, šaudmenis ir jų dalis grąžinti jų savininkams.</w:t>
                  </w:r>
                </w:p>
              </w:sdtContent>
            </w:sdt>
          </w:sdtContent>
        </w:sdt>
        <w:sdt>
          <w:sdtPr>
            <w:alias w:val="3 p."/>
            <w:tag w:val="part_09a08cd2a1dc43ce8a83a7229396ad48"/>
            <w:lock w:val="sdtLocked"/>
            <w:richText/>
          </w:sdtPr>
          <w:sdtContent>
            <w:p>
              <w:pPr>
                <w:tabs>
                  <w:tab w:val="left" w:pos="9214"/>
                </w:tabs>
                <w:ind w:firstLine="851"/>
                <w:jc w:val="both"/>
                <w:rPr>
                  <w:bCs/>
                  <w:szCs w:val="24"/>
                  <w:lang w:eastAsia="lt-LT"/>
                </w:rPr>
              </w:pPr>
              <w:sdt>
                <w:sdtPr>
                  <w:alias w:val="Numeris"/>
                  <w:tag w:val="nr_09a08cd2a1dc43ce8a83a7229396ad48"/>
                  <w:lock w:val="sdtLocked"/>
                  <w:richText/>
                </w:sdtPr>
                <w:sdtContent>
                  <w:r>
                    <w:rPr>
                      <w:bCs/>
                      <w:szCs w:val="24"/>
                      <w:lang w:eastAsia="lt-LT"/>
                    </w:rPr>
                    <w:t>3</w:t>
                  </w:r>
                </w:sdtContent>
              </w:sdt>
              <w:r>
                <w:rPr>
                  <w:bCs/>
                  <w:szCs w:val="24"/>
                  <w:lang w:eastAsia="lt-LT"/>
                </w:rPr>
                <w:t>. Pripažinti netekusiu galios</w:t>
              </w:r>
              <w:r>
                <w:rPr>
                  <w:b/>
                  <w:bCs/>
                  <w:szCs w:val="24"/>
                  <w:lang w:eastAsia="lt-LT"/>
                </w:rPr>
                <w:t xml:space="preserve"> </w:t>
              </w:r>
              <w:r>
                <w:rPr>
                  <w:bCs/>
                  <w:szCs w:val="24"/>
                  <w:lang w:eastAsia="lt-LT"/>
                </w:rPr>
                <w:t>Lietuvos Respublikos Vyriausybės 2011 m. balandžio 13 d. nutarimą Nr. 432 „Dėl Lietuvos Respublikos ginklų ir šaudmenų kontrolės įstatymo įgyvendinimo“ su visais pakeitimais ir papildymais.</w:t>
              </w:r>
            </w:p>
          </w:sdtContent>
        </w:sdt>
        <w:sdt>
          <w:sdtPr>
            <w:alias w:val="4 p."/>
            <w:tag w:val="part_8ef9b44b1a8547689048f1474c22ccc5"/>
            <w:lock w:val="sdtLocked"/>
            <w:richText/>
          </w:sdtPr>
          <w:sdtContent>
            <w:p>
              <w:pPr>
                <w:tabs>
                  <w:tab w:val="left" w:pos="9214"/>
                </w:tabs>
                <w:ind w:firstLine="851"/>
                <w:jc w:val="both"/>
                <w:rPr>
                  <w:bCs/>
                  <w:szCs w:val="24"/>
                  <w:lang w:eastAsia="lt-LT"/>
                </w:rPr>
              </w:pPr>
              <w:sdt>
                <w:sdtPr>
                  <w:alias w:val="Numeris"/>
                  <w:tag w:val="nr_8ef9b44b1a8547689048f1474c22ccc5"/>
                  <w:lock w:val="sdtLocked"/>
                  <w:richText/>
                </w:sdtPr>
                <w:sdtContent>
                  <w:r>
                    <w:rPr>
                      <w:bCs/>
                      <w:szCs w:val="24"/>
                      <w:lang w:eastAsia="lt-LT"/>
                    </w:rPr>
                    <w:t>4</w:t>
                  </w:r>
                </w:sdtContent>
              </w:sdt>
              <w:r>
                <w:rPr>
                  <w:bCs/>
                  <w:szCs w:val="24"/>
                  <w:lang w:eastAsia="lt-LT"/>
                </w:rPr>
                <w:t xml:space="preserve">. Šis nutarimas, išskyrus šio nutarimo 2.2 ir 2.3 papunkčius, įsigalioja 2020 m. liepos 1 d. </w:t>
              </w:r>
            </w:p>
            <w:p>
              <w:pPr>
                <w:tabs>
                  <w:tab w:val="center" w:pos="-7800"/>
                  <w:tab w:val="left" w:pos="6237"/>
                  <w:tab w:val="right" w:pos="8306"/>
                </w:tabs>
              </w:pPr>
            </w:p>
            <w:p>
              <w:pPr>
                <w:tabs>
                  <w:tab w:val="center" w:pos="-7800"/>
                  <w:tab w:val="left" w:pos="6237"/>
                  <w:tab w:val="right" w:pos="8306"/>
                </w:tabs>
              </w:pPr>
            </w:p>
            <w:p>
              <w:pPr>
                <w:tabs>
                  <w:tab w:val="center" w:pos="-7800"/>
                  <w:tab w:val="left" w:pos="6237"/>
                  <w:tab w:val="right" w:pos="8306"/>
                </w:tabs>
              </w:pPr>
            </w:p>
          </w:sdtContent>
        </w:sdt>
        <w:sdt>
          <w:sdtPr>
            <w:alias w:val="signatura"/>
            <w:tag w:val="part_efc084bf0e3a47b990da68928e054b6b"/>
            <w:lock w:val="sdtLocked"/>
            <w:richText/>
          </w:sdtPr>
          <w:sdtContent>
            <w:p>
              <w:pPr>
                <w:tabs>
                  <w:tab w:val="center" w:pos="-7800"/>
                  <w:tab w:val="left" w:pos="7230"/>
                </w:tabs>
                <w:spacing w:line="360" w:lineRule="auto"/>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spacing w:line="360" w:lineRule="auto"/>
                <w:rPr>
                  <w:lang w:eastAsia="lt-LT"/>
                </w:rPr>
              </w:pPr>
              <w:r>
                <w:rPr>
                  <w:lang w:eastAsia="lt-LT"/>
                </w:rPr>
                <w:t>Vidaus reikalų ministras</w:t>
              </w:r>
            </w:p>
          </w:sdtContent>
        </w:sdt>
      </w:sdtContent>
    </w:sdt>
    <w:sectPr>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3</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58"/>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14037035">
      <w:bodyDiv w:val="1"/>
      <w:marLeft w:val="0"/>
      <w:marRight w:val="0"/>
      <w:marTop w:val="0"/>
      <w:marBottom w:val="0"/>
      <w:divBdr>
        <w:top w:val="none" w:sz="0" w:space="0" w:color="auto"/>
        <w:left w:val="none" w:sz="0" w:space="0" w:color="auto"/>
        <w:bottom w:val="none" w:sz="0" w:space="0" w:color="auto"/>
        <w:right w:val="none" w:sz="0" w:space="0" w:color="auto"/>
      </w:divBdr>
      <w:divsChild>
        <w:div w:id="572668204">
          <w:marLeft w:val="0"/>
          <w:marRight w:val="0"/>
          <w:marTop w:val="0"/>
          <w:marBottom w:val="0"/>
          <w:divBdr>
            <w:top w:val="none" w:sz="0" w:space="0" w:color="auto"/>
            <w:left w:val="none" w:sz="0" w:space="0" w:color="auto"/>
            <w:bottom w:val="none" w:sz="0" w:space="0" w:color="auto"/>
            <w:right w:val="none" w:sz="0" w:space="0" w:color="auto"/>
          </w:divBdr>
          <w:divsChild>
            <w:div w:id="373118459">
              <w:marLeft w:val="0"/>
              <w:marRight w:val="0"/>
              <w:marTop w:val="0"/>
              <w:marBottom w:val="0"/>
              <w:divBdr>
                <w:top w:val="none" w:sz="0" w:space="0" w:color="auto"/>
                <w:left w:val="none" w:sz="0" w:space="0" w:color="auto"/>
                <w:bottom w:val="none" w:sz="0" w:space="0" w:color="auto"/>
                <w:right w:val="none" w:sz="0" w:space="0" w:color="auto"/>
              </w:divBdr>
              <w:divsChild>
                <w:div w:id="1466434144">
                  <w:marLeft w:val="0"/>
                  <w:marRight w:val="0"/>
                  <w:marTop w:val="0"/>
                  <w:marBottom w:val="0"/>
                  <w:divBdr>
                    <w:top w:val="none" w:sz="0" w:space="0" w:color="auto"/>
                    <w:left w:val="none" w:sz="0" w:space="0" w:color="auto"/>
                    <w:bottom w:val="none" w:sz="0" w:space="0" w:color="auto"/>
                    <w:right w:val="none" w:sz="0" w:space="0" w:color="auto"/>
                  </w:divBdr>
                  <w:divsChild>
                    <w:div w:id="972947885">
                      <w:marLeft w:val="0"/>
                      <w:marRight w:val="0"/>
                      <w:marTop w:val="0"/>
                      <w:marBottom w:val="0"/>
                      <w:divBdr>
                        <w:top w:val="none" w:sz="0" w:space="0" w:color="auto"/>
                        <w:left w:val="none" w:sz="0" w:space="0" w:color="auto"/>
                        <w:bottom w:val="none" w:sz="0" w:space="0" w:color="auto"/>
                        <w:right w:val="none" w:sz="0" w:space="0" w:color="auto"/>
                      </w:divBdr>
                      <w:divsChild>
                        <w:div w:id="80204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287995">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ustomXml/item5.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5130072AB3E4E45975B4F25CF14FCD7" ma:contentTypeVersion="0" ma:contentTypeDescription="Kurkite naują dokumentą." ma:contentTypeScope="" ma:versionID="b4682ab734dd85564037f6fdd05a3887">
  <xsd:schema xmlns:xsd="http://www.w3.org/2001/XMLSchema" xmlns:xs="http://www.w3.org/2001/XMLSchema" xmlns:p="http://schemas.microsoft.com/office/2006/metadata/properties" targetNamespace="http://schemas.microsoft.com/office/2006/metadata/properties" ma:root="true" ma:fieldsID="e86f584cdcdc82c9f999312fcf803036">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1a0b5559db4e481d896be16fa87e0bdf" PartId="bb5d8057fc1446939f57791ccbd9bd50">
    <Part Type="preambule" DocPartId="2bcee26cd6734cc6b8831e433a9ea17d" PartId="b169f608283445608907d7805ad2c0f3"/>
    <Part Type="punktas" Nr="1" Abbr="1 p." DocPartId="ff5e5b7d80ab424f9424346999ee9b16" PartId="e6e940013b8d4df6aad55c0848c549a7">
      <Part Type="citata" DocPartId="d5dced5dce7a4b4584d37bf3ca18282e" PartId="96aec2cf55e247a1b9ca1781df5001e9">
        <Part Type="pagrindine" DocPartId="636e508b99224036a9974bfc33987570" PartId="5013b9c6b2ef4808897d34e8288924a0">
          <Part Type="preambule" DocPartId="64d0868214a34e7cbedb1bcbcfe33e8d" PartId="cbdc60b139eb4433b61ab5358edba827"/>
          <Part Type="punktas" Nr="1" Abbr="1 p." DocPartId="8570f0c4dae14be4b8d15daf179093f6" PartId="54374566396449f998d91aa2a57dc9d5">
            <Part Type="papunktis" Nr="1.1" Abbr="1.1 pp." DocPartId="297f28e4f0ba4f559da20f62d5d0d8c2" PartId="ddc4ced1191544d793ae2894c7694638">
              <Part Type="papunktis" Nr="1.1.1" Abbr="1.1.1 pp." DocPartId="1de9572b81844d96951c73444dadb188" PartId="dd7f7bef8d4b433587363737ad6e17ff">
                <Part Type="papunktis" Nr="1.1.1.1" Abbr="1.1.1.1 pp." DocPartId="a59319fc22de4f90adc4a242141aae47" PartId="6837ca24848c4ed0ae4f5df5606acb58"/>
                <Part Type="papunktis" Nr="1.1.1.2" Abbr="1.1.1.2 pp." DocPartId="a0a76769a17f441a95514d197e50e81f" PartId="99a728bd6c7d4e46aa7f15c10846c4c7"/>
                <Part Type="papunktis" Nr="1.1.1.3" Abbr="1.1.1.3 pp." DocPartId="14e647a5af1a42ef852326bfe2daa7d2" PartId="dee43e551a1c4589a0ef787f5656c11c"/>
                <Part Type="papunktis" Nr="1.1.1.4" Abbr="1.1.1.4 pp." DocPartId="e738c69d0412469fbe89db2e59d78f7d" PartId="e782bf675a4a4516965b9243fbfd2df8"/>
                <Part Type="papunktis" Nr="1.1.1.5" Abbr="1.1.1.5 pp." DocPartId="d85e493ec73248b581f9931b5bdb73a9" PartId="cbacb8317cbc4f7ab4fe5ed2a1d149ed"/>
                <Part Type="papunktis" Nr="1.1.1.6" Abbr="1.1.1.6 pp." DocPartId="113cebcc0f2e417f9b7b64914547c6ca" PartId="7f838320f2634f0aa911048637cfb9c3"/>
                <Part Type="papunktis" Nr="1.1.1.7" Abbr="1.1.1.7 pp." DocPartId="591d0aa028834ec69dd9592e42754f92" PartId="84e40fa3352e4a609b5352931af26c67"/>
                <Part Type="papunktis" Nr="1.1.1.8" Abbr="1.1.1.8 pp." DocPartId="6cc4495b76694115bb661562156da1be" PartId="32ed0a721cb34ab8a5c7815c202369bb"/>
                <Part Type="papunktis" Nr="1.1.1.9" Abbr="1.1.1.9 pp." DocPartId="a497e8979bb54105b47bcd5bd22718c9" PartId="27769c39fcf44f9090e1e1e426465c04"/>
                <Part Type="papunktis" Nr="1.1.1.10" Abbr="1.1.1.10 pp." DocPartId="24cf15cb48364dea8c20a9ad4a7d17f1" PartId="974a703e92cc442ab6e6ed6bdc19496e"/>
              </Part>
              <Part Type="papunktis" Nr="1.1.2" Abbr="1.1.2 pp." DocPartId="2d68db2ff7784ff2beb882a2c590d8ca" PartId="594d624b6a0d4ccd839ca21d9a2a9813"/>
            </Part>
            <Part Type="papunktis" Nr="1.2" Abbr="1.2 pp." DocPartId="bb80ed1d43c84bb4b27a6a0344165202" PartId="36ffa0e564ff44ce93b333e91370d318">
              <Part Type="papunktis" Nr="1.2.1" Abbr="1.2.1 pp." DocPartId="33762bde33614ce0ace7c330951ad838" PartId="33598d32a5514dbdba047de4e214612f">
                <Part Type="papunktis" Nr="1.2.1.1" Abbr="1.2.1.1 pp." DocPartId="ea8f858bb7e24e00ab4e19c4eaab0206" PartId="cb74b6affa4d4d639af90f513f5f754a"/>
                <Part Type="papunktis" Nr="1.2.1.2" Abbr="1.2.1.2 pp." DocPartId="2322754db5d4407dae5bbbf3db9812b4" PartId="d2d61c3ec95a44f0bd2cbe15dfdc7444"/>
              </Part>
              <Part Type="papunktis" Nr="1.2.2" Abbr="1.2.2 pp." DocPartId="3dc339f1bc9d41deb0d79416fc829823" PartId="a5219dffc9c84c70b3e9f37d42700795"/>
              <Part Type="papunktis" Nr="1.2.3" Abbr="1.2.3 pp." DocPartId="e8a5b95e18394a87bfd5da5b43c1c80b" PartId="5ab58c862b014ef6b928986c24ab4323"/>
              <Part Type="papunktis" Nr="1.2.4" Abbr="1.2.4 pp." DocPartId="ee90559b622a48a58dcd95bfb7df1d50" PartId="e88e3b1930834484b5f374a93067f732"/>
              <Part Type="papunktis" Nr="1.2.5" Abbr="1.2.5 pp." DocPartId="e8b13f71d0cf46238173234a22ee7d93" PartId="7544d0687b7843758006f50c8a497ff0"/>
              <Part Type="papunktis" Nr="1.2.6" Abbr="1.2.6 pp." DocPartId="dfa1d955bfe24e32a95111c7ec966ae3" PartId="9a07154f887845ac80925c9623a873fe"/>
              <Part Type="papunktis" Nr="1.2.7" Abbr="1.2.7 pp." DocPartId="dd41b17d43ac42c7b02ca8d03f61723d" PartId="eda72d84bff4412ebe06b210852cb6b7"/>
            </Part>
          </Part>
          <Part Type="punktas" Nr="2" Abbr="2 p." DocPartId="d58c0ce901cc4eacb43cbf604a8005f8" PartId="7795d9d3038d442c877463e4574f5f8c">
            <Part Type="papunktis" Nr="2.1" Abbr="2.1 pp." DocPartId="15310c261f294b9091d802f900acc830" PartId="13c5253a37b9485b90e0c8646891c3f1"/>
            <Part Type="papunktis" Nr="2.2" Abbr="2.2 pp." DocPartId="49ccdba465ae440e96e7a6d7447ba702" PartId="2d3a8721602245db8dfb295dcaf2773f"/>
          </Part>
        </Part>
      </Part>
    </Part>
    <Part Type="punktas" Nr="2" Abbr="2 p." DocPartId="fc89fb702f1b4a99b782ff325202f58e" PartId="8b184af1ec494166907ca18923caab87">
      <Part Type="papunktis" Nr="2.1" Abbr="2.1 pp." DocPartId="c7299da901d140e09248e1c1c20139fb" PartId="a4fc9f680029463e88c010ceadbf8c59"/>
      <Part Type="papunktis" Nr="2.2" Abbr="2.2 pp." DocPartId="f378a06cb7d54b37a5d34659c851900d" PartId="07c0c4ea5fa145f5a2984d43a79cc046"/>
      <Part Type="papunktis" Nr="2.3" Abbr="2.3 pp." DocPartId="ec9c7be4cacf41da86f6447b9c02e941" PartId="16788aaa234e4de1aa8d93a6429a9e2e"/>
    </Part>
    <Part Type="punktas" Nr="3" Abbr="3 p." DocPartId="59592e1a83ad42f3987ccabfc2b91f4d" PartId="09a08cd2a1dc43ce8a83a7229396ad48"/>
    <Part Type="punktas" Nr="4" Abbr="4 p." DocPartId="4c7252a8266146b09221a58c77da73bf" PartId="8ef9b44b1a8547689048f1474c22ccc5"/>
    <Part Type="signatura" DocPartId="f77440623d9a486fa82359fc2acf2fa9" PartId="efc084bf0e3a47b990da68928e054b6b"/>
  </Part>
</Parts>
</file>

<file path=customXml/itemProps1.xml><?xml version="1.0" encoding="utf-8"?>
<ds:datastoreItem xmlns:ds="http://schemas.openxmlformats.org/officeDocument/2006/customXml" ds:itemID="{548886B3-53CA-494F-A43F-4E653F8E6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D22C3C-81CD-4304-95CF-53BE1EE82E93}">
  <ds:schemaRefs>
    <ds:schemaRef ds:uri="http://schemas.microsoft.com/sharepoint/v3/contenttype/forms"/>
  </ds:schemaRefs>
</ds:datastoreItem>
</file>

<file path=customXml/itemProps3.xml><?xml version="1.0" encoding="utf-8"?>
<ds:datastoreItem xmlns:ds="http://schemas.openxmlformats.org/officeDocument/2006/customXml" ds:itemID="{00CF6A08-4229-4A3A-8CA7-0C65B94BA5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FE4A52-0562-4E92-91BB-2F78367FF8FF}">
  <ds:schemaRefs>
    <ds:schemaRef ds:uri="http://schemas.openxmlformats.org/officeDocument/2006/bibliography"/>
  </ds:schemaRefs>
</ds:datastoreItem>
</file>

<file path=customXml/itemProps5.xml><?xml version="1.0" encoding="utf-8"?>
<ds:datastoreItem xmlns:ds="http://schemas.openxmlformats.org/officeDocument/2006/customXml" ds:itemID="{8E9D10B2-AE01-479A-9FA6-431D961D69AC}">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5877</Characters>
  <Application>Microsoft Office Word</Application>
  <DocSecurity>4</DocSecurity>
  <Lines>119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6694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2020-05-21T08:47:00Z</dcterms:created>
  <dc:creator>Tomas Vainius</dc:creator>
  <cp:lastModifiedBy>Asseco</cp:lastModifiedBy>
  <cp:lastPrinted>2020-01-23T05:48:00Z</cp:lastPrinted>
  <dcterms:modified xsi:type="dcterms:W3CDTF">2020-05-21T08:47:00Z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0x01010015130072AB3E4E45975B4F25CF14FCD7</vt:lpwstr>
  </property>
</Properties>
</file>