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D0" w:rsidRDefault="00397001" w:rsidP="00B33DDB">
      <w:pPr>
        <w:pStyle w:val="Betarp"/>
        <w:spacing w:line="320" w:lineRule="atLeast"/>
        <w:jc w:val="center"/>
        <w:rPr>
          <w:rFonts w:ascii="Times New Roman" w:eastAsia="Times New Roman" w:hAnsi="Times New Roman" w:cs="Times New Roman"/>
          <w:b/>
          <w:spacing w:val="-2"/>
          <w:sz w:val="24"/>
          <w:szCs w:val="24"/>
          <w:lang w:eastAsia="lt-LT"/>
        </w:rPr>
      </w:pPr>
      <w:bookmarkStart w:id="0" w:name="_GoBack"/>
      <w:bookmarkEnd w:id="0"/>
      <w:r w:rsidRPr="00397001">
        <w:rPr>
          <w:rFonts w:ascii="Times New Roman" w:eastAsia="Times New Roman" w:hAnsi="Times New Roman" w:cs="Times New Roman"/>
          <w:b/>
          <w:spacing w:val="-2"/>
          <w:sz w:val="24"/>
          <w:szCs w:val="24"/>
          <w:lang w:eastAsia="lt-LT"/>
        </w:rPr>
        <w:t xml:space="preserve">LIETUVOS RESPUBLIKOS VYRIAUSYBĖS </w:t>
      </w:r>
      <w:r w:rsidR="008011D0">
        <w:rPr>
          <w:rFonts w:ascii="Times New Roman" w:eastAsia="Times New Roman" w:hAnsi="Times New Roman" w:cs="Times New Roman"/>
          <w:b/>
          <w:spacing w:val="-2"/>
          <w:sz w:val="24"/>
          <w:szCs w:val="24"/>
          <w:lang w:eastAsia="lt-LT"/>
        </w:rPr>
        <w:t xml:space="preserve">NUTARIMO </w:t>
      </w:r>
    </w:p>
    <w:p w:rsidR="00397001" w:rsidRPr="00397001" w:rsidRDefault="008011D0" w:rsidP="00B33DDB">
      <w:pPr>
        <w:pStyle w:val="Betarp"/>
        <w:spacing w:line="320" w:lineRule="atLeast"/>
        <w:jc w:val="center"/>
        <w:rPr>
          <w:rFonts w:ascii="Times New Roman" w:eastAsia="Times New Roman" w:hAnsi="Times New Roman" w:cs="Times New Roman"/>
          <w:b/>
          <w:color w:val="000000"/>
          <w:sz w:val="24"/>
          <w:szCs w:val="24"/>
          <w:lang w:val="en-GB"/>
        </w:rPr>
      </w:pPr>
      <w:r>
        <w:rPr>
          <w:rFonts w:ascii="Times New Roman" w:eastAsia="Times New Roman" w:hAnsi="Times New Roman" w:cs="Times New Roman"/>
          <w:b/>
          <w:spacing w:val="-2"/>
          <w:sz w:val="24"/>
          <w:szCs w:val="24"/>
          <w:lang w:eastAsia="lt-LT"/>
        </w:rPr>
        <w:t xml:space="preserve">„DĖL LIETUVOS RESPUBLIKOS VYRIAUSYBĖS </w:t>
      </w:r>
      <w:r w:rsidR="00397001" w:rsidRPr="00397001">
        <w:rPr>
          <w:rFonts w:ascii="Times New Roman" w:eastAsia="Times New Roman" w:hAnsi="Times New Roman" w:cs="Times New Roman"/>
          <w:b/>
          <w:spacing w:val="-2"/>
          <w:sz w:val="24"/>
          <w:szCs w:val="24"/>
          <w:lang w:eastAsia="lt-LT"/>
        </w:rPr>
        <w:t>2018 M. GRUODŽIO 5 D. NUTARIMO NR. 1216 „DĖL DEMOGRAFIJOS, MIGRACIJOS IR INTEGRACIJOS POLITIKOS 2018–2030 METŲ STRATEGIJOS ĮGYVENDINIMO 2019–2021 METŲ TARPINSTITUCINIO VEIKLOS PLANO PATVIRTINIMO“</w:t>
      </w:r>
      <w:r w:rsidR="00397001" w:rsidRPr="00397001">
        <w:rPr>
          <w:rFonts w:ascii="Times New Roman" w:eastAsia="Times New Roman" w:hAnsi="Times New Roman" w:cs="Times New Roman"/>
          <w:b/>
          <w:color w:val="000000"/>
          <w:sz w:val="24"/>
          <w:szCs w:val="24"/>
          <w:lang w:val="en-GB"/>
        </w:rPr>
        <w:t xml:space="preserve"> PAKEITIMO“ PROJEKTO</w:t>
      </w:r>
    </w:p>
    <w:p w:rsidR="008011D0" w:rsidRPr="00397001" w:rsidRDefault="008011D0" w:rsidP="008011D0">
      <w:pPr>
        <w:pStyle w:val="Betarp"/>
        <w:spacing w:line="320" w:lineRule="atLeast"/>
        <w:jc w:val="center"/>
        <w:rPr>
          <w:rFonts w:ascii="Times New Roman" w:hAnsi="Times New Roman" w:cs="Times New Roman"/>
          <w:b/>
          <w:sz w:val="24"/>
          <w:szCs w:val="24"/>
        </w:rPr>
      </w:pPr>
      <w:r w:rsidRPr="00397001">
        <w:rPr>
          <w:rFonts w:ascii="Times New Roman" w:hAnsi="Times New Roman" w:cs="Times New Roman"/>
          <w:b/>
          <w:sz w:val="24"/>
          <w:szCs w:val="24"/>
        </w:rPr>
        <w:t>DERINIMO PAŽYMA</w:t>
      </w:r>
    </w:p>
    <w:p w:rsidR="008A60C3" w:rsidRDefault="008A60C3" w:rsidP="00B33DDB">
      <w:pPr>
        <w:spacing w:line="320" w:lineRule="atLeast"/>
      </w:pPr>
    </w:p>
    <w:tbl>
      <w:tblPr>
        <w:tblStyle w:val="Lentelstinklelis"/>
        <w:tblW w:w="14425" w:type="dxa"/>
        <w:tblLook w:val="04A0" w:firstRow="1" w:lastRow="0" w:firstColumn="1" w:lastColumn="0" w:noHBand="0" w:noVBand="1"/>
      </w:tblPr>
      <w:tblGrid>
        <w:gridCol w:w="2518"/>
        <w:gridCol w:w="5670"/>
        <w:gridCol w:w="6237"/>
      </w:tblGrid>
      <w:tr w:rsidR="00397001" w:rsidTr="009A0DA2">
        <w:tc>
          <w:tcPr>
            <w:tcW w:w="2518" w:type="dxa"/>
          </w:tcPr>
          <w:p w:rsidR="00397001" w:rsidRDefault="00EC656A" w:rsidP="00F92891">
            <w:pPr>
              <w:spacing w:line="320" w:lineRule="atLeast"/>
              <w:jc w:val="center"/>
            </w:pPr>
            <w:r>
              <w:rPr>
                <w:rFonts w:ascii="Times New Roman" w:hAnsi="Times New Roman" w:cs="Times New Roman"/>
                <w:b/>
                <w:sz w:val="24"/>
                <w:szCs w:val="24"/>
              </w:rPr>
              <w:t>I</w:t>
            </w:r>
            <w:r w:rsidR="00397001">
              <w:rPr>
                <w:rFonts w:ascii="Times New Roman" w:hAnsi="Times New Roman" w:cs="Times New Roman"/>
                <w:b/>
                <w:sz w:val="24"/>
                <w:szCs w:val="24"/>
              </w:rPr>
              <w:t>nstitucijos pavadinimas, rašto data ir numeris</w:t>
            </w:r>
          </w:p>
        </w:tc>
        <w:tc>
          <w:tcPr>
            <w:tcW w:w="5670" w:type="dxa"/>
          </w:tcPr>
          <w:p w:rsidR="00397001" w:rsidRDefault="00397001" w:rsidP="00F92891">
            <w:pPr>
              <w:spacing w:line="320" w:lineRule="atLeast"/>
              <w:jc w:val="center"/>
            </w:pPr>
            <w:r>
              <w:rPr>
                <w:rFonts w:ascii="Times New Roman" w:hAnsi="Times New Roman" w:cs="Times New Roman"/>
                <w:b/>
                <w:sz w:val="24"/>
                <w:szCs w:val="24"/>
              </w:rPr>
              <w:t>Pastabos ir pasiūlymai</w:t>
            </w:r>
          </w:p>
        </w:tc>
        <w:tc>
          <w:tcPr>
            <w:tcW w:w="6237" w:type="dxa"/>
          </w:tcPr>
          <w:p w:rsidR="00397001" w:rsidRDefault="00EC656A" w:rsidP="00F92891">
            <w:pPr>
              <w:spacing w:line="320" w:lineRule="atLeast"/>
              <w:jc w:val="center"/>
            </w:pPr>
            <w:r w:rsidRPr="00301CAA">
              <w:rPr>
                <w:rFonts w:ascii="Times New Roman" w:hAnsi="Times New Roman" w:cs="Times New Roman"/>
                <w:b/>
                <w:sz w:val="24"/>
                <w:szCs w:val="24"/>
              </w:rPr>
              <w:t>Žyma apie pastabas ir pasiūlymus, į kuriuos neatsižvelgta ar atsižvelgta iš dalies</w:t>
            </w:r>
          </w:p>
        </w:tc>
      </w:tr>
      <w:tr w:rsidR="00397001" w:rsidTr="009A0DA2">
        <w:tc>
          <w:tcPr>
            <w:tcW w:w="2518" w:type="dxa"/>
          </w:tcPr>
          <w:p w:rsidR="00397001" w:rsidRDefault="00C347ED" w:rsidP="00D15603">
            <w:pPr>
              <w:spacing w:line="320" w:lineRule="atLeast"/>
            </w:pPr>
            <w:r>
              <w:rPr>
                <w:rFonts w:ascii="Times New Roman" w:hAnsi="Times New Roman" w:cs="Times New Roman"/>
                <w:sz w:val="24"/>
                <w:szCs w:val="24"/>
              </w:rPr>
              <w:t>Lietuvos Respublikos s</w:t>
            </w:r>
            <w:r w:rsidR="00397001">
              <w:rPr>
                <w:rFonts w:ascii="Times New Roman" w:hAnsi="Times New Roman" w:cs="Times New Roman"/>
                <w:sz w:val="24"/>
                <w:szCs w:val="24"/>
              </w:rPr>
              <w:t xml:space="preserve">veikatos apsaugos ministerijos </w:t>
            </w:r>
            <w:r w:rsidR="004B5B4D">
              <w:rPr>
                <w:rFonts w:ascii="Times New Roman" w:hAnsi="Times New Roman" w:cs="Times New Roman"/>
                <w:sz w:val="24"/>
                <w:szCs w:val="24"/>
              </w:rPr>
              <w:t xml:space="preserve">2019 m. lapkričio 20 d. </w:t>
            </w:r>
            <w:r w:rsidR="00397001">
              <w:rPr>
                <w:rFonts w:ascii="Times New Roman" w:hAnsi="Times New Roman" w:cs="Times New Roman"/>
                <w:sz w:val="24"/>
                <w:szCs w:val="24"/>
              </w:rPr>
              <w:t>raštas Nr.</w:t>
            </w:r>
            <w:r w:rsidR="004A001C">
              <w:rPr>
                <w:rFonts w:ascii="Times New Roman" w:hAnsi="Times New Roman" w:cs="Times New Roman"/>
                <w:sz w:val="24"/>
                <w:szCs w:val="24"/>
              </w:rPr>
              <w:t> </w:t>
            </w:r>
            <w:r w:rsidR="00397001">
              <w:rPr>
                <w:rFonts w:ascii="Times New Roman" w:hAnsi="Times New Roman" w:cs="Times New Roman"/>
                <w:sz w:val="24"/>
                <w:szCs w:val="24"/>
              </w:rPr>
              <w:t>(1.1.5-41)</w:t>
            </w:r>
            <w:r w:rsidR="004A001C">
              <w:rPr>
                <w:rFonts w:ascii="Times New Roman" w:hAnsi="Times New Roman" w:cs="Times New Roman"/>
                <w:sz w:val="24"/>
                <w:szCs w:val="24"/>
              </w:rPr>
              <w:t> </w:t>
            </w:r>
            <w:r w:rsidR="00397001">
              <w:rPr>
                <w:rFonts w:ascii="Times New Roman" w:hAnsi="Times New Roman" w:cs="Times New Roman"/>
                <w:sz w:val="24"/>
                <w:szCs w:val="24"/>
              </w:rPr>
              <w:t>10</w:t>
            </w:r>
            <w:proofErr w:type="gramStart"/>
            <w:r w:rsidR="00397001">
              <w:rPr>
                <w:rFonts w:ascii="Times New Roman" w:hAnsi="Times New Roman" w:cs="Times New Roman"/>
                <w:sz w:val="24"/>
                <w:szCs w:val="24"/>
              </w:rPr>
              <w:t>-</w:t>
            </w:r>
            <w:proofErr w:type="gramEnd"/>
            <w:r w:rsidR="00397001">
              <w:rPr>
                <w:rFonts w:ascii="Times New Roman" w:hAnsi="Times New Roman" w:cs="Times New Roman"/>
                <w:sz w:val="24"/>
                <w:szCs w:val="24"/>
              </w:rPr>
              <w:t>7054</w:t>
            </w:r>
          </w:p>
        </w:tc>
        <w:tc>
          <w:tcPr>
            <w:tcW w:w="5670" w:type="dxa"/>
          </w:tcPr>
          <w:p w:rsidR="00397001" w:rsidRDefault="00397001" w:rsidP="00B33DDB">
            <w:pPr>
              <w:spacing w:line="320" w:lineRule="atLeast"/>
              <w:jc w:val="both"/>
            </w:pPr>
            <w:r w:rsidRPr="001E016B">
              <w:rPr>
                <w:rFonts w:ascii="Times New Roman" w:hAnsi="Times New Roman" w:cs="Times New Roman"/>
                <w:sz w:val="24"/>
                <w:szCs w:val="24"/>
              </w:rPr>
              <w:t>Siūlome braukti &lt;...&gt;</w:t>
            </w:r>
            <w:r>
              <w:rPr>
                <w:rFonts w:ascii="Times New Roman" w:hAnsi="Times New Roman" w:cs="Times New Roman"/>
                <w:sz w:val="24"/>
                <w:szCs w:val="24"/>
              </w:rPr>
              <w:t xml:space="preserve"> priemonę „K</w:t>
            </w:r>
            <w:r w:rsidRPr="001E016B">
              <w:rPr>
                <w:rFonts w:ascii="Times New Roman" w:hAnsi="Times New Roman" w:cs="Times New Roman"/>
                <w:sz w:val="24"/>
                <w:szCs w:val="24"/>
              </w:rPr>
              <w:t>iekvienam naujagimiui skirti 100 eurų vertės kūdikio kraitelį (būtiniausių prekių rinkinį vaiko auginimo pradžiai)</w:t>
            </w:r>
            <w:r>
              <w:rPr>
                <w:rFonts w:ascii="Times New Roman" w:hAnsi="Times New Roman" w:cs="Times New Roman"/>
                <w:sz w:val="24"/>
                <w:szCs w:val="24"/>
              </w:rPr>
              <w:t>“, kadangi lėšos minėtai priemonei nebuvo skirtos ir nenumatytos 2020 m.</w:t>
            </w:r>
          </w:p>
        </w:tc>
        <w:tc>
          <w:tcPr>
            <w:tcW w:w="6237" w:type="dxa"/>
          </w:tcPr>
          <w:p w:rsidR="00AA62D4" w:rsidRDefault="00397001" w:rsidP="00B33DDB">
            <w:pPr>
              <w:spacing w:line="320" w:lineRule="atLeast"/>
              <w:jc w:val="both"/>
              <w:rPr>
                <w:rFonts w:ascii="Times New Roman" w:hAnsi="Times New Roman" w:cs="Times New Roman"/>
                <w:b/>
                <w:sz w:val="24"/>
                <w:szCs w:val="24"/>
              </w:rPr>
            </w:pPr>
            <w:r>
              <w:rPr>
                <w:rFonts w:ascii="Times New Roman" w:hAnsi="Times New Roman" w:cs="Times New Roman"/>
                <w:b/>
                <w:sz w:val="24"/>
                <w:szCs w:val="24"/>
              </w:rPr>
              <w:t xml:space="preserve">Neatsižvelgta. </w:t>
            </w:r>
          </w:p>
          <w:p w:rsidR="00397001" w:rsidRDefault="00397001" w:rsidP="00A26A18">
            <w:pPr>
              <w:spacing w:line="320" w:lineRule="atLeast"/>
              <w:jc w:val="both"/>
            </w:pPr>
            <w:r>
              <w:rPr>
                <w:rFonts w:ascii="Times New Roman" w:hAnsi="Times New Roman" w:cs="Times New Roman"/>
                <w:sz w:val="24"/>
                <w:szCs w:val="24"/>
              </w:rPr>
              <w:t>Įvertin</w:t>
            </w:r>
            <w:r w:rsidR="00713F90">
              <w:rPr>
                <w:rFonts w:ascii="Times New Roman" w:hAnsi="Times New Roman" w:cs="Times New Roman"/>
                <w:sz w:val="24"/>
                <w:szCs w:val="24"/>
              </w:rPr>
              <w:t>ę</w:t>
            </w:r>
            <w:r w:rsidRPr="00DF110A">
              <w:rPr>
                <w:rFonts w:ascii="Times New Roman" w:hAnsi="Times New Roman" w:cs="Times New Roman"/>
                <w:sz w:val="24"/>
                <w:szCs w:val="24"/>
              </w:rPr>
              <w:t xml:space="preserve"> šios priemonės svarbą, prisidedant prie naujagimių sveikatos priežiūros užtikrinimo ir valstybės dėmesio šeimai ir kiekvienam gimusiam vaikui stiprinimo</w:t>
            </w:r>
            <w:r>
              <w:rPr>
                <w:rFonts w:ascii="Times New Roman" w:hAnsi="Times New Roman" w:cs="Times New Roman"/>
                <w:sz w:val="24"/>
                <w:szCs w:val="24"/>
              </w:rPr>
              <w:t xml:space="preserve">, siūlome </w:t>
            </w:r>
            <w:r w:rsidRPr="0056235A">
              <w:rPr>
                <w:rFonts w:ascii="Times New Roman" w:hAnsi="Times New Roman" w:cs="Times New Roman"/>
                <w:sz w:val="24"/>
                <w:szCs w:val="24"/>
              </w:rPr>
              <w:t>šią priemonę palikti, numatant jos</w:t>
            </w:r>
            <w:r w:rsidRPr="00E83DD6">
              <w:rPr>
                <w:rFonts w:ascii="Times New Roman" w:hAnsi="Times New Roman" w:cs="Times New Roman"/>
                <w:sz w:val="24"/>
                <w:szCs w:val="24"/>
              </w:rPr>
              <w:t xml:space="preserve"> įgyvendinimo laikotarpį 2021</w:t>
            </w:r>
            <w:r w:rsidR="00141B0E" w:rsidRPr="00E83DD6">
              <w:rPr>
                <w:rFonts w:ascii="Times New Roman" w:hAnsi="Times New Roman" w:cs="Times New Roman"/>
                <w:sz w:val="24"/>
                <w:szCs w:val="24"/>
              </w:rPr>
              <w:t>–</w:t>
            </w:r>
            <w:r w:rsidRPr="00E83DD6">
              <w:rPr>
                <w:rFonts w:ascii="Times New Roman" w:hAnsi="Times New Roman" w:cs="Times New Roman"/>
                <w:sz w:val="24"/>
                <w:szCs w:val="24"/>
              </w:rPr>
              <w:t xml:space="preserve">2022 m., </w:t>
            </w:r>
            <w:r w:rsidR="00713F90" w:rsidRPr="0056235A">
              <w:rPr>
                <w:rFonts w:ascii="Times New Roman" w:hAnsi="Times New Roman" w:cs="Times New Roman"/>
                <w:sz w:val="24"/>
                <w:szCs w:val="24"/>
              </w:rPr>
              <w:t xml:space="preserve">nes </w:t>
            </w:r>
            <w:r w:rsidRPr="0056235A">
              <w:rPr>
                <w:rFonts w:ascii="Times New Roman" w:hAnsi="Times New Roman" w:cs="Times New Roman"/>
                <w:sz w:val="24"/>
                <w:szCs w:val="24"/>
              </w:rPr>
              <w:t xml:space="preserve">2020 m. šiai priemonei </w:t>
            </w:r>
            <w:r w:rsidR="0056235A" w:rsidRPr="0056235A">
              <w:rPr>
                <w:rFonts w:ascii="Times New Roman" w:hAnsi="Times New Roman" w:cs="Times New Roman"/>
                <w:sz w:val="24"/>
                <w:szCs w:val="24"/>
              </w:rPr>
              <w:t xml:space="preserve">įgyvendinti </w:t>
            </w:r>
            <w:r w:rsidRPr="0056235A">
              <w:rPr>
                <w:rFonts w:ascii="Times New Roman" w:hAnsi="Times New Roman" w:cs="Times New Roman"/>
                <w:sz w:val="24"/>
                <w:szCs w:val="24"/>
              </w:rPr>
              <w:t>lėš</w:t>
            </w:r>
            <w:r w:rsidR="00713F90" w:rsidRPr="0056235A">
              <w:rPr>
                <w:rFonts w:ascii="Times New Roman" w:hAnsi="Times New Roman" w:cs="Times New Roman"/>
                <w:sz w:val="24"/>
                <w:szCs w:val="24"/>
              </w:rPr>
              <w:t>ų</w:t>
            </w:r>
            <w:r w:rsidRPr="0056235A">
              <w:rPr>
                <w:rFonts w:ascii="Times New Roman" w:hAnsi="Times New Roman" w:cs="Times New Roman"/>
                <w:sz w:val="24"/>
                <w:szCs w:val="24"/>
              </w:rPr>
              <w:t xml:space="preserve"> nebuvo skirt</w:t>
            </w:r>
            <w:r w:rsidR="00713F90" w:rsidRPr="0056235A">
              <w:rPr>
                <w:rFonts w:ascii="Times New Roman" w:hAnsi="Times New Roman" w:cs="Times New Roman"/>
                <w:sz w:val="24"/>
                <w:szCs w:val="24"/>
              </w:rPr>
              <w:t>a</w:t>
            </w:r>
            <w:r w:rsidRPr="0056235A">
              <w:rPr>
                <w:rFonts w:ascii="Times New Roman" w:hAnsi="Times New Roman" w:cs="Times New Roman"/>
                <w:sz w:val="24"/>
                <w:szCs w:val="24"/>
              </w:rPr>
              <w:t>.</w:t>
            </w:r>
          </w:p>
        </w:tc>
      </w:tr>
      <w:tr w:rsidR="00397001" w:rsidTr="009A0DA2">
        <w:tc>
          <w:tcPr>
            <w:tcW w:w="2518" w:type="dxa"/>
          </w:tcPr>
          <w:p w:rsidR="00397001" w:rsidRDefault="00EC656A" w:rsidP="00D15603">
            <w:pPr>
              <w:spacing w:line="320" w:lineRule="atLeast"/>
            </w:pPr>
            <w:r>
              <w:rPr>
                <w:rFonts w:ascii="Times New Roman" w:hAnsi="Times New Roman" w:cs="Times New Roman"/>
                <w:sz w:val="24"/>
                <w:szCs w:val="24"/>
              </w:rPr>
              <w:t>Lietuvos Respublikos f</w:t>
            </w:r>
            <w:r w:rsidR="00397001" w:rsidRPr="00BA0682">
              <w:rPr>
                <w:rFonts w:ascii="Times New Roman" w:hAnsi="Times New Roman" w:cs="Times New Roman"/>
                <w:sz w:val="24"/>
                <w:szCs w:val="24"/>
              </w:rPr>
              <w:t xml:space="preserve">inansų ministerijos </w:t>
            </w:r>
            <w:r w:rsidR="00397001" w:rsidRPr="009D6080">
              <w:rPr>
                <w:rFonts w:ascii="Times New Roman" w:hAnsi="Times New Roman" w:cs="Times New Roman"/>
                <w:sz w:val="24"/>
                <w:szCs w:val="24"/>
              </w:rPr>
              <w:t>2019</w:t>
            </w:r>
            <w:r w:rsidR="00242878">
              <w:rPr>
                <w:rFonts w:ascii="Times New Roman" w:hAnsi="Times New Roman" w:cs="Times New Roman"/>
                <w:sz w:val="24"/>
                <w:szCs w:val="24"/>
              </w:rPr>
              <w:t> </w:t>
            </w:r>
            <w:r w:rsidR="004B5B4D">
              <w:rPr>
                <w:rFonts w:ascii="Times New Roman" w:hAnsi="Times New Roman" w:cs="Times New Roman"/>
                <w:sz w:val="24"/>
                <w:szCs w:val="24"/>
              </w:rPr>
              <w:t xml:space="preserve">m. lapkričio </w:t>
            </w:r>
            <w:r w:rsidR="00397001" w:rsidRPr="009D6080">
              <w:rPr>
                <w:rFonts w:ascii="Times New Roman" w:hAnsi="Times New Roman" w:cs="Times New Roman"/>
                <w:sz w:val="24"/>
                <w:szCs w:val="24"/>
              </w:rPr>
              <w:t>14</w:t>
            </w:r>
            <w:r w:rsidR="004A001C">
              <w:rPr>
                <w:rFonts w:ascii="Times New Roman" w:hAnsi="Times New Roman" w:cs="Times New Roman"/>
                <w:sz w:val="24"/>
                <w:szCs w:val="24"/>
              </w:rPr>
              <w:t> </w:t>
            </w:r>
            <w:r w:rsidR="004B5B4D">
              <w:rPr>
                <w:rFonts w:ascii="Times New Roman" w:hAnsi="Times New Roman" w:cs="Times New Roman"/>
                <w:sz w:val="24"/>
                <w:szCs w:val="24"/>
              </w:rPr>
              <w:t xml:space="preserve">d. </w:t>
            </w:r>
            <w:r w:rsidR="00397001" w:rsidRPr="009D6080">
              <w:rPr>
                <w:rFonts w:ascii="Times New Roman" w:hAnsi="Times New Roman" w:cs="Times New Roman"/>
                <w:sz w:val="24"/>
                <w:szCs w:val="24"/>
              </w:rPr>
              <w:t>raštas Nr.</w:t>
            </w:r>
            <w:r w:rsidR="00242878">
              <w:rPr>
                <w:rFonts w:ascii="Times New Roman" w:hAnsi="Times New Roman" w:cs="Times New Roman"/>
                <w:sz w:val="24"/>
                <w:szCs w:val="24"/>
              </w:rPr>
              <w:t> </w:t>
            </w:r>
            <w:r w:rsidR="00397001" w:rsidRPr="009D6080">
              <w:rPr>
                <w:rFonts w:ascii="Times New Roman" w:hAnsi="Times New Roman" w:cs="Times New Roman"/>
                <w:sz w:val="24"/>
                <w:szCs w:val="24"/>
              </w:rPr>
              <w:t>((2.119E-0202)-5k-1916914)-6k-1905932</w:t>
            </w:r>
          </w:p>
        </w:tc>
        <w:tc>
          <w:tcPr>
            <w:tcW w:w="5670" w:type="dxa"/>
          </w:tcPr>
          <w:p w:rsidR="00397001" w:rsidRDefault="00397001" w:rsidP="00B33DDB">
            <w:pPr>
              <w:spacing w:line="320" w:lineRule="atLeast"/>
              <w:jc w:val="both"/>
            </w:pPr>
            <w:r w:rsidRPr="00BA0682">
              <w:rPr>
                <w:rFonts w:ascii="Times New Roman" w:hAnsi="Times New Roman" w:cs="Times New Roman"/>
                <w:sz w:val="24"/>
                <w:szCs w:val="24"/>
              </w:rPr>
              <w:t xml:space="preserve">Finansų ministerija &lt;...&gt; teikia pasiūlymą tikslinti priemonės </w:t>
            </w:r>
            <w:r w:rsidRPr="005F3B48">
              <w:rPr>
                <w:rFonts w:ascii="Times New Roman" w:hAnsi="Times New Roman" w:cs="Times New Roman"/>
                <w:sz w:val="24"/>
                <w:szCs w:val="24"/>
              </w:rPr>
              <w:t>8.4.2. „Didinti finansavimo prieinamumą panaudojant esamus finansinius instrumentus NVO socialiniam ir bendruomeniniam verslui plėtoti“ aprašymą nurodant informaciją dėl EEE</w:t>
            </w:r>
            <w:r w:rsidR="00701109">
              <w:rPr>
                <w:rFonts w:ascii="Times New Roman" w:hAnsi="Times New Roman" w:cs="Times New Roman"/>
                <w:sz w:val="24"/>
                <w:szCs w:val="24"/>
              </w:rPr>
              <w:t xml:space="preserve"> </w:t>
            </w:r>
            <w:r w:rsidRPr="005F3B48">
              <w:rPr>
                <w:rFonts w:ascii="Times New Roman" w:hAnsi="Times New Roman" w:cs="Times New Roman"/>
                <w:sz w:val="24"/>
                <w:szCs w:val="24"/>
              </w:rPr>
              <w:t>/</w:t>
            </w:r>
            <w:r w:rsidR="00701109">
              <w:rPr>
                <w:rFonts w:ascii="Times New Roman" w:hAnsi="Times New Roman" w:cs="Times New Roman"/>
                <w:sz w:val="24"/>
                <w:szCs w:val="24"/>
              </w:rPr>
              <w:t xml:space="preserve"> </w:t>
            </w:r>
            <w:r w:rsidRPr="005F3B48">
              <w:rPr>
                <w:rFonts w:ascii="Times New Roman" w:hAnsi="Times New Roman" w:cs="Times New Roman"/>
                <w:sz w:val="24"/>
                <w:szCs w:val="24"/>
              </w:rPr>
              <w:t xml:space="preserve">NOR finansinių mechanizmų galimybių. </w:t>
            </w:r>
            <w:r w:rsidRPr="009D6080">
              <w:rPr>
                <w:rFonts w:ascii="Times New Roman" w:hAnsi="Times New Roman" w:cs="Times New Roman"/>
                <w:sz w:val="24"/>
                <w:szCs w:val="24"/>
              </w:rPr>
              <w:t>Taip pat Finansų ministerija siūlo keisti priemonės įgyvendinime dalyvaujančių institucijų pasiskirstymą atsakomybe, t.</w:t>
            </w:r>
            <w:r w:rsidR="00701109">
              <w:rPr>
                <w:rFonts w:ascii="Times New Roman" w:hAnsi="Times New Roman" w:cs="Times New Roman"/>
                <w:sz w:val="24"/>
                <w:szCs w:val="24"/>
              </w:rPr>
              <w:t xml:space="preserve"> </w:t>
            </w:r>
            <w:r w:rsidRPr="009D6080">
              <w:rPr>
                <w:rFonts w:ascii="Times New Roman" w:hAnsi="Times New Roman" w:cs="Times New Roman"/>
                <w:sz w:val="24"/>
                <w:szCs w:val="24"/>
              </w:rPr>
              <w:t xml:space="preserve">y. Ekonomikos ir inovacijų ministeriją bei Socialinės apsaugos ir darbo ministeriją paskirti atsakingomis šios priemonės dalyvėmis, nes jos kuruoja socialinio ir bendruomeninio verslo politiką Lietuvoje. Finansų ministerija prie šios priemonės įgyvendinimo prisideda ir šiuo metu atlieka finansinių priemonių išankstinį vertinimą, siekdama išsiaiškinti rinkos trūkumus ir galimas socialinio ir bendruomeninio verslo </w:t>
            </w:r>
            <w:r w:rsidRPr="009D6080">
              <w:rPr>
                <w:rFonts w:ascii="Times New Roman" w:hAnsi="Times New Roman" w:cs="Times New Roman"/>
                <w:sz w:val="24"/>
                <w:szCs w:val="24"/>
              </w:rPr>
              <w:lastRenderedPageBreak/>
              <w:t>finansavimo konkrečias finansines priemones. Šio vertinimo rezultatais galės pasinaudoti minėtą politiką kuruojančios ministerijos.</w:t>
            </w:r>
          </w:p>
        </w:tc>
        <w:tc>
          <w:tcPr>
            <w:tcW w:w="6237" w:type="dxa"/>
          </w:tcPr>
          <w:p w:rsidR="00CA4372" w:rsidRDefault="00397001" w:rsidP="00B33DDB">
            <w:pPr>
              <w:spacing w:line="320" w:lineRule="atLeast"/>
              <w:jc w:val="both"/>
              <w:rPr>
                <w:rFonts w:ascii="Times New Roman" w:hAnsi="Times New Roman" w:cs="Times New Roman"/>
                <w:sz w:val="24"/>
                <w:szCs w:val="24"/>
              </w:rPr>
            </w:pPr>
            <w:r w:rsidRPr="00BA0682">
              <w:rPr>
                <w:rFonts w:ascii="Times New Roman" w:hAnsi="Times New Roman" w:cs="Times New Roman"/>
                <w:b/>
                <w:sz w:val="24"/>
                <w:szCs w:val="24"/>
              </w:rPr>
              <w:lastRenderedPageBreak/>
              <w:t>Atsižvelgta iš dalies.</w:t>
            </w:r>
            <w:r w:rsidRPr="00BA0682">
              <w:rPr>
                <w:rFonts w:ascii="Times New Roman" w:hAnsi="Times New Roman" w:cs="Times New Roman"/>
                <w:sz w:val="24"/>
                <w:szCs w:val="24"/>
              </w:rPr>
              <w:t xml:space="preserve"> </w:t>
            </w:r>
          </w:p>
          <w:p w:rsidR="00397001" w:rsidRDefault="00397001" w:rsidP="00F43321">
            <w:pPr>
              <w:spacing w:line="320" w:lineRule="atLeast"/>
              <w:jc w:val="both"/>
            </w:pPr>
            <w:r w:rsidRPr="00BA0682">
              <w:rPr>
                <w:rFonts w:ascii="Times New Roman" w:hAnsi="Times New Roman" w:cs="Times New Roman"/>
                <w:sz w:val="24"/>
                <w:szCs w:val="24"/>
              </w:rPr>
              <w:t>Patikslintas priemonės</w:t>
            </w:r>
            <w:r w:rsidRPr="005A7C6C">
              <w:rPr>
                <w:rFonts w:ascii="Times New Roman" w:hAnsi="Times New Roman" w:cs="Times New Roman"/>
                <w:sz w:val="24"/>
                <w:szCs w:val="24"/>
              </w:rPr>
              <w:t xml:space="preserve"> aprašymas </w:t>
            </w:r>
            <w:r w:rsidR="00F43321">
              <w:rPr>
                <w:rFonts w:ascii="Times New Roman" w:hAnsi="Times New Roman" w:cs="Times New Roman"/>
                <w:sz w:val="24"/>
                <w:szCs w:val="24"/>
              </w:rPr>
              <w:t xml:space="preserve">– </w:t>
            </w:r>
            <w:r w:rsidR="00713F90">
              <w:rPr>
                <w:rFonts w:ascii="Times New Roman" w:hAnsi="Times New Roman" w:cs="Times New Roman"/>
                <w:sz w:val="24"/>
                <w:szCs w:val="24"/>
              </w:rPr>
              <w:t>pateik</w:t>
            </w:r>
            <w:r w:rsidR="00F43321">
              <w:rPr>
                <w:rFonts w:ascii="Times New Roman" w:hAnsi="Times New Roman" w:cs="Times New Roman"/>
                <w:sz w:val="24"/>
                <w:szCs w:val="24"/>
              </w:rPr>
              <w:t>ta</w:t>
            </w:r>
            <w:r w:rsidRPr="005A7C6C">
              <w:rPr>
                <w:rFonts w:ascii="Times New Roman" w:hAnsi="Times New Roman" w:cs="Times New Roman"/>
                <w:sz w:val="24"/>
                <w:szCs w:val="24"/>
              </w:rPr>
              <w:t xml:space="preserve"> informacij</w:t>
            </w:r>
            <w:r w:rsidR="00F43321">
              <w:rPr>
                <w:rFonts w:ascii="Times New Roman" w:hAnsi="Times New Roman" w:cs="Times New Roman"/>
                <w:sz w:val="24"/>
                <w:szCs w:val="24"/>
              </w:rPr>
              <w:t>a</w:t>
            </w:r>
            <w:r w:rsidRPr="005A7C6C">
              <w:rPr>
                <w:rFonts w:ascii="Times New Roman" w:hAnsi="Times New Roman" w:cs="Times New Roman"/>
                <w:sz w:val="24"/>
                <w:szCs w:val="24"/>
              </w:rPr>
              <w:t xml:space="preserve"> </w:t>
            </w:r>
            <w:r w:rsidR="00713F90">
              <w:rPr>
                <w:rFonts w:ascii="Times New Roman" w:hAnsi="Times New Roman" w:cs="Times New Roman"/>
                <w:sz w:val="24"/>
                <w:szCs w:val="24"/>
              </w:rPr>
              <w:t>apie</w:t>
            </w:r>
            <w:r w:rsidRPr="005A7C6C">
              <w:rPr>
                <w:rFonts w:ascii="Times New Roman" w:hAnsi="Times New Roman" w:cs="Times New Roman"/>
                <w:sz w:val="24"/>
                <w:szCs w:val="24"/>
              </w:rPr>
              <w:t xml:space="preserve"> EEE</w:t>
            </w:r>
            <w:r w:rsidR="00713F90">
              <w:rPr>
                <w:rFonts w:ascii="Times New Roman" w:hAnsi="Times New Roman" w:cs="Times New Roman"/>
                <w:sz w:val="24"/>
                <w:szCs w:val="24"/>
              </w:rPr>
              <w:t xml:space="preserve"> </w:t>
            </w:r>
            <w:r w:rsidRPr="005A7C6C">
              <w:rPr>
                <w:rFonts w:ascii="Times New Roman" w:hAnsi="Times New Roman" w:cs="Times New Roman"/>
                <w:sz w:val="24"/>
                <w:szCs w:val="24"/>
              </w:rPr>
              <w:t>/</w:t>
            </w:r>
            <w:r w:rsidR="00713F90">
              <w:rPr>
                <w:rFonts w:ascii="Times New Roman" w:hAnsi="Times New Roman" w:cs="Times New Roman"/>
                <w:sz w:val="24"/>
                <w:szCs w:val="24"/>
              </w:rPr>
              <w:t xml:space="preserve"> </w:t>
            </w:r>
            <w:r w:rsidRPr="005A7C6C">
              <w:rPr>
                <w:rFonts w:ascii="Times New Roman" w:hAnsi="Times New Roman" w:cs="Times New Roman"/>
                <w:sz w:val="24"/>
                <w:szCs w:val="24"/>
              </w:rPr>
              <w:t>NOR finansinių mechanizmų galimyb</w:t>
            </w:r>
            <w:r w:rsidR="00713F90">
              <w:rPr>
                <w:rFonts w:ascii="Times New Roman" w:hAnsi="Times New Roman" w:cs="Times New Roman"/>
                <w:sz w:val="24"/>
                <w:szCs w:val="24"/>
              </w:rPr>
              <w:t>es</w:t>
            </w:r>
            <w:r w:rsidRPr="005A7C6C">
              <w:rPr>
                <w:rFonts w:ascii="Times New Roman" w:hAnsi="Times New Roman" w:cs="Times New Roman"/>
                <w:sz w:val="24"/>
                <w:szCs w:val="24"/>
              </w:rPr>
              <w:t xml:space="preserve">. </w:t>
            </w:r>
            <w:r>
              <w:rPr>
                <w:rFonts w:ascii="Times New Roman" w:hAnsi="Times New Roman" w:cs="Times New Roman"/>
                <w:sz w:val="24"/>
                <w:szCs w:val="24"/>
              </w:rPr>
              <w:t>Tačiau ne</w:t>
            </w:r>
            <w:r w:rsidR="005D6903">
              <w:rPr>
                <w:rFonts w:ascii="Times New Roman" w:hAnsi="Times New Roman" w:cs="Times New Roman"/>
                <w:sz w:val="24"/>
                <w:szCs w:val="24"/>
              </w:rPr>
              <w:t>pakeistas</w:t>
            </w:r>
            <w:r>
              <w:rPr>
                <w:rFonts w:ascii="Times New Roman" w:hAnsi="Times New Roman" w:cs="Times New Roman"/>
                <w:sz w:val="24"/>
                <w:szCs w:val="24"/>
              </w:rPr>
              <w:t xml:space="preserve"> </w:t>
            </w:r>
            <w:r w:rsidR="00713F90">
              <w:rPr>
                <w:rFonts w:ascii="Times New Roman" w:hAnsi="Times New Roman" w:cs="Times New Roman"/>
                <w:sz w:val="24"/>
                <w:szCs w:val="24"/>
              </w:rPr>
              <w:t xml:space="preserve">įgyvendinant </w:t>
            </w:r>
            <w:r w:rsidRPr="005A7C6C">
              <w:rPr>
                <w:rFonts w:ascii="Times New Roman" w:hAnsi="Times New Roman" w:cs="Times New Roman"/>
                <w:sz w:val="24"/>
                <w:szCs w:val="24"/>
              </w:rPr>
              <w:t>priemon</w:t>
            </w:r>
            <w:r w:rsidR="00713F90">
              <w:rPr>
                <w:rFonts w:ascii="Times New Roman" w:hAnsi="Times New Roman" w:cs="Times New Roman"/>
                <w:sz w:val="24"/>
                <w:szCs w:val="24"/>
              </w:rPr>
              <w:t>ę</w:t>
            </w:r>
            <w:r w:rsidRPr="005A7C6C">
              <w:rPr>
                <w:rFonts w:ascii="Times New Roman" w:hAnsi="Times New Roman" w:cs="Times New Roman"/>
                <w:sz w:val="24"/>
                <w:szCs w:val="24"/>
              </w:rPr>
              <w:t xml:space="preserve"> dalyvaujančių institucijų pasiskirstym</w:t>
            </w:r>
            <w:r>
              <w:rPr>
                <w:rFonts w:ascii="Times New Roman" w:hAnsi="Times New Roman" w:cs="Times New Roman"/>
                <w:sz w:val="24"/>
                <w:szCs w:val="24"/>
              </w:rPr>
              <w:t>as</w:t>
            </w:r>
            <w:r w:rsidRPr="005A7C6C">
              <w:rPr>
                <w:rFonts w:ascii="Times New Roman" w:hAnsi="Times New Roman" w:cs="Times New Roman"/>
                <w:sz w:val="24"/>
                <w:szCs w:val="24"/>
              </w:rPr>
              <w:t xml:space="preserve"> atsakomybe</w:t>
            </w:r>
            <w:r>
              <w:rPr>
                <w:rFonts w:ascii="Times New Roman" w:hAnsi="Times New Roman" w:cs="Times New Roman"/>
                <w:sz w:val="24"/>
                <w:szCs w:val="24"/>
              </w:rPr>
              <w:t>. Pagal šios priemonės aprašymą</w:t>
            </w:r>
            <w:r w:rsidR="00713F90">
              <w:rPr>
                <w:rFonts w:ascii="Times New Roman" w:hAnsi="Times New Roman" w:cs="Times New Roman"/>
                <w:sz w:val="24"/>
                <w:szCs w:val="24"/>
              </w:rPr>
              <w:t>,</w:t>
            </w:r>
            <w:r>
              <w:rPr>
                <w:rFonts w:ascii="Times New Roman" w:hAnsi="Times New Roman" w:cs="Times New Roman"/>
                <w:sz w:val="24"/>
                <w:szCs w:val="24"/>
              </w:rPr>
              <w:t xml:space="preserve"> siekiant pritaikyti esamas priemones ar sukurti naujus įrankius socialinio ar bendruomeninio verslo projektams finansuoti, būtina </w:t>
            </w:r>
            <w:r w:rsidR="005D6903">
              <w:rPr>
                <w:rFonts w:ascii="Times New Roman" w:hAnsi="Times New Roman" w:cs="Times New Roman"/>
                <w:sz w:val="24"/>
                <w:szCs w:val="24"/>
              </w:rPr>
              <w:t>atlikti išankstinį (</w:t>
            </w:r>
            <w:proofErr w:type="spellStart"/>
            <w:r w:rsidR="005D6903" w:rsidRPr="0073389E">
              <w:rPr>
                <w:rFonts w:ascii="Times New Roman" w:hAnsi="Times New Roman" w:cs="Times New Roman"/>
                <w:i/>
                <w:sz w:val="24"/>
                <w:szCs w:val="24"/>
              </w:rPr>
              <w:t>ex</w:t>
            </w:r>
            <w:proofErr w:type="spellEnd"/>
            <w:r w:rsidR="005D6903" w:rsidRPr="0073389E">
              <w:rPr>
                <w:rFonts w:ascii="Times New Roman" w:hAnsi="Times New Roman" w:cs="Times New Roman"/>
                <w:i/>
                <w:sz w:val="24"/>
                <w:szCs w:val="24"/>
              </w:rPr>
              <w:t xml:space="preserve"> </w:t>
            </w:r>
            <w:proofErr w:type="spellStart"/>
            <w:r w:rsidR="005D6903" w:rsidRPr="0073389E">
              <w:rPr>
                <w:rFonts w:ascii="Times New Roman" w:hAnsi="Times New Roman" w:cs="Times New Roman"/>
                <w:i/>
                <w:sz w:val="24"/>
                <w:szCs w:val="24"/>
              </w:rPr>
              <w:t>ante</w:t>
            </w:r>
            <w:proofErr w:type="spellEnd"/>
            <w:r w:rsidR="005D6903" w:rsidRPr="005D6903">
              <w:rPr>
                <w:rFonts w:ascii="Times New Roman" w:hAnsi="Times New Roman" w:cs="Times New Roman"/>
                <w:sz w:val="24"/>
                <w:szCs w:val="24"/>
              </w:rPr>
              <w:t xml:space="preserve">) </w:t>
            </w:r>
            <w:r w:rsidRPr="00F43321">
              <w:rPr>
                <w:rFonts w:ascii="Times New Roman" w:hAnsi="Times New Roman" w:cs="Times New Roman"/>
                <w:sz w:val="24"/>
                <w:szCs w:val="24"/>
              </w:rPr>
              <w:t>finansinių priemonių vertinim</w:t>
            </w:r>
            <w:r w:rsidR="001666A5" w:rsidRPr="00F43321">
              <w:rPr>
                <w:rFonts w:ascii="Times New Roman" w:hAnsi="Times New Roman" w:cs="Times New Roman"/>
                <w:sz w:val="24"/>
                <w:szCs w:val="24"/>
              </w:rPr>
              <w:t>ą</w:t>
            </w:r>
            <w:r>
              <w:rPr>
                <w:rFonts w:ascii="Times New Roman" w:hAnsi="Times New Roman" w:cs="Times New Roman"/>
                <w:sz w:val="24"/>
                <w:szCs w:val="24"/>
              </w:rPr>
              <w:t xml:space="preserve">. Kadangi Finansų </w:t>
            </w:r>
            <w:r w:rsidRPr="00927A2B">
              <w:rPr>
                <w:rFonts w:ascii="Times New Roman" w:hAnsi="Times New Roman" w:cs="Times New Roman"/>
                <w:sz w:val="24"/>
                <w:szCs w:val="24"/>
              </w:rPr>
              <w:t xml:space="preserve">ministerija atlieka </w:t>
            </w:r>
            <w:r w:rsidR="005D6903" w:rsidRPr="00927A2B">
              <w:rPr>
                <w:rFonts w:ascii="Times New Roman" w:hAnsi="Times New Roman" w:cs="Times New Roman"/>
                <w:sz w:val="24"/>
                <w:szCs w:val="24"/>
              </w:rPr>
              <w:t xml:space="preserve">išankstinį </w:t>
            </w:r>
            <w:r w:rsidRPr="00927A2B">
              <w:rPr>
                <w:rFonts w:ascii="Times New Roman" w:hAnsi="Times New Roman" w:cs="Times New Roman"/>
                <w:sz w:val="24"/>
                <w:szCs w:val="24"/>
              </w:rPr>
              <w:t xml:space="preserve">finansinių priemonių </w:t>
            </w:r>
            <w:r w:rsidRPr="00E11679">
              <w:rPr>
                <w:rFonts w:ascii="Times New Roman" w:hAnsi="Times New Roman" w:cs="Times New Roman"/>
                <w:sz w:val="24"/>
                <w:szCs w:val="24"/>
              </w:rPr>
              <w:t xml:space="preserve">vertinimą, siūlome Finansų ministeriją ir palikti </w:t>
            </w:r>
            <w:r w:rsidR="001666A5" w:rsidRPr="0056235A">
              <w:rPr>
                <w:rFonts w:ascii="Times New Roman" w:hAnsi="Times New Roman" w:cs="Times New Roman"/>
                <w:sz w:val="24"/>
                <w:szCs w:val="24"/>
              </w:rPr>
              <w:t xml:space="preserve">atsakinga </w:t>
            </w:r>
            <w:r w:rsidRPr="0056235A">
              <w:rPr>
                <w:rFonts w:ascii="Times New Roman" w:hAnsi="Times New Roman" w:cs="Times New Roman"/>
                <w:sz w:val="24"/>
                <w:szCs w:val="24"/>
              </w:rPr>
              <w:t xml:space="preserve">šios priemonės vykdytoja. Pažymėtina ir tai, kad Finansų ministerija </w:t>
            </w:r>
            <w:r w:rsidR="001666A5" w:rsidRPr="009A0DA2">
              <w:rPr>
                <w:rFonts w:ascii="Times New Roman" w:hAnsi="Times New Roman" w:cs="Times New Roman"/>
                <w:sz w:val="24"/>
                <w:szCs w:val="24"/>
              </w:rPr>
              <w:t xml:space="preserve">kaip </w:t>
            </w:r>
            <w:r w:rsidR="001666A5" w:rsidRPr="00927A2B">
              <w:rPr>
                <w:rFonts w:ascii="Times New Roman" w:hAnsi="Times New Roman" w:cs="Times New Roman"/>
                <w:sz w:val="24"/>
                <w:szCs w:val="24"/>
              </w:rPr>
              <w:t xml:space="preserve">atsakinga </w:t>
            </w:r>
            <w:r w:rsidRPr="00927A2B">
              <w:rPr>
                <w:rFonts w:ascii="Times New Roman" w:hAnsi="Times New Roman" w:cs="Times New Roman"/>
                <w:sz w:val="24"/>
                <w:szCs w:val="24"/>
              </w:rPr>
              <w:t xml:space="preserve">šios priemonės vykdytoja buvo </w:t>
            </w:r>
            <w:r w:rsidR="001666A5" w:rsidRPr="009A0DA2">
              <w:rPr>
                <w:rFonts w:ascii="Times New Roman" w:hAnsi="Times New Roman" w:cs="Times New Roman"/>
                <w:sz w:val="24"/>
                <w:szCs w:val="24"/>
              </w:rPr>
              <w:t xml:space="preserve">nurodyta </w:t>
            </w:r>
            <w:r w:rsidRPr="00927A2B">
              <w:rPr>
                <w:rFonts w:ascii="Times New Roman" w:hAnsi="Times New Roman" w:cs="Times New Roman"/>
                <w:sz w:val="24"/>
                <w:szCs w:val="24"/>
              </w:rPr>
              <w:t xml:space="preserve">ir šiuo nutarimu keičiamame </w:t>
            </w:r>
            <w:r w:rsidRPr="00E11679">
              <w:rPr>
                <w:rFonts w:ascii="Times New Roman" w:hAnsi="Times New Roman" w:cs="Times New Roman"/>
                <w:sz w:val="24"/>
                <w:szCs w:val="24"/>
              </w:rPr>
              <w:t>Demografijos, migracijos ir integracijos politikos 2018–2030</w:t>
            </w:r>
            <w:r w:rsidR="00927A2B">
              <w:rPr>
                <w:rFonts w:ascii="Times New Roman" w:hAnsi="Times New Roman" w:cs="Times New Roman"/>
                <w:sz w:val="24"/>
                <w:szCs w:val="24"/>
              </w:rPr>
              <w:t> </w:t>
            </w:r>
            <w:r w:rsidRPr="00E11679">
              <w:rPr>
                <w:rFonts w:ascii="Times New Roman" w:hAnsi="Times New Roman" w:cs="Times New Roman"/>
                <w:sz w:val="24"/>
                <w:szCs w:val="24"/>
              </w:rPr>
              <w:t xml:space="preserve">metų strategijos įgyvendinimo 2019–2021 metų </w:t>
            </w:r>
            <w:proofErr w:type="spellStart"/>
            <w:r w:rsidRPr="00E11679">
              <w:rPr>
                <w:rFonts w:ascii="Times New Roman" w:hAnsi="Times New Roman" w:cs="Times New Roman"/>
                <w:sz w:val="24"/>
                <w:szCs w:val="24"/>
              </w:rPr>
              <w:t>tarpinstitucin</w:t>
            </w:r>
            <w:r w:rsidRPr="0056235A">
              <w:rPr>
                <w:rFonts w:ascii="Times New Roman" w:hAnsi="Times New Roman" w:cs="Times New Roman"/>
                <w:sz w:val="24"/>
                <w:szCs w:val="24"/>
              </w:rPr>
              <w:t>iame</w:t>
            </w:r>
            <w:proofErr w:type="spellEnd"/>
            <w:r w:rsidRPr="0056235A">
              <w:rPr>
                <w:rFonts w:ascii="Times New Roman" w:hAnsi="Times New Roman" w:cs="Times New Roman"/>
                <w:sz w:val="24"/>
                <w:szCs w:val="24"/>
              </w:rPr>
              <w:t xml:space="preserve"> veiklos plan</w:t>
            </w:r>
            <w:r w:rsidRPr="00E83DD6">
              <w:rPr>
                <w:rFonts w:ascii="Times New Roman" w:hAnsi="Times New Roman" w:cs="Times New Roman"/>
                <w:sz w:val="24"/>
                <w:szCs w:val="24"/>
              </w:rPr>
              <w:t xml:space="preserve">e, patvirtintame Lietuvos </w:t>
            </w:r>
            <w:r w:rsidRPr="00E83DD6">
              <w:rPr>
                <w:rFonts w:ascii="Times New Roman" w:hAnsi="Times New Roman" w:cs="Times New Roman"/>
                <w:sz w:val="24"/>
                <w:szCs w:val="24"/>
              </w:rPr>
              <w:lastRenderedPageBreak/>
              <w:t>Respublikos Vyriausybės 2018 m. gruodžio 5 d. nutarimu Nr.</w:t>
            </w:r>
            <w:r w:rsidR="00927A2B" w:rsidRPr="00E83DD6">
              <w:t> </w:t>
            </w:r>
            <w:r w:rsidRPr="00E83DD6">
              <w:rPr>
                <w:rFonts w:ascii="Times New Roman" w:hAnsi="Times New Roman" w:cs="Times New Roman"/>
                <w:sz w:val="24"/>
                <w:szCs w:val="24"/>
              </w:rPr>
              <w:t>1216</w:t>
            </w:r>
            <w:r w:rsidRPr="00927A2B">
              <w:rPr>
                <w:rFonts w:ascii="Times New Roman" w:hAnsi="Times New Roman" w:cs="Times New Roman"/>
                <w:sz w:val="24"/>
                <w:szCs w:val="24"/>
              </w:rPr>
              <w:t xml:space="preserve"> „Dėl „Demografijos, migracijos</w:t>
            </w:r>
            <w:r w:rsidRPr="00B12BBE">
              <w:rPr>
                <w:rFonts w:ascii="Times New Roman" w:hAnsi="Times New Roman" w:cs="Times New Roman"/>
                <w:sz w:val="24"/>
                <w:szCs w:val="24"/>
              </w:rPr>
              <w:t xml:space="preserve"> ir integracijos politikos 2018–2030</w:t>
            </w:r>
            <w:r w:rsidR="001666A5">
              <w:rPr>
                <w:rFonts w:ascii="Times New Roman" w:hAnsi="Times New Roman" w:cs="Times New Roman"/>
                <w:sz w:val="24"/>
                <w:szCs w:val="24"/>
              </w:rPr>
              <w:t> </w:t>
            </w:r>
            <w:r w:rsidRPr="00B12BBE">
              <w:rPr>
                <w:rFonts w:ascii="Times New Roman" w:hAnsi="Times New Roman" w:cs="Times New Roman"/>
                <w:sz w:val="24"/>
                <w:szCs w:val="24"/>
              </w:rPr>
              <w:t xml:space="preserve">metų strategijos įgyvendinimo 2019–2021 metų </w:t>
            </w:r>
            <w:proofErr w:type="spellStart"/>
            <w:r w:rsidRPr="00B12BBE">
              <w:rPr>
                <w:rFonts w:ascii="Times New Roman" w:hAnsi="Times New Roman" w:cs="Times New Roman"/>
                <w:sz w:val="24"/>
                <w:szCs w:val="24"/>
              </w:rPr>
              <w:t>tarpinstitucini</w:t>
            </w:r>
            <w:r>
              <w:rPr>
                <w:rFonts w:ascii="Times New Roman" w:hAnsi="Times New Roman" w:cs="Times New Roman"/>
                <w:sz w:val="24"/>
                <w:szCs w:val="24"/>
              </w:rPr>
              <w:t>o</w:t>
            </w:r>
            <w:proofErr w:type="spellEnd"/>
            <w:r w:rsidRPr="00B12BBE">
              <w:rPr>
                <w:rFonts w:ascii="Times New Roman" w:hAnsi="Times New Roman" w:cs="Times New Roman"/>
                <w:sz w:val="24"/>
                <w:szCs w:val="24"/>
              </w:rPr>
              <w:t xml:space="preserve"> veiklos plan</w:t>
            </w:r>
            <w:r>
              <w:rPr>
                <w:rFonts w:ascii="Times New Roman" w:hAnsi="Times New Roman" w:cs="Times New Roman"/>
                <w:sz w:val="24"/>
                <w:szCs w:val="24"/>
              </w:rPr>
              <w:t>o</w:t>
            </w:r>
            <w:r w:rsidRPr="00B12BBE">
              <w:rPr>
                <w:rFonts w:ascii="Times New Roman" w:hAnsi="Times New Roman" w:cs="Times New Roman"/>
                <w:sz w:val="24"/>
                <w:szCs w:val="24"/>
              </w:rPr>
              <w:t xml:space="preserve"> patvirtin</w:t>
            </w:r>
            <w:r>
              <w:rPr>
                <w:rFonts w:ascii="Times New Roman" w:hAnsi="Times New Roman" w:cs="Times New Roman"/>
                <w:sz w:val="24"/>
                <w:szCs w:val="24"/>
              </w:rPr>
              <w:t>imo“.</w:t>
            </w:r>
          </w:p>
        </w:tc>
      </w:tr>
      <w:tr w:rsidR="00397001" w:rsidTr="009A0DA2">
        <w:tc>
          <w:tcPr>
            <w:tcW w:w="2518" w:type="dxa"/>
          </w:tcPr>
          <w:p w:rsidR="00397001" w:rsidRDefault="00C347ED" w:rsidP="00D15603">
            <w:pPr>
              <w:spacing w:line="320" w:lineRule="atLeast"/>
            </w:pPr>
            <w:r>
              <w:rPr>
                <w:rFonts w:ascii="Times New Roman" w:hAnsi="Times New Roman" w:cs="Times New Roman"/>
                <w:sz w:val="24"/>
                <w:szCs w:val="24"/>
              </w:rPr>
              <w:lastRenderedPageBreak/>
              <w:t>Lietuvos Respublikos e</w:t>
            </w:r>
            <w:r w:rsidR="00397001">
              <w:rPr>
                <w:rFonts w:ascii="Times New Roman" w:hAnsi="Times New Roman" w:cs="Times New Roman"/>
                <w:sz w:val="24"/>
                <w:szCs w:val="24"/>
              </w:rPr>
              <w:t>konomikos ir inovacijų ministerijos 2019</w:t>
            </w:r>
            <w:r w:rsidR="00701109">
              <w:rPr>
                <w:rFonts w:ascii="Times New Roman" w:hAnsi="Times New Roman" w:cs="Times New Roman"/>
                <w:sz w:val="24"/>
                <w:szCs w:val="24"/>
              </w:rPr>
              <w:t xml:space="preserve"> m. lapkričio </w:t>
            </w:r>
            <w:r w:rsidR="00397001">
              <w:rPr>
                <w:rFonts w:ascii="Times New Roman" w:hAnsi="Times New Roman" w:cs="Times New Roman"/>
                <w:sz w:val="24"/>
                <w:szCs w:val="24"/>
              </w:rPr>
              <w:t>11</w:t>
            </w:r>
            <w:r w:rsidR="004A001C">
              <w:rPr>
                <w:rFonts w:ascii="Times New Roman" w:hAnsi="Times New Roman" w:cs="Times New Roman"/>
                <w:sz w:val="24"/>
                <w:szCs w:val="24"/>
              </w:rPr>
              <w:t> </w:t>
            </w:r>
            <w:r w:rsidR="00701109">
              <w:rPr>
                <w:rFonts w:ascii="Times New Roman" w:hAnsi="Times New Roman" w:cs="Times New Roman"/>
                <w:sz w:val="24"/>
                <w:szCs w:val="24"/>
              </w:rPr>
              <w:t xml:space="preserve">d. </w:t>
            </w:r>
            <w:r w:rsidR="00397001">
              <w:rPr>
                <w:rFonts w:ascii="Times New Roman" w:hAnsi="Times New Roman" w:cs="Times New Roman"/>
                <w:sz w:val="24"/>
                <w:szCs w:val="24"/>
              </w:rPr>
              <w:t>raštas Nr.</w:t>
            </w:r>
            <w:r w:rsidR="00242878">
              <w:rPr>
                <w:rFonts w:ascii="Times New Roman" w:hAnsi="Times New Roman" w:cs="Times New Roman"/>
                <w:sz w:val="24"/>
                <w:szCs w:val="24"/>
              </w:rPr>
              <w:t> </w:t>
            </w:r>
            <w:r w:rsidR="00397001">
              <w:rPr>
                <w:rFonts w:ascii="Times New Roman" w:hAnsi="Times New Roman" w:cs="Times New Roman"/>
                <w:sz w:val="24"/>
                <w:szCs w:val="24"/>
              </w:rPr>
              <w:t>(33.2-81)-3</w:t>
            </w:r>
            <w:proofErr w:type="gramStart"/>
            <w:r w:rsidR="00397001">
              <w:rPr>
                <w:rFonts w:ascii="Times New Roman" w:hAnsi="Times New Roman" w:cs="Times New Roman"/>
                <w:sz w:val="24"/>
                <w:szCs w:val="24"/>
              </w:rPr>
              <w:t>-</w:t>
            </w:r>
            <w:proofErr w:type="gramEnd"/>
            <w:r w:rsidR="00397001">
              <w:rPr>
                <w:rFonts w:ascii="Times New Roman" w:hAnsi="Times New Roman" w:cs="Times New Roman"/>
                <w:sz w:val="24"/>
                <w:szCs w:val="24"/>
              </w:rPr>
              <w:t>4111</w:t>
            </w:r>
          </w:p>
        </w:tc>
        <w:tc>
          <w:tcPr>
            <w:tcW w:w="5670" w:type="dxa"/>
          </w:tcPr>
          <w:p w:rsidR="00C347ED" w:rsidRDefault="00B33DDB" w:rsidP="00B33DDB">
            <w:pPr>
              <w:spacing w:line="320" w:lineRule="atLeast"/>
              <w:jc w:val="both"/>
              <w:rPr>
                <w:rFonts w:ascii="Times New Roman" w:hAnsi="Times New Roman" w:cs="Times New Roman"/>
                <w:sz w:val="24"/>
                <w:szCs w:val="24"/>
              </w:rPr>
            </w:pPr>
            <w:r>
              <w:rPr>
                <w:rFonts w:ascii="Times New Roman" w:hAnsi="Times New Roman" w:cs="Times New Roman"/>
                <w:sz w:val="24"/>
                <w:szCs w:val="24"/>
              </w:rPr>
              <w:t xml:space="preserve">Atsižvelgdami į tai, kad grąžinamos subsidijos nėra priskiriamos finansinėms priemonėms, siūlome </w:t>
            </w:r>
            <w:r w:rsidRPr="00D574B7">
              <w:rPr>
                <w:rFonts w:ascii="Times New Roman" w:hAnsi="Times New Roman" w:cs="Times New Roman"/>
                <w:sz w:val="24"/>
                <w:szCs w:val="24"/>
              </w:rPr>
              <w:t>&lt;...&gt;</w:t>
            </w:r>
            <w:r>
              <w:rPr>
                <w:rFonts w:ascii="Times New Roman" w:hAnsi="Times New Roman" w:cs="Times New Roman"/>
                <w:sz w:val="24"/>
                <w:szCs w:val="24"/>
              </w:rPr>
              <w:t xml:space="preserve"> patikslinti 8.4.2 priemonės „Didinti finansavimo prieinamumą </w:t>
            </w:r>
            <w:r w:rsidRPr="008A621B">
              <w:rPr>
                <w:rFonts w:ascii="Times New Roman" w:hAnsi="Times New Roman" w:cs="Times New Roman"/>
                <w:sz w:val="24"/>
                <w:szCs w:val="24"/>
              </w:rPr>
              <w:t>panaudojant esamus finansinius instrumentus NVO socialiniam ir bendruomeniniam verslui plėtoti“</w:t>
            </w:r>
            <w:r>
              <w:rPr>
                <w:rFonts w:ascii="Times New Roman" w:hAnsi="Times New Roman" w:cs="Times New Roman"/>
                <w:sz w:val="24"/>
                <w:szCs w:val="24"/>
              </w:rPr>
              <w:t xml:space="preserve"> aprašymą ir jį išdėstyti taip: </w:t>
            </w:r>
          </w:p>
          <w:p w:rsidR="00397001" w:rsidRDefault="00B33DDB" w:rsidP="00B33DDB">
            <w:pPr>
              <w:spacing w:line="320" w:lineRule="atLeast"/>
              <w:jc w:val="both"/>
            </w:pPr>
            <w:r>
              <w:rPr>
                <w:rFonts w:ascii="Times New Roman" w:hAnsi="Times New Roman" w:cs="Times New Roman"/>
                <w:sz w:val="24"/>
                <w:szCs w:val="24"/>
              </w:rPr>
              <w:t>„</w:t>
            </w:r>
            <w:r w:rsidRPr="00992DDE">
              <w:rPr>
                <w:rFonts w:ascii="Times New Roman" w:hAnsi="Times New Roman" w:cs="Times New Roman"/>
                <w:sz w:val="24"/>
                <w:szCs w:val="24"/>
              </w:rPr>
              <w:t>Šiuo metu teorinė galimybė NVO pasinaudoti garantijų, paskolų priemonėmis yra, tačiau, kad galėtų pasinaudoti finansinėmis (paskolų garantijų) priemonėmis</w:t>
            </w:r>
            <w:r>
              <w:rPr>
                <w:rFonts w:ascii="Times New Roman" w:hAnsi="Times New Roman" w:cs="Times New Roman"/>
                <w:sz w:val="24"/>
                <w:szCs w:val="24"/>
              </w:rPr>
              <w:t>,</w:t>
            </w:r>
            <w:r w:rsidRPr="00992DDE">
              <w:rPr>
                <w:rFonts w:ascii="Times New Roman" w:hAnsi="Times New Roman" w:cs="Times New Roman"/>
                <w:sz w:val="24"/>
                <w:szCs w:val="24"/>
              </w:rPr>
              <w:t xml:space="preserve"> NVO turi turėti kreditingumo istoriją, atitinkamus finansinius rodiklius, kurių reikalauja kredito įstaigos, per kurias yra įgyvendinamos finansinės priemonės. Tam, kad būtų sukurtos naujos finansinės</w:t>
            </w:r>
            <w:r>
              <w:rPr>
                <w:rFonts w:ascii="Times New Roman" w:hAnsi="Times New Roman" w:cs="Times New Roman"/>
                <w:sz w:val="24"/>
                <w:szCs w:val="24"/>
              </w:rPr>
              <w:t xml:space="preserve"> priemonės</w:t>
            </w:r>
            <w:r w:rsidRPr="00992DDE">
              <w:rPr>
                <w:rFonts w:ascii="Times New Roman" w:hAnsi="Times New Roman" w:cs="Times New Roman"/>
                <w:sz w:val="24"/>
                <w:szCs w:val="24"/>
              </w:rPr>
              <w:t>, būtina tai išanalizuoti finansinių priemonių išankstiniame (</w:t>
            </w:r>
            <w:proofErr w:type="spellStart"/>
            <w:r w:rsidRPr="00992DDE">
              <w:rPr>
                <w:rFonts w:ascii="Times New Roman" w:hAnsi="Times New Roman" w:cs="Times New Roman"/>
                <w:i/>
                <w:sz w:val="24"/>
                <w:szCs w:val="24"/>
              </w:rPr>
              <w:t>ex</w:t>
            </w:r>
            <w:proofErr w:type="spellEnd"/>
            <w:r w:rsidRPr="00992DDE">
              <w:rPr>
                <w:rFonts w:ascii="Times New Roman" w:hAnsi="Times New Roman" w:cs="Times New Roman"/>
                <w:i/>
                <w:sz w:val="24"/>
                <w:szCs w:val="24"/>
              </w:rPr>
              <w:t xml:space="preserve"> </w:t>
            </w:r>
            <w:proofErr w:type="spellStart"/>
            <w:r w:rsidRPr="00992DDE">
              <w:rPr>
                <w:rFonts w:ascii="Times New Roman" w:hAnsi="Times New Roman" w:cs="Times New Roman"/>
                <w:i/>
                <w:sz w:val="24"/>
                <w:szCs w:val="24"/>
              </w:rPr>
              <w:t>ante</w:t>
            </w:r>
            <w:proofErr w:type="spellEnd"/>
            <w:r w:rsidRPr="00992DDE">
              <w:rPr>
                <w:rFonts w:ascii="Times New Roman" w:hAnsi="Times New Roman" w:cs="Times New Roman"/>
                <w:sz w:val="24"/>
                <w:szCs w:val="24"/>
              </w:rPr>
              <w:t>) vertinime, kuriame turi būti nustatytas rinkos trūkumas ir galimas jo padengimas konkrečiomis finansinėmis priemonėmis. Atkreiptinas dėmesys, kad</w:t>
            </w:r>
            <w:r>
              <w:rPr>
                <w:rFonts w:ascii="Times New Roman" w:hAnsi="Times New Roman" w:cs="Times New Roman"/>
                <w:sz w:val="24"/>
                <w:szCs w:val="24"/>
              </w:rPr>
              <w:t>,</w:t>
            </w:r>
            <w:r w:rsidRPr="00992DDE">
              <w:rPr>
                <w:rFonts w:ascii="Times New Roman" w:hAnsi="Times New Roman" w:cs="Times New Roman"/>
                <w:sz w:val="24"/>
                <w:szCs w:val="24"/>
              </w:rPr>
              <w:t xml:space="preserve"> vadovaujantis ES reglamentavimu, finansinės priemonės gali būti taikomos tik fi</w:t>
            </w:r>
            <w:r>
              <w:rPr>
                <w:rFonts w:ascii="Times New Roman" w:hAnsi="Times New Roman" w:cs="Times New Roman"/>
                <w:sz w:val="24"/>
                <w:szCs w:val="24"/>
              </w:rPr>
              <w:t>nansiškai gyvybingoms veikloms.“</w:t>
            </w:r>
          </w:p>
        </w:tc>
        <w:tc>
          <w:tcPr>
            <w:tcW w:w="6237" w:type="dxa"/>
          </w:tcPr>
          <w:p w:rsidR="00C347ED" w:rsidRDefault="00B33DDB" w:rsidP="00B33DDB">
            <w:pPr>
              <w:spacing w:line="320" w:lineRule="atLeast"/>
              <w:jc w:val="both"/>
              <w:rPr>
                <w:rFonts w:ascii="Times New Roman" w:hAnsi="Times New Roman" w:cs="Times New Roman"/>
                <w:b/>
                <w:sz w:val="24"/>
                <w:szCs w:val="24"/>
              </w:rPr>
            </w:pPr>
            <w:r>
              <w:rPr>
                <w:rFonts w:ascii="Times New Roman" w:hAnsi="Times New Roman" w:cs="Times New Roman"/>
                <w:b/>
                <w:sz w:val="24"/>
                <w:szCs w:val="24"/>
              </w:rPr>
              <w:t xml:space="preserve">Atsižvelgta iš dalies. </w:t>
            </w:r>
          </w:p>
          <w:p w:rsidR="00397001" w:rsidRDefault="001666A5" w:rsidP="00A26A18">
            <w:pPr>
              <w:spacing w:line="320" w:lineRule="atLeast"/>
              <w:jc w:val="both"/>
            </w:pPr>
            <w:r>
              <w:rPr>
                <w:rFonts w:ascii="Times New Roman" w:hAnsi="Times New Roman" w:cs="Times New Roman"/>
                <w:sz w:val="24"/>
                <w:szCs w:val="24"/>
              </w:rPr>
              <w:t xml:space="preserve">Atsakinga </w:t>
            </w:r>
            <w:r w:rsidR="00B33DDB">
              <w:rPr>
                <w:rFonts w:ascii="Times New Roman" w:hAnsi="Times New Roman" w:cs="Times New Roman"/>
                <w:sz w:val="24"/>
                <w:szCs w:val="24"/>
              </w:rPr>
              <w:t xml:space="preserve">priemonės vykdytoja lieka Finansų ministerija, </w:t>
            </w:r>
            <w:r>
              <w:rPr>
                <w:rFonts w:ascii="Times New Roman" w:hAnsi="Times New Roman" w:cs="Times New Roman"/>
                <w:sz w:val="24"/>
                <w:szCs w:val="24"/>
              </w:rPr>
              <w:t xml:space="preserve">todėl </w:t>
            </w:r>
            <w:r w:rsidR="00A26A18" w:rsidRPr="00E83DD6">
              <w:rPr>
                <w:rFonts w:ascii="Times New Roman" w:hAnsi="Times New Roman" w:cs="Times New Roman"/>
                <w:sz w:val="24"/>
                <w:szCs w:val="24"/>
              </w:rPr>
              <w:t>pateikia</w:t>
            </w:r>
            <w:r w:rsidR="00B33DDB" w:rsidRPr="00E83DD6">
              <w:rPr>
                <w:rFonts w:ascii="Times New Roman" w:hAnsi="Times New Roman" w:cs="Times New Roman"/>
                <w:sz w:val="24"/>
                <w:szCs w:val="24"/>
              </w:rPr>
              <w:t>mas Finansų ministerijos pasiūlytos priemonės aprašymas, tačiau</w:t>
            </w:r>
            <w:r w:rsidRPr="00E83DD6">
              <w:rPr>
                <w:rFonts w:ascii="Times New Roman" w:hAnsi="Times New Roman" w:cs="Times New Roman"/>
                <w:sz w:val="24"/>
                <w:szCs w:val="24"/>
              </w:rPr>
              <w:t>,</w:t>
            </w:r>
            <w:r w:rsidR="00B33DDB" w:rsidRPr="00E83DD6">
              <w:rPr>
                <w:rFonts w:ascii="Times New Roman" w:hAnsi="Times New Roman" w:cs="Times New Roman"/>
                <w:sz w:val="24"/>
                <w:szCs w:val="24"/>
              </w:rPr>
              <w:t xml:space="preserve"> atsižvelg</w:t>
            </w:r>
            <w:r w:rsidRPr="00E83DD6">
              <w:rPr>
                <w:rFonts w:ascii="Times New Roman" w:hAnsi="Times New Roman" w:cs="Times New Roman"/>
                <w:sz w:val="24"/>
                <w:szCs w:val="24"/>
              </w:rPr>
              <w:t>us</w:t>
            </w:r>
            <w:r w:rsidR="00B33DDB" w:rsidRPr="00E83DD6">
              <w:rPr>
                <w:rFonts w:ascii="Times New Roman" w:hAnsi="Times New Roman" w:cs="Times New Roman"/>
                <w:sz w:val="24"/>
                <w:szCs w:val="24"/>
              </w:rPr>
              <w:t xml:space="preserve"> į Ekonomikos ir inovacijų ministerijos pastabą, kad grąžinamos subsidijos </w:t>
            </w:r>
            <w:r w:rsidRPr="00E83DD6">
              <w:rPr>
                <w:rFonts w:ascii="Times New Roman" w:hAnsi="Times New Roman" w:cs="Times New Roman"/>
                <w:sz w:val="24"/>
                <w:szCs w:val="24"/>
              </w:rPr>
              <w:t>ne</w:t>
            </w:r>
            <w:r w:rsidR="00B33DDB" w:rsidRPr="00E83DD6">
              <w:rPr>
                <w:rFonts w:ascii="Times New Roman" w:hAnsi="Times New Roman" w:cs="Times New Roman"/>
                <w:sz w:val="24"/>
                <w:szCs w:val="24"/>
              </w:rPr>
              <w:t>priskiriamos</w:t>
            </w:r>
            <w:r w:rsidR="00B33DDB">
              <w:rPr>
                <w:rFonts w:ascii="Times New Roman" w:hAnsi="Times New Roman" w:cs="Times New Roman"/>
                <w:sz w:val="24"/>
                <w:szCs w:val="24"/>
              </w:rPr>
              <w:t xml:space="preserve"> finansinėms priemonėms, patikslintas Finansų ministerijos pasiūlytas priemonės aprašymas, apibūdinant finansines priemones</w:t>
            </w:r>
            <w:r>
              <w:rPr>
                <w:rFonts w:ascii="Times New Roman" w:hAnsi="Times New Roman" w:cs="Times New Roman"/>
                <w:sz w:val="24"/>
                <w:szCs w:val="24"/>
              </w:rPr>
              <w:t>,</w:t>
            </w:r>
            <w:r w:rsidR="00B33DDB">
              <w:rPr>
                <w:rFonts w:ascii="Times New Roman" w:hAnsi="Times New Roman" w:cs="Times New Roman"/>
                <w:sz w:val="24"/>
                <w:szCs w:val="24"/>
              </w:rPr>
              <w:t xml:space="preserve"> nenurodomos grąžinamos subsidijos.</w:t>
            </w:r>
          </w:p>
        </w:tc>
      </w:tr>
    </w:tbl>
    <w:p w:rsidR="00C347ED" w:rsidRDefault="00C347ED" w:rsidP="00F92891">
      <w:pPr>
        <w:spacing w:line="320" w:lineRule="atLeast"/>
        <w:jc w:val="center"/>
      </w:pPr>
    </w:p>
    <w:p w:rsidR="00397001" w:rsidRDefault="00C347ED" w:rsidP="00F92891">
      <w:pPr>
        <w:spacing w:line="320" w:lineRule="atLeast"/>
        <w:jc w:val="center"/>
      </w:pPr>
      <w:r>
        <w:t>______________________________</w:t>
      </w:r>
    </w:p>
    <w:sectPr w:rsidR="00397001" w:rsidSect="00397001">
      <w:pgSz w:w="16838" w:h="11906" w:orient="landscape"/>
      <w:pgMar w:top="1135"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001"/>
    <w:rsid w:val="001026C9"/>
    <w:rsid w:val="00141B0E"/>
    <w:rsid w:val="001666A5"/>
    <w:rsid w:val="00242878"/>
    <w:rsid w:val="0025326E"/>
    <w:rsid w:val="002A561E"/>
    <w:rsid w:val="00397001"/>
    <w:rsid w:val="004A001C"/>
    <w:rsid w:val="004B5B4D"/>
    <w:rsid w:val="0056235A"/>
    <w:rsid w:val="005D6903"/>
    <w:rsid w:val="00701109"/>
    <w:rsid w:val="00713F90"/>
    <w:rsid w:val="008011D0"/>
    <w:rsid w:val="008A60C3"/>
    <w:rsid w:val="008D78B8"/>
    <w:rsid w:val="00927A2B"/>
    <w:rsid w:val="009A0DA2"/>
    <w:rsid w:val="00A26A18"/>
    <w:rsid w:val="00AA62D4"/>
    <w:rsid w:val="00B33DDB"/>
    <w:rsid w:val="00B444D3"/>
    <w:rsid w:val="00B7531C"/>
    <w:rsid w:val="00C347ED"/>
    <w:rsid w:val="00CA4372"/>
    <w:rsid w:val="00D07F74"/>
    <w:rsid w:val="00D14AD7"/>
    <w:rsid w:val="00D15603"/>
    <w:rsid w:val="00E11679"/>
    <w:rsid w:val="00E83DD6"/>
    <w:rsid w:val="00EC656A"/>
    <w:rsid w:val="00F43321"/>
    <w:rsid w:val="00F928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07F7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397001"/>
    <w:pPr>
      <w:spacing w:after="0" w:line="240" w:lineRule="auto"/>
    </w:pPr>
  </w:style>
  <w:style w:type="table" w:styleId="Lentelstinklelis">
    <w:name w:val="Table Grid"/>
    <w:basedOn w:val="prastojilentel"/>
    <w:uiPriority w:val="59"/>
    <w:rsid w:val="00397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8011D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011D0"/>
    <w:rPr>
      <w:rFonts w:ascii="Tahoma" w:hAnsi="Tahoma" w:cs="Tahoma"/>
      <w:sz w:val="16"/>
      <w:szCs w:val="16"/>
    </w:rPr>
  </w:style>
  <w:style w:type="character" w:styleId="Komentaronuoroda">
    <w:name w:val="annotation reference"/>
    <w:basedOn w:val="Numatytasispastraiposriftas"/>
    <w:uiPriority w:val="99"/>
    <w:semiHidden/>
    <w:unhideWhenUsed/>
    <w:rsid w:val="00CA4372"/>
    <w:rPr>
      <w:sz w:val="16"/>
      <w:szCs w:val="16"/>
    </w:rPr>
  </w:style>
  <w:style w:type="paragraph" w:styleId="Komentarotekstas">
    <w:name w:val="annotation text"/>
    <w:basedOn w:val="prastasis"/>
    <w:link w:val="KomentarotekstasDiagrama"/>
    <w:uiPriority w:val="99"/>
    <w:semiHidden/>
    <w:unhideWhenUsed/>
    <w:rsid w:val="00CA437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A4372"/>
    <w:rPr>
      <w:sz w:val="20"/>
      <w:szCs w:val="20"/>
    </w:rPr>
  </w:style>
  <w:style w:type="paragraph" w:styleId="Komentarotema">
    <w:name w:val="annotation subject"/>
    <w:basedOn w:val="Komentarotekstas"/>
    <w:next w:val="Komentarotekstas"/>
    <w:link w:val="KomentarotemaDiagrama"/>
    <w:uiPriority w:val="99"/>
    <w:semiHidden/>
    <w:unhideWhenUsed/>
    <w:rsid w:val="00CA4372"/>
    <w:rPr>
      <w:b/>
      <w:bCs/>
    </w:rPr>
  </w:style>
  <w:style w:type="character" w:customStyle="1" w:styleId="KomentarotemaDiagrama">
    <w:name w:val="Komentaro tema Diagrama"/>
    <w:basedOn w:val="KomentarotekstasDiagrama"/>
    <w:link w:val="Komentarotema"/>
    <w:uiPriority w:val="99"/>
    <w:semiHidden/>
    <w:rsid w:val="00CA437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07F7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397001"/>
    <w:pPr>
      <w:spacing w:after="0" w:line="240" w:lineRule="auto"/>
    </w:pPr>
  </w:style>
  <w:style w:type="table" w:styleId="Lentelstinklelis">
    <w:name w:val="Table Grid"/>
    <w:basedOn w:val="prastojilentel"/>
    <w:uiPriority w:val="59"/>
    <w:rsid w:val="00397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8011D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011D0"/>
    <w:rPr>
      <w:rFonts w:ascii="Tahoma" w:hAnsi="Tahoma" w:cs="Tahoma"/>
      <w:sz w:val="16"/>
      <w:szCs w:val="16"/>
    </w:rPr>
  </w:style>
  <w:style w:type="character" w:styleId="Komentaronuoroda">
    <w:name w:val="annotation reference"/>
    <w:basedOn w:val="Numatytasispastraiposriftas"/>
    <w:uiPriority w:val="99"/>
    <w:semiHidden/>
    <w:unhideWhenUsed/>
    <w:rsid w:val="00CA4372"/>
    <w:rPr>
      <w:sz w:val="16"/>
      <w:szCs w:val="16"/>
    </w:rPr>
  </w:style>
  <w:style w:type="paragraph" w:styleId="Komentarotekstas">
    <w:name w:val="annotation text"/>
    <w:basedOn w:val="prastasis"/>
    <w:link w:val="KomentarotekstasDiagrama"/>
    <w:uiPriority w:val="99"/>
    <w:semiHidden/>
    <w:unhideWhenUsed/>
    <w:rsid w:val="00CA437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A4372"/>
    <w:rPr>
      <w:sz w:val="20"/>
      <w:szCs w:val="20"/>
    </w:rPr>
  </w:style>
  <w:style w:type="paragraph" w:styleId="Komentarotema">
    <w:name w:val="annotation subject"/>
    <w:basedOn w:val="Komentarotekstas"/>
    <w:next w:val="Komentarotekstas"/>
    <w:link w:val="KomentarotemaDiagrama"/>
    <w:uiPriority w:val="99"/>
    <w:semiHidden/>
    <w:unhideWhenUsed/>
    <w:rsid w:val="00CA4372"/>
    <w:rPr>
      <w:b/>
      <w:bCs/>
    </w:rPr>
  </w:style>
  <w:style w:type="character" w:customStyle="1" w:styleId="KomentarotemaDiagrama">
    <w:name w:val="Komentaro tema Diagrama"/>
    <w:basedOn w:val="KomentarotekstasDiagrama"/>
    <w:link w:val="Komentarotema"/>
    <w:uiPriority w:val="99"/>
    <w:semiHidden/>
    <w:rsid w:val="00CA43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3080</Words>
  <Characters>1756</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2019-12-11T16:52:00Z</dcterms:created>
  <dc:creator>Steponas Kulbauskas</dc:creator>
  <cp:lastModifiedBy>Steponas Kulbauskas</cp:lastModifiedBy>
  <dcterms:modified xsi:type="dcterms:W3CDTF">2019-12-11T16:56:00Z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-578940003</vt:i4>
  </property>
  <property fmtid="{D5CDD505-2E9C-101B-9397-08002B2CF9AE}" pid="3" name="_NewReviewCycle">
    <vt:lpwstr/>
  </property>
  <property fmtid="{D5CDD505-2E9C-101B-9397-08002B2CF9AE}" pid="4" name="_EmailSubject">
    <vt:lpwstr>pataisyta derinimo pažyma</vt:lpwstr>
  </property>
  <property fmtid="{D5CDD505-2E9C-101B-9397-08002B2CF9AE}" pid="5" name="_AuthorEmail">
    <vt:lpwstr>Angele.Rukseniene@socmin.lt</vt:lpwstr>
  </property>
  <property fmtid="{D5CDD505-2E9C-101B-9397-08002B2CF9AE}" pid="6" name="_AuthorEmailDisplayName">
    <vt:lpwstr>Angelė Rukšėnienė</vt:lpwstr>
  </property>
  <property fmtid="{D5CDD505-2E9C-101B-9397-08002B2CF9AE}" pid="7" name="_PreviousAdHocReviewCycleID">
    <vt:i4>683781478</vt:i4>
  </property>
  <property fmtid="{D5CDD505-2E9C-101B-9397-08002B2CF9AE}" pid="8" name="_ReviewingToolsShownOnce">
    <vt:lpwstr/>
  </property>
</Properties>
</file>