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F8F17" w14:textId="390DCA3A" w:rsidR="00825722" w:rsidRPr="001C013C" w:rsidRDefault="00E76296" w:rsidP="00825722">
      <w:pPr>
        <w:jc w:val="center"/>
        <w:rPr>
          <w:b/>
          <w:color w:val="FF0000"/>
          <w:lang w:eastAsia="lt-LT"/>
        </w:rPr>
      </w:pPr>
      <w:r w:rsidRPr="00E76296">
        <w:rPr>
          <w:b/>
          <w:caps/>
          <w:color w:val="000000"/>
        </w:rPr>
        <w:t xml:space="preserve">Lietuvos Respublikos Vyriausybės nutarimo </w:t>
      </w:r>
      <w:r w:rsidR="00457DF3" w:rsidRPr="00457DF3">
        <w:rPr>
          <w:b/>
          <w:color w:val="000000"/>
        </w:rPr>
        <w:t>„</w:t>
      </w:r>
      <w:r w:rsidR="00825722" w:rsidRPr="007429FF">
        <w:rPr>
          <w:b/>
          <w:bCs/>
          <w:caps/>
          <w:lang w:eastAsia="lt-LT"/>
        </w:rPr>
        <w:t xml:space="preserve">DĖL </w:t>
      </w:r>
      <w:r w:rsidR="00825722">
        <w:rPr>
          <w:b/>
          <w:bCs/>
          <w:caps/>
          <w:lang w:eastAsia="lt-LT"/>
        </w:rPr>
        <w:t xml:space="preserve">SIŪLYMO </w:t>
      </w:r>
      <w:r w:rsidR="00825722" w:rsidRPr="007429FF">
        <w:rPr>
          <w:b/>
          <w:lang w:eastAsia="lt-LT"/>
        </w:rPr>
        <w:t xml:space="preserve">LIETUVOS RESPUBLIKOS </w:t>
      </w:r>
      <w:r w:rsidR="00825722">
        <w:rPr>
          <w:b/>
          <w:lang w:eastAsia="lt-LT"/>
        </w:rPr>
        <w:t xml:space="preserve">SEIMUI REORGANIZUOTI </w:t>
      </w:r>
      <w:r w:rsidR="00AD322C">
        <w:rPr>
          <w:b/>
          <w:lang w:eastAsia="lt-LT"/>
        </w:rPr>
        <w:t>ŠIAULIŲ UNIVERSITETĄ PRIJUNGIMO</w:t>
      </w:r>
      <w:r w:rsidR="00825722">
        <w:rPr>
          <w:b/>
          <w:lang w:eastAsia="lt-LT"/>
        </w:rPr>
        <w:t xml:space="preserve"> PRIE VILNIAUS</w:t>
      </w:r>
      <w:r w:rsidR="00825722" w:rsidRPr="00B179FA">
        <w:rPr>
          <w:b/>
          <w:lang w:eastAsia="lt-LT"/>
        </w:rPr>
        <w:t xml:space="preserve"> UNIVERSITETO </w:t>
      </w:r>
      <w:r w:rsidR="00825722">
        <w:rPr>
          <w:b/>
          <w:lang w:eastAsia="lt-LT"/>
        </w:rPr>
        <w:t xml:space="preserve">BŪDU </w:t>
      </w:r>
      <w:r w:rsidR="00825722">
        <w:rPr>
          <w:b/>
          <w:bCs/>
          <w:caps/>
          <w:lang w:eastAsia="lt-LT"/>
        </w:rPr>
        <w:t>TEIKIMO</w:t>
      </w:r>
      <w:r w:rsidR="00825722">
        <w:rPr>
          <w:b/>
          <w:bCs/>
          <w:caps/>
          <w:color w:val="FF0000"/>
          <w:lang w:eastAsia="lt-LT"/>
        </w:rPr>
        <w:t xml:space="preserve"> </w:t>
      </w:r>
      <w:r w:rsidR="00825722" w:rsidRPr="00825722">
        <w:rPr>
          <w:b/>
          <w:bCs/>
          <w:caps/>
          <w:lang w:eastAsia="lt-LT"/>
        </w:rPr>
        <w:t xml:space="preserve">IR </w:t>
      </w:r>
      <w:r w:rsidR="00825722" w:rsidRPr="00504937">
        <w:rPr>
          <w:b/>
          <w:lang w:eastAsia="lt-LT"/>
        </w:rPr>
        <w:t xml:space="preserve">LIETUVOS RESPUBLIKOS SEIMO NUTARIMO „DĖL </w:t>
      </w:r>
      <w:r w:rsidR="00825722">
        <w:rPr>
          <w:b/>
          <w:lang w:eastAsia="lt-LT"/>
        </w:rPr>
        <w:t>ŠIAULIŲ</w:t>
      </w:r>
      <w:r w:rsidR="00825722" w:rsidRPr="00504937">
        <w:rPr>
          <w:b/>
          <w:lang w:eastAsia="lt-LT"/>
        </w:rPr>
        <w:t xml:space="preserve"> UNIVERSITETO REORGANIZAVIMO PRIJUNGIMO PRIE </w:t>
      </w:r>
      <w:r w:rsidR="00825722">
        <w:rPr>
          <w:b/>
          <w:lang w:eastAsia="lt-LT"/>
        </w:rPr>
        <w:t>VILNIAUS</w:t>
      </w:r>
      <w:r w:rsidR="00825722" w:rsidRPr="00504937">
        <w:rPr>
          <w:b/>
          <w:lang w:eastAsia="lt-LT"/>
        </w:rPr>
        <w:t xml:space="preserve"> UNIVERSITETO BŪDU“ PROJEKT</w:t>
      </w:r>
      <w:r w:rsidR="00825722">
        <w:rPr>
          <w:b/>
          <w:lang w:eastAsia="lt-LT"/>
        </w:rPr>
        <w:t>O PATEIKIMO LIETUVOS RESPUBLIKOS SEIMUI“</w:t>
      </w:r>
    </w:p>
    <w:p w14:paraId="75012E08" w14:textId="77777777" w:rsidR="00833122" w:rsidRDefault="00E76296" w:rsidP="006C4975">
      <w:pPr>
        <w:jc w:val="center"/>
        <w:rPr>
          <w:b/>
          <w:caps/>
        </w:rPr>
      </w:pPr>
      <w:r w:rsidRPr="00E76296">
        <w:rPr>
          <w:b/>
          <w:caps/>
          <w:color w:val="000000"/>
        </w:rPr>
        <w:t>projekt</w:t>
      </w:r>
      <w:r w:rsidRPr="00E76296">
        <w:rPr>
          <w:rFonts w:hint="cs"/>
          <w:b/>
          <w:caps/>
          <w:color w:val="000000"/>
        </w:rPr>
        <w:t>o</w:t>
      </w:r>
      <w:r w:rsidR="00825722">
        <w:rPr>
          <w:b/>
          <w:caps/>
          <w:color w:val="000000"/>
        </w:rPr>
        <w:t xml:space="preserve"> </w:t>
      </w:r>
      <w:r w:rsidR="0068786C" w:rsidRPr="00E76296">
        <w:rPr>
          <w:b/>
          <w:caps/>
        </w:rPr>
        <w:t>DERINIMO PAŽYMA</w:t>
      </w:r>
    </w:p>
    <w:p w14:paraId="494FF074" w14:textId="77777777" w:rsidR="009A79C3" w:rsidRPr="00E76296" w:rsidRDefault="009A79C3" w:rsidP="006C4975">
      <w:pPr>
        <w:jc w:val="center"/>
        <w:rPr>
          <w:b/>
          <w:caps/>
        </w:rPr>
      </w:pPr>
    </w:p>
    <w:tbl>
      <w:tblPr>
        <w:tblW w:w="150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812"/>
        <w:gridCol w:w="7542"/>
      </w:tblGrid>
      <w:tr w:rsidR="00BF5116" w:rsidRPr="001500DB" w14:paraId="7FBAA4EB" w14:textId="77777777" w:rsidTr="00F11A2A">
        <w:tc>
          <w:tcPr>
            <w:tcW w:w="1701" w:type="dxa"/>
          </w:tcPr>
          <w:p w14:paraId="1AC85C3F" w14:textId="77777777" w:rsidR="00BF5116" w:rsidRPr="001500DB" w:rsidRDefault="00BF5116" w:rsidP="0049571A">
            <w:pPr>
              <w:jc w:val="center"/>
              <w:rPr>
                <w:bCs/>
              </w:rPr>
            </w:pPr>
            <w:r w:rsidRPr="001500DB">
              <w:t>Ministerijos, Vyriausybės įstaigos ir kitos organizacijos</w:t>
            </w:r>
          </w:p>
        </w:tc>
        <w:tc>
          <w:tcPr>
            <w:tcW w:w="5812" w:type="dxa"/>
            <w:vAlign w:val="center"/>
          </w:tcPr>
          <w:p w14:paraId="1387A904" w14:textId="77777777" w:rsidR="00BF5116" w:rsidRPr="001500DB" w:rsidRDefault="00BF5116" w:rsidP="0049571A">
            <w:pPr>
              <w:jc w:val="center"/>
              <w:rPr>
                <w:bCs/>
              </w:rPr>
            </w:pPr>
            <w:r w:rsidRPr="001500DB">
              <w:t>Pastabos ir pasiūlymai</w:t>
            </w:r>
          </w:p>
        </w:tc>
        <w:tc>
          <w:tcPr>
            <w:tcW w:w="7542" w:type="dxa"/>
            <w:vAlign w:val="center"/>
          </w:tcPr>
          <w:p w14:paraId="566BC6E8" w14:textId="77777777" w:rsidR="00BF5116" w:rsidRPr="001500DB" w:rsidRDefault="00BF5116" w:rsidP="0049571A">
            <w:pPr>
              <w:jc w:val="center"/>
              <w:rPr>
                <w:bCs/>
              </w:rPr>
            </w:pPr>
            <w:r w:rsidRPr="001500DB">
              <w:t>Žyma apie nepriimtas ir iš dalies nepriimtas pastabas ir pasiūlymus</w:t>
            </w:r>
          </w:p>
        </w:tc>
      </w:tr>
      <w:tr w:rsidR="00E22C0E" w:rsidRPr="001500DB" w14:paraId="41ABD525" w14:textId="77777777" w:rsidTr="00F11A2A">
        <w:trPr>
          <w:trHeight w:val="1616"/>
        </w:trPr>
        <w:tc>
          <w:tcPr>
            <w:tcW w:w="1701" w:type="dxa"/>
            <w:vMerge w:val="restart"/>
          </w:tcPr>
          <w:p w14:paraId="3655C821" w14:textId="77777777" w:rsidR="00E22C0E" w:rsidRDefault="00E22C0E" w:rsidP="0049571A">
            <w:r>
              <w:t>Lietuvos Respublikos teisingumo ministerijos</w:t>
            </w:r>
          </w:p>
          <w:p w14:paraId="13EB5E1A" w14:textId="77777777" w:rsidR="00E22C0E" w:rsidRDefault="00E22C0E" w:rsidP="0049571A">
            <w:r>
              <w:t>2018-</w:t>
            </w:r>
            <w:r w:rsidR="00825722">
              <w:t>11-</w:t>
            </w:r>
            <w:r>
              <w:t xml:space="preserve"> raštas</w:t>
            </w:r>
          </w:p>
          <w:p w14:paraId="4785C331" w14:textId="77777777" w:rsidR="00E22C0E" w:rsidRDefault="00E22C0E" w:rsidP="0049571A">
            <w:r>
              <w:t>Nr.</w:t>
            </w:r>
            <w:r w:rsidR="00AD322C">
              <w:t xml:space="preserve"> </w:t>
            </w:r>
            <w:r>
              <w:t>(1.6) 2T-424</w:t>
            </w:r>
          </w:p>
        </w:tc>
        <w:tc>
          <w:tcPr>
            <w:tcW w:w="5812" w:type="dxa"/>
          </w:tcPr>
          <w:p w14:paraId="719E0E08" w14:textId="77777777" w:rsidR="00E22C0E" w:rsidRPr="00821711" w:rsidRDefault="002D0C9C" w:rsidP="002D0C9C">
            <w:pPr>
              <w:tabs>
                <w:tab w:val="left" w:pos="1418"/>
              </w:tabs>
              <w:jc w:val="both"/>
            </w:pPr>
            <w:r>
              <w:t>13. Plano 26 p. galėtų būti kalbama tik apie Šiaulių universiteto nuosavybės teise valdomą turtą. Visais kitais atvejais tokia nuostata pažeistų savininko daiktines teises ir konstitucinę teisę į nuosavybės neliečiamumą.</w:t>
            </w:r>
          </w:p>
        </w:tc>
        <w:tc>
          <w:tcPr>
            <w:tcW w:w="7542" w:type="dxa"/>
          </w:tcPr>
          <w:p w14:paraId="578D43F0" w14:textId="77777777" w:rsidR="002D0C9C" w:rsidRPr="009A79C3" w:rsidRDefault="002D0C9C" w:rsidP="008372B4">
            <w:pPr>
              <w:pStyle w:val="Komentarotekstas"/>
              <w:jc w:val="both"/>
              <w:rPr>
                <w:b/>
                <w:sz w:val="24"/>
                <w:szCs w:val="24"/>
              </w:rPr>
            </w:pPr>
            <w:r w:rsidRPr="009A79C3">
              <w:rPr>
                <w:b/>
                <w:sz w:val="24"/>
                <w:szCs w:val="24"/>
              </w:rPr>
              <w:t xml:space="preserve">Neatsižvelgta. </w:t>
            </w:r>
          </w:p>
          <w:p w14:paraId="336C57EF" w14:textId="58FC132D" w:rsidR="00E22C0E" w:rsidRDefault="002D0C9C" w:rsidP="00DE0D13">
            <w:pPr>
              <w:pStyle w:val="Komentarotekstas"/>
              <w:jc w:val="both"/>
              <w:rPr>
                <w:sz w:val="24"/>
                <w:szCs w:val="24"/>
              </w:rPr>
            </w:pPr>
            <w:r w:rsidRPr="009A79C3">
              <w:rPr>
                <w:sz w:val="24"/>
                <w:szCs w:val="24"/>
              </w:rPr>
              <w:t>Tai viena iš esminių susitarimo tarp Vilniaus universiteto</w:t>
            </w:r>
            <w:r w:rsidR="008372B4" w:rsidRPr="009A79C3">
              <w:rPr>
                <w:sz w:val="24"/>
                <w:szCs w:val="24"/>
              </w:rPr>
              <w:t xml:space="preserve"> </w:t>
            </w:r>
            <w:r w:rsidRPr="009A79C3">
              <w:rPr>
                <w:sz w:val="24"/>
                <w:szCs w:val="24"/>
              </w:rPr>
              <w:t xml:space="preserve">ir Šiaulių universiteto sąlygų. </w:t>
            </w:r>
            <w:r w:rsidR="008372B4" w:rsidRPr="009A79C3">
              <w:rPr>
                <w:sz w:val="24"/>
                <w:szCs w:val="24"/>
              </w:rPr>
              <w:t>Š</w:t>
            </w:r>
            <w:r w:rsidR="00F11A2A">
              <w:rPr>
                <w:sz w:val="24"/>
                <w:szCs w:val="24"/>
              </w:rPr>
              <w:t xml:space="preserve">iaulių universitetas </w:t>
            </w:r>
            <w:r w:rsidRPr="009A79C3">
              <w:rPr>
                <w:sz w:val="24"/>
                <w:szCs w:val="24"/>
              </w:rPr>
              <w:t>nuosavybės teise valdomo nekilnojamojo turto neturi, o vadovaujantis Lietuvos Respublikos mokslo ir studijų įstatymo (toliau – Mokslo ir studijų įstatymas)</w:t>
            </w:r>
            <w:r w:rsidRPr="009A79C3">
              <w:t xml:space="preserve"> </w:t>
            </w:r>
            <w:r w:rsidRPr="009A79C3">
              <w:rPr>
                <w:sz w:val="24"/>
                <w:szCs w:val="24"/>
              </w:rPr>
              <w:t xml:space="preserve">86 straipsniu, patikėjimo teise valdomas turtas laikytinas aukštosios mokyklos </w:t>
            </w:r>
            <w:r w:rsidR="00DE0D13" w:rsidRPr="009A79C3">
              <w:rPr>
                <w:sz w:val="24"/>
                <w:szCs w:val="24"/>
              </w:rPr>
              <w:t xml:space="preserve">valdomu </w:t>
            </w:r>
            <w:r w:rsidRPr="009A79C3">
              <w:rPr>
                <w:sz w:val="24"/>
                <w:szCs w:val="24"/>
              </w:rPr>
              <w:t>turtu.</w:t>
            </w:r>
          </w:p>
          <w:p w14:paraId="617431EA" w14:textId="77777777" w:rsidR="00F11A2A" w:rsidRPr="009A79C3" w:rsidRDefault="00F11A2A" w:rsidP="00DE0D13">
            <w:pPr>
              <w:pStyle w:val="Komentarotekstas"/>
              <w:jc w:val="both"/>
              <w:rPr>
                <w:b/>
                <w:sz w:val="24"/>
                <w:szCs w:val="24"/>
              </w:rPr>
            </w:pPr>
          </w:p>
        </w:tc>
      </w:tr>
      <w:tr w:rsidR="00E22C0E" w:rsidRPr="001500DB" w14:paraId="56379355" w14:textId="77777777" w:rsidTr="00F11A2A">
        <w:trPr>
          <w:trHeight w:val="4868"/>
        </w:trPr>
        <w:tc>
          <w:tcPr>
            <w:tcW w:w="1701" w:type="dxa"/>
            <w:vMerge/>
          </w:tcPr>
          <w:p w14:paraId="781CBEEF" w14:textId="77777777" w:rsidR="00E22C0E" w:rsidRDefault="00E22C0E" w:rsidP="0049571A"/>
        </w:tc>
        <w:tc>
          <w:tcPr>
            <w:tcW w:w="5812" w:type="dxa"/>
          </w:tcPr>
          <w:p w14:paraId="03FA01AB" w14:textId="3068045D" w:rsidR="008815B1" w:rsidRDefault="008815B1" w:rsidP="008815B1">
            <w:pPr>
              <w:tabs>
                <w:tab w:val="left" w:pos="1418"/>
              </w:tabs>
              <w:jc w:val="both"/>
            </w:pPr>
            <w:r>
              <w:t>14. Pakartotinai atkreipiame dėmesį į poreikį keisti Mokslo ir studijų įstatymą, jame, įvertinus Konstitucinio Teismo doktriną, aiškiai reglamentuojant aukštųjų mokyklų statutų tvirtinimo, keitimo, aukštųjų mokyklų reorganizavimo procedūrinius klausimus ir Vyriausybės bei Seimo, kaip savininko teises įgyvendinančių ir aukštųjų mokyklų tinklą formuojančių institucijų, įgaliojimus.</w:t>
            </w:r>
            <w:r w:rsidRPr="007F61F3">
              <w:t xml:space="preserve"> </w:t>
            </w:r>
            <w:r>
              <w:t>Be to, Konstitucinis Teismas savo nutarimuose ne kartą yra pabrėžęs ir valdymo organų vaidmenį užtikrinant aukštųjų mokyklų autonomijos principą bei pažymėjęs, kad valdymo organų sudarymo taisyklės turi užtikrinti tinkamą ir veiksmingą aukštosios mokyklos akademinės bendruomenės dalyvavimą aukštosios mokyklos valdyme (Konstitucinio Teismo 2011 m. gruodžio 22 d</w:t>
            </w:r>
            <w:r w:rsidRPr="00E148AC">
              <w:t>. nutarimas).</w:t>
            </w:r>
            <w:r w:rsidRPr="002A2FCF">
              <w:t xml:space="preserve"> </w:t>
            </w:r>
            <w:r>
              <w:t xml:space="preserve">Valdymo organų sudarymo tvarka, nors ir reglamentuota Mokslo ir studijų įstatyme, turi būti, Mokslo ir studijų įstatymo suteiktų įgaliojimų rėmuose, detalizuota ir nustatyta universiteto statuto ir aukštosios mokyklos vidaus dokumentų nuostatomis (Mokslo ir studijų įstatymo 27 str. </w:t>
            </w:r>
            <w:r>
              <w:lastRenderedPageBreak/>
              <w:t>3 d., 28 str. 4 d.).</w:t>
            </w:r>
            <w:r w:rsidRPr="002A2FCF">
              <w:t xml:space="preserve"> </w:t>
            </w:r>
            <w:r>
              <w:t>Nesant atitinkamo reguliavimo Mokslo ir studijų įstatyme, būtent Statuto nuostatos turėtų užtikrinti sklandų reorganizuojamos aukštosios mokyklos akademinės bendruomenės narių tapimą reorganizavime dalyvaujančios aukštosios mokyklos akademinės bendruomenės dalimi bei tinkamą ir pilnavertišką dalyvavimą formuojant valdymo organus ir pereinamuoju (dalyvavimo reorganizavime) laikotarpiu. Atsižvelgiant į tai, turėtų būti įvertinama ir universiteto statuto keitimo galimybė.</w:t>
            </w:r>
          </w:p>
          <w:p w14:paraId="6706CC4F" w14:textId="796FA708" w:rsidR="002D0440" w:rsidRDefault="008815B1" w:rsidP="00F11A2A">
            <w:pPr>
              <w:pStyle w:val="Sraopastraipa"/>
              <w:tabs>
                <w:tab w:val="left" w:pos="1418"/>
              </w:tabs>
              <w:ind w:left="0" w:firstLine="993"/>
              <w:jc w:val="both"/>
            </w:pPr>
            <w:r>
              <w:t xml:space="preserve">Pastebėtina ir tai, kad Vilniaus universiteto statutui, vieninteliam iš visų aukštųjų mokyklų statutų esant patvirtintam įstatymu, su reorganizavimu susijusių pereinamųjų nuostatų nustatymas  žemesniu nei įstatymas lygmeniu (pvz., Seimo nutarimu dėl reorganizavimo), pažeistų teisės aktų hierarchijos principą. </w:t>
            </w:r>
          </w:p>
        </w:tc>
        <w:tc>
          <w:tcPr>
            <w:tcW w:w="7542" w:type="dxa"/>
          </w:tcPr>
          <w:p w14:paraId="23BECE07" w14:textId="77777777" w:rsidR="00F11A2A" w:rsidRDefault="008815B1" w:rsidP="008815B1">
            <w:pPr>
              <w:jc w:val="both"/>
            </w:pPr>
            <w:r>
              <w:rPr>
                <w:b/>
                <w:lang w:eastAsia="lt-LT"/>
              </w:rPr>
              <w:lastRenderedPageBreak/>
              <w:t>Atsižvelgta iš dalies.</w:t>
            </w:r>
            <w:r>
              <w:t xml:space="preserve"> </w:t>
            </w:r>
          </w:p>
          <w:p w14:paraId="63DE2058" w14:textId="00B98ED6" w:rsidR="008815B1" w:rsidRDefault="008815B1" w:rsidP="00F11A2A">
            <w:pPr>
              <w:jc w:val="both"/>
            </w:pPr>
            <w:r>
              <w:t xml:space="preserve">Mokslo ir studijų įstatymo straipsnių, reglamentuojančių aukštųjų mokyklų reorganizavimą, pakeitimo projektas (siekiant  teisinio aiškumo ir dermės su Civiliniu kodeksu ir Viešųjų įstaigų įstatymu) bus pateiktas Lietuvos </w:t>
            </w:r>
            <w:r w:rsidRPr="009A79C3">
              <w:t xml:space="preserve">Respublikos Vyriausybei š. m. IV </w:t>
            </w:r>
            <w:proofErr w:type="spellStart"/>
            <w:r w:rsidRPr="009A79C3">
              <w:t>ketv</w:t>
            </w:r>
            <w:proofErr w:type="spellEnd"/>
            <w:r w:rsidRPr="009A79C3">
              <w:t xml:space="preserve">. (numatyta </w:t>
            </w:r>
            <w:r w:rsidR="00F11A2A">
              <w:t xml:space="preserve">Lietuvos Respublikos </w:t>
            </w:r>
            <w:r w:rsidRPr="009A79C3">
              <w:rPr>
                <w:bCs/>
                <w:shd w:val="clear" w:color="auto" w:fill="FFFFFF"/>
              </w:rPr>
              <w:t>Seimo nutarimo „Dėl Lietuvos Respublikos Seimo V (rudens) sesijos darbų programos“ projekte)</w:t>
            </w:r>
            <w:r w:rsidRPr="009A79C3">
              <w:t>. Teikdami šį projektą, vadovausimės Konstitucinio Teismo 2018 m. birželio 29 d. nutarimu Nr. KT15-</w:t>
            </w:r>
            <w:r w:rsidRPr="00B7266F">
              <w:t>N10/2018.</w:t>
            </w:r>
          </w:p>
          <w:p w14:paraId="6FD78850" w14:textId="77777777" w:rsidR="00F11A2A" w:rsidRDefault="00F11A2A" w:rsidP="00F11A2A">
            <w:pPr>
              <w:jc w:val="both"/>
              <w:rPr>
                <w:lang w:eastAsia="lt-LT"/>
              </w:rPr>
            </w:pPr>
          </w:p>
          <w:p w14:paraId="375E7860" w14:textId="10B56498" w:rsidR="00E22C0E" w:rsidRPr="009A79C3" w:rsidRDefault="007E342A" w:rsidP="00F11A2A">
            <w:pPr>
              <w:overflowPunct w:val="0"/>
              <w:autoSpaceDE w:val="0"/>
              <w:autoSpaceDN w:val="0"/>
              <w:adjustRightInd w:val="0"/>
              <w:jc w:val="both"/>
              <w:textAlignment w:val="baseline"/>
              <w:rPr>
                <w:lang w:eastAsia="lt-LT"/>
              </w:rPr>
            </w:pPr>
            <w:r w:rsidRPr="00F11A2A">
              <w:rPr>
                <w:rFonts w:eastAsia="PMingLiU"/>
              </w:rPr>
              <w:t xml:space="preserve">Atsižvelgiant į Vilniaus universiteto statuto, patvirtinto Lietuvos Respublikos Vilniaus universiteto statuto patvirtinimo įstatymu, 51 straipsnio 3 dalį, kurioje nustatyta, kad universitetui dalyvaujant reorganizavime, kai </w:t>
            </w:r>
            <w:r w:rsidRPr="00F11A2A">
              <w:rPr>
                <w:lang w:eastAsia="lt-LT"/>
              </w:rPr>
              <w:t xml:space="preserve">prie universiteto prijungiami kiti juridiniai asmenys, Vilniaus universiteto statutas nėra keičiamas ar pildomas, </w:t>
            </w:r>
            <w:r w:rsidRPr="00F11A2A">
              <w:rPr>
                <w:rFonts w:eastAsia="PMingLiU"/>
              </w:rPr>
              <w:t xml:space="preserve">po </w:t>
            </w:r>
            <w:r w:rsidR="009A79C3" w:rsidRPr="00F11A2A">
              <w:rPr>
                <w:rFonts w:eastAsia="PMingLiU"/>
              </w:rPr>
              <w:t>Š</w:t>
            </w:r>
            <w:r w:rsidR="00F11A2A">
              <w:rPr>
                <w:rFonts w:eastAsia="PMingLiU"/>
              </w:rPr>
              <w:t>iaulių universiteto</w:t>
            </w:r>
            <w:r w:rsidRPr="00F11A2A">
              <w:rPr>
                <w:rFonts w:eastAsia="PMingLiU"/>
              </w:rPr>
              <w:t xml:space="preserve"> reorganizavimo veiksiančios viešosios įstaigos Vilniaus universiteto statutas, patvirtintas Lietuvos Respublikos Vilniaus universiteto statuto patvirtinimo įstatymu, nebus keičiamas. Pažymėtina, kad </w:t>
            </w:r>
            <w:r w:rsidR="0092412C" w:rsidRPr="00F11A2A">
              <w:rPr>
                <w:rFonts w:eastAsia="PMingLiU"/>
              </w:rPr>
              <w:t xml:space="preserve">Vilniaus universiteto statutas patvirtintas įstatymu, minėta </w:t>
            </w:r>
            <w:r w:rsidR="00B002CE" w:rsidRPr="00F11A2A">
              <w:rPr>
                <w:rFonts w:eastAsia="PMingLiU"/>
              </w:rPr>
              <w:t xml:space="preserve">įstatymo </w:t>
            </w:r>
            <w:r w:rsidR="0092412C" w:rsidRPr="00F11A2A">
              <w:rPr>
                <w:rFonts w:eastAsia="PMingLiU"/>
              </w:rPr>
              <w:t>nuostata galiojanti, neprieštarauja</w:t>
            </w:r>
            <w:r w:rsidR="002D0C9C" w:rsidRPr="00F11A2A">
              <w:t xml:space="preserve"> nei C</w:t>
            </w:r>
            <w:r w:rsidR="008372B4" w:rsidRPr="00F11A2A">
              <w:t xml:space="preserve">iviliniam kodeksui, </w:t>
            </w:r>
            <w:r w:rsidR="00DE0D13" w:rsidRPr="00F11A2A">
              <w:t xml:space="preserve">nei </w:t>
            </w:r>
            <w:r w:rsidR="002D0C9C" w:rsidRPr="00F11A2A">
              <w:t>M</w:t>
            </w:r>
            <w:r w:rsidR="008372B4" w:rsidRPr="00F11A2A">
              <w:t xml:space="preserve">okslo ir studijų </w:t>
            </w:r>
            <w:r w:rsidR="008372B4" w:rsidRPr="00F11A2A">
              <w:lastRenderedPageBreak/>
              <w:t>įstatymui</w:t>
            </w:r>
            <w:r w:rsidR="0092412C" w:rsidRPr="00F11A2A">
              <w:t>.</w:t>
            </w:r>
            <w:r w:rsidR="002D0C9C" w:rsidRPr="00F11A2A">
              <w:t xml:space="preserve"> </w:t>
            </w:r>
            <w:r w:rsidR="0092412C" w:rsidRPr="00F11A2A">
              <w:t xml:space="preserve">Pažymėtina, kad </w:t>
            </w:r>
            <w:r w:rsidR="008372B4" w:rsidRPr="00F11A2A">
              <w:t>V</w:t>
            </w:r>
            <w:r w:rsidR="0092412C" w:rsidRPr="00F11A2A">
              <w:t>ilniaus universiteto</w:t>
            </w:r>
            <w:r w:rsidR="002D0C9C" w:rsidRPr="00F11A2A">
              <w:t xml:space="preserve"> statuto nuostatos neužkerta kelio sklandžiam </w:t>
            </w:r>
            <w:r w:rsidR="008372B4" w:rsidRPr="00F11A2A">
              <w:t>Š</w:t>
            </w:r>
            <w:r w:rsidR="00F11A2A">
              <w:t>iaulių universiteto</w:t>
            </w:r>
            <w:r w:rsidR="008372B4" w:rsidRPr="00F11A2A">
              <w:t xml:space="preserve"> </w:t>
            </w:r>
            <w:r w:rsidR="002D0C9C" w:rsidRPr="00F11A2A">
              <w:t xml:space="preserve">bendruomenės integravimui. </w:t>
            </w:r>
            <w:r w:rsidR="008372B4" w:rsidRPr="00F11A2A">
              <w:t>V</w:t>
            </w:r>
            <w:r w:rsidR="0092412C" w:rsidRPr="00F11A2A">
              <w:t>ilniaus universiteto</w:t>
            </w:r>
            <w:r w:rsidR="002D0C9C" w:rsidRPr="00F11A2A">
              <w:t xml:space="preserve"> statuto 12 str. 4 d.</w:t>
            </w:r>
            <w:r w:rsidR="0092412C" w:rsidRPr="00F11A2A">
              <w:t xml:space="preserve"> numatyta</w:t>
            </w:r>
            <w:r w:rsidR="008372B4" w:rsidRPr="00F11A2A">
              <w:t>,</w:t>
            </w:r>
            <w:r w:rsidR="002D0C9C" w:rsidRPr="00F11A2A">
              <w:t xml:space="preserve"> kad kiekvienas </w:t>
            </w:r>
            <w:r w:rsidR="008372B4" w:rsidRPr="00F11A2A">
              <w:t>V</w:t>
            </w:r>
            <w:r w:rsidR="00F11A2A">
              <w:t>ilniaus universiteto</w:t>
            </w:r>
            <w:r w:rsidR="008372B4" w:rsidRPr="00F11A2A">
              <w:t xml:space="preserve"> </w:t>
            </w:r>
            <w:r w:rsidR="002D0C9C" w:rsidRPr="00F11A2A">
              <w:t>bendruomenės narys, atitinkantis nustatytas sąlygas, turi teisę dalyvauti formuojant V</w:t>
            </w:r>
            <w:r w:rsidR="00F11A2A">
              <w:t>ilniaus universiteto</w:t>
            </w:r>
            <w:r w:rsidR="002D0C9C" w:rsidRPr="00F11A2A">
              <w:t xml:space="preserve"> organus. </w:t>
            </w:r>
            <w:r w:rsidR="0092412C" w:rsidRPr="00F11A2A">
              <w:t xml:space="preserve">Ši nuostata yra pakankama </w:t>
            </w:r>
            <w:r w:rsidR="002D0C9C" w:rsidRPr="00F11A2A">
              <w:t>užtikrinti bendruomenės narių dalyvavim</w:t>
            </w:r>
            <w:r w:rsidR="0092412C" w:rsidRPr="00F11A2A">
              <w:t>ą</w:t>
            </w:r>
            <w:r w:rsidR="002D0C9C" w:rsidRPr="00F11A2A">
              <w:t xml:space="preserve"> V</w:t>
            </w:r>
            <w:r w:rsidR="00F11A2A">
              <w:t>ilniaus universiteto</w:t>
            </w:r>
            <w:r w:rsidR="002D0C9C" w:rsidRPr="00F11A2A">
              <w:t xml:space="preserve"> organų formavimo procese. </w:t>
            </w:r>
            <w:r w:rsidR="00E24F98" w:rsidRPr="00F11A2A">
              <w:t xml:space="preserve">Pažymėtina ir tai, kad pereinamuoju laikotarpiu </w:t>
            </w:r>
            <w:r w:rsidR="00B87E96" w:rsidRPr="00F11A2A">
              <w:t>(nuo sprendimo dėl reorganizavimo priėmimo iki reorganizavimo procedūrų pabaigos)</w:t>
            </w:r>
            <w:r w:rsidR="009A79C3" w:rsidRPr="00F11A2A">
              <w:t xml:space="preserve"> </w:t>
            </w:r>
            <w:r w:rsidR="002D0C9C" w:rsidRPr="00F11A2A">
              <w:t xml:space="preserve"> Š</w:t>
            </w:r>
            <w:r w:rsidR="00F11A2A">
              <w:t>iaulių universiteto</w:t>
            </w:r>
            <w:r w:rsidR="002D0C9C" w:rsidRPr="00F11A2A">
              <w:t xml:space="preserve"> bendruomenė negali dalyvauti V</w:t>
            </w:r>
            <w:r w:rsidR="00F11A2A">
              <w:t>ilniaus universiteto</w:t>
            </w:r>
            <w:r w:rsidR="002D0C9C" w:rsidRPr="00F11A2A">
              <w:t xml:space="preserve"> organų formavimo procese, nes formaliai jie dar nėra </w:t>
            </w:r>
            <w:r w:rsidR="009A79C3" w:rsidRPr="00F11A2A">
              <w:t xml:space="preserve">tapę </w:t>
            </w:r>
            <w:r w:rsidR="002D0C9C" w:rsidRPr="00F11A2A">
              <w:t>V</w:t>
            </w:r>
            <w:r w:rsidR="00F11A2A">
              <w:t>ilniaus universiteto</w:t>
            </w:r>
            <w:bookmarkStart w:id="0" w:name="_GoBack"/>
            <w:bookmarkEnd w:id="0"/>
            <w:r w:rsidR="002D0C9C" w:rsidRPr="00F11A2A">
              <w:t xml:space="preserve"> bendruomenės sudėtine dalimi</w:t>
            </w:r>
            <w:r w:rsidR="00B87E96" w:rsidRPr="00F11A2A">
              <w:t xml:space="preserve">. </w:t>
            </w:r>
          </w:p>
          <w:p w14:paraId="3E3CBFF6" w14:textId="77777777" w:rsidR="00E22C0E" w:rsidRPr="009A79C3" w:rsidRDefault="00E22C0E" w:rsidP="00F11A2A">
            <w:pPr>
              <w:jc w:val="both"/>
              <w:rPr>
                <w:lang w:eastAsia="lt-LT"/>
              </w:rPr>
            </w:pPr>
          </w:p>
          <w:p w14:paraId="3B9D05FA" w14:textId="77777777" w:rsidR="00E22C0E" w:rsidRPr="009A79C3" w:rsidRDefault="00E22C0E" w:rsidP="008372B4">
            <w:pPr>
              <w:jc w:val="both"/>
              <w:rPr>
                <w:lang w:eastAsia="lt-LT"/>
              </w:rPr>
            </w:pPr>
          </w:p>
          <w:p w14:paraId="11FB17D9" w14:textId="77777777" w:rsidR="00E22C0E" w:rsidRPr="009A79C3" w:rsidRDefault="00E22C0E" w:rsidP="008372B4">
            <w:pPr>
              <w:jc w:val="both"/>
              <w:rPr>
                <w:lang w:eastAsia="lt-LT"/>
              </w:rPr>
            </w:pPr>
          </w:p>
          <w:p w14:paraId="68CE9302" w14:textId="77777777" w:rsidR="00E22C0E" w:rsidRPr="009A79C3" w:rsidRDefault="00E22C0E" w:rsidP="008372B4">
            <w:pPr>
              <w:jc w:val="both"/>
              <w:rPr>
                <w:lang w:eastAsia="lt-LT"/>
              </w:rPr>
            </w:pPr>
          </w:p>
          <w:p w14:paraId="57EA8FE3" w14:textId="77777777" w:rsidR="00E22C0E" w:rsidRPr="009A79C3" w:rsidRDefault="00E22C0E" w:rsidP="008372B4">
            <w:pPr>
              <w:jc w:val="both"/>
              <w:rPr>
                <w:lang w:eastAsia="lt-LT"/>
              </w:rPr>
            </w:pPr>
          </w:p>
          <w:p w14:paraId="5C9EE156" w14:textId="77777777" w:rsidR="00E22C0E" w:rsidRPr="009A79C3" w:rsidRDefault="00E22C0E" w:rsidP="008372B4">
            <w:pPr>
              <w:jc w:val="both"/>
              <w:rPr>
                <w:lang w:eastAsia="lt-LT"/>
              </w:rPr>
            </w:pPr>
          </w:p>
        </w:tc>
      </w:tr>
    </w:tbl>
    <w:p w14:paraId="126FA706" w14:textId="77777777" w:rsidR="0019195F" w:rsidRDefault="0019195F" w:rsidP="00B523C8">
      <w:pPr>
        <w:ind w:firstLine="993"/>
        <w:jc w:val="both"/>
      </w:pPr>
    </w:p>
    <w:p w14:paraId="606742EE" w14:textId="77777777" w:rsidR="00B523C8" w:rsidRDefault="00B523C8" w:rsidP="00332AE9">
      <w:pPr>
        <w:jc w:val="center"/>
      </w:pPr>
    </w:p>
    <w:p w14:paraId="747F95AD" w14:textId="77777777" w:rsidR="006C4975" w:rsidRPr="00AD1522" w:rsidRDefault="00AD1522" w:rsidP="00332AE9">
      <w:pPr>
        <w:jc w:val="center"/>
      </w:pPr>
      <w:r w:rsidRPr="001500DB">
        <w:t>________________</w:t>
      </w:r>
    </w:p>
    <w:sectPr w:rsidR="006C4975" w:rsidRPr="00AD1522"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800D0" w14:textId="77777777" w:rsidR="00CC54E2" w:rsidRDefault="00CC54E2">
      <w:r>
        <w:separator/>
      </w:r>
    </w:p>
  </w:endnote>
  <w:endnote w:type="continuationSeparator" w:id="0">
    <w:p w14:paraId="0528778B" w14:textId="77777777" w:rsidR="00CC54E2" w:rsidRDefault="00CC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4FCBC" w14:textId="77777777" w:rsidR="00CC54E2" w:rsidRDefault="00CC54E2">
      <w:r>
        <w:separator/>
      </w:r>
    </w:p>
  </w:footnote>
  <w:footnote w:type="continuationSeparator" w:id="0">
    <w:p w14:paraId="6015F601" w14:textId="77777777" w:rsidR="00CC54E2" w:rsidRDefault="00CC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9034" w14:textId="77777777"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A4E30B" w14:textId="77777777" w:rsidR="00143060" w:rsidRDefault="001430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224A8" w14:textId="07985C7A" w:rsidR="00143060" w:rsidRDefault="00143060"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1A2A">
      <w:rPr>
        <w:rStyle w:val="Puslapionumeris"/>
        <w:noProof/>
      </w:rPr>
      <w:t>2</w:t>
    </w:r>
    <w:r>
      <w:rPr>
        <w:rStyle w:val="Puslapionumeris"/>
      </w:rPr>
      <w:fldChar w:fldCharType="end"/>
    </w:r>
  </w:p>
  <w:p w14:paraId="1464EB25" w14:textId="77777777" w:rsidR="00143060" w:rsidRDefault="00143060">
    <w:pPr>
      <w:pStyle w:val="Antrats"/>
    </w:pPr>
  </w:p>
  <w:p w14:paraId="7E9DA110" w14:textId="77777777" w:rsidR="00B445A6" w:rsidRDefault="00B44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11887"/>
    <w:rsid w:val="000133CF"/>
    <w:rsid w:val="00026CFB"/>
    <w:rsid w:val="00027373"/>
    <w:rsid w:val="0004771B"/>
    <w:rsid w:val="00051CA6"/>
    <w:rsid w:val="00060604"/>
    <w:rsid w:val="0006704C"/>
    <w:rsid w:val="000678BF"/>
    <w:rsid w:val="0007088F"/>
    <w:rsid w:val="00070AC2"/>
    <w:rsid w:val="0007123E"/>
    <w:rsid w:val="0009500D"/>
    <w:rsid w:val="000F4A41"/>
    <w:rsid w:val="00102138"/>
    <w:rsid w:val="001239A5"/>
    <w:rsid w:val="001272EF"/>
    <w:rsid w:val="00143060"/>
    <w:rsid w:val="001500DB"/>
    <w:rsid w:val="0019191F"/>
    <w:rsid w:val="0019195F"/>
    <w:rsid w:val="00196787"/>
    <w:rsid w:val="00196923"/>
    <w:rsid w:val="001B1B44"/>
    <w:rsid w:val="001B3C8E"/>
    <w:rsid w:val="001B681D"/>
    <w:rsid w:val="001C3F0D"/>
    <w:rsid w:val="001C54DB"/>
    <w:rsid w:val="001D482A"/>
    <w:rsid w:val="001F5637"/>
    <w:rsid w:val="001F5C9A"/>
    <w:rsid w:val="00203E4F"/>
    <w:rsid w:val="0021203B"/>
    <w:rsid w:val="00213D3F"/>
    <w:rsid w:val="002206CD"/>
    <w:rsid w:val="00234F02"/>
    <w:rsid w:val="00241E14"/>
    <w:rsid w:val="00251E0E"/>
    <w:rsid w:val="00255ED9"/>
    <w:rsid w:val="00261FD5"/>
    <w:rsid w:val="00263B88"/>
    <w:rsid w:val="00273C50"/>
    <w:rsid w:val="00275C6D"/>
    <w:rsid w:val="00276450"/>
    <w:rsid w:val="0028797F"/>
    <w:rsid w:val="002A51DC"/>
    <w:rsid w:val="002B0962"/>
    <w:rsid w:val="002B64E6"/>
    <w:rsid w:val="002B68A9"/>
    <w:rsid w:val="002C5B63"/>
    <w:rsid w:val="002D0440"/>
    <w:rsid w:val="002D0706"/>
    <w:rsid w:val="002D0C9C"/>
    <w:rsid w:val="002D2671"/>
    <w:rsid w:val="002D613D"/>
    <w:rsid w:val="002F0DB5"/>
    <w:rsid w:val="002F671B"/>
    <w:rsid w:val="00306004"/>
    <w:rsid w:val="00332AE9"/>
    <w:rsid w:val="00336075"/>
    <w:rsid w:val="003427A0"/>
    <w:rsid w:val="00342901"/>
    <w:rsid w:val="003519AC"/>
    <w:rsid w:val="00354524"/>
    <w:rsid w:val="0035658E"/>
    <w:rsid w:val="00357F0A"/>
    <w:rsid w:val="0036318F"/>
    <w:rsid w:val="0037537B"/>
    <w:rsid w:val="00383BA8"/>
    <w:rsid w:val="003A3A11"/>
    <w:rsid w:val="003A6D97"/>
    <w:rsid w:val="003D55B0"/>
    <w:rsid w:val="003F19A0"/>
    <w:rsid w:val="00404265"/>
    <w:rsid w:val="00407FB6"/>
    <w:rsid w:val="00412DFC"/>
    <w:rsid w:val="00426E69"/>
    <w:rsid w:val="00427E80"/>
    <w:rsid w:val="00443DCF"/>
    <w:rsid w:val="00454553"/>
    <w:rsid w:val="00457DF3"/>
    <w:rsid w:val="004A1141"/>
    <w:rsid w:val="004B26C1"/>
    <w:rsid w:val="004B4291"/>
    <w:rsid w:val="004B4FD9"/>
    <w:rsid w:val="004B5349"/>
    <w:rsid w:val="004C2B23"/>
    <w:rsid w:val="004E7A10"/>
    <w:rsid w:val="004F073B"/>
    <w:rsid w:val="004F3F33"/>
    <w:rsid w:val="004F44AF"/>
    <w:rsid w:val="00502860"/>
    <w:rsid w:val="00510518"/>
    <w:rsid w:val="00512758"/>
    <w:rsid w:val="00515872"/>
    <w:rsid w:val="0051652E"/>
    <w:rsid w:val="00516A6E"/>
    <w:rsid w:val="005312CF"/>
    <w:rsid w:val="005318A6"/>
    <w:rsid w:val="00537833"/>
    <w:rsid w:val="00546815"/>
    <w:rsid w:val="00555E5F"/>
    <w:rsid w:val="005922FB"/>
    <w:rsid w:val="005975A0"/>
    <w:rsid w:val="005A2F57"/>
    <w:rsid w:val="005A5AA0"/>
    <w:rsid w:val="005B31F5"/>
    <w:rsid w:val="005B7610"/>
    <w:rsid w:val="005C0823"/>
    <w:rsid w:val="005C2A7E"/>
    <w:rsid w:val="005D79B4"/>
    <w:rsid w:val="005E12BC"/>
    <w:rsid w:val="0060133E"/>
    <w:rsid w:val="00603807"/>
    <w:rsid w:val="00606976"/>
    <w:rsid w:val="00616B07"/>
    <w:rsid w:val="0061788D"/>
    <w:rsid w:val="00621825"/>
    <w:rsid w:val="00625D6F"/>
    <w:rsid w:val="006331D6"/>
    <w:rsid w:val="00633836"/>
    <w:rsid w:val="006350CC"/>
    <w:rsid w:val="00640EFD"/>
    <w:rsid w:val="00650A95"/>
    <w:rsid w:val="00671E6F"/>
    <w:rsid w:val="0068786C"/>
    <w:rsid w:val="0068793C"/>
    <w:rsid w:val="006908E8"/>
    <w:rsid w:val="00696531"/>
    <w:rsid w:val="006B0710"/>
    <w:rsid w:val="006B22C5"/>
    <w:rsid w:val="006C4975"/>
    <w:rsid w:val="006D34A3"/>
    <w:rsid w:val="006D5365"/>
    <w:rsid w:val="006D5AE4"/>
    <w:rsid w:val="006D6B37"/>
    <w:rsid w:val="006D7109"/>
    <w:rsid w:val="006F40EA"/>
    <w:rsid w:val="007069F3"/>
    <w:rsid w:val="007117B7"/>
    <w:rsid w:val="00721013"/>
    <w:rsid w:val="00726E66"/>
    <w:rsid w:val="00730E0E"/>
    <w:rsid w:val="00733E8A"/>
    <w:rsid w:val="00742F90"/>
    <w:rsid w:val="00744693"/>
    <w:rsid w:val="00746113"/>
    <w:rsid w:val="00767A31"/>
    <w:rsid w:val="007722BA"/>
    <w:rsid w:val="0078284E"/>
    <w:rsid w:val="007853B3"/>
    <w:rsid w:val="007876F0"/>
    <w:rsid w:val="00793565"/>
    <w:rsid w:val="00793DF2"/>
    <w:rsid w:val="007A06AF"/>
    <w:rsid w:val="007A2844"/>
    <w:rsid w:val="007A7252"/>
    <w:rsid w:val="007A7E00"/>
    <w:rsid w:val="007C2406"/>
    <w:rsid w:val="007D1E60"/>
    <w:rsid w:val="007D21B2"/>
    <w:rsid w:val="007E196C"/>
    <w:rsid w:val="007E342A"/>
    <w:rsid w:val="0080419B"/>
    <w:rsid w:val="00807C44"/>
    <w:rsid w:val="0081286D"/>
    <w:rsid w:val="008138C8"/>
    <w:rsid w:val="0081597A"/>
    <w:rsid w:val="00821711"/>
    <w:rsid w:val="00825722"/>
    <w:rsid w:val="008312A2"/>
    <w:rsid w:val="00833122"/>
    <w:rsid w:val="008372B4"/>
    <w:rsid w:val="00862A41"/>
    <w:rsid w:val="00870DE1"/>
    <w:rsid w:val="00871D7D"/>
    <w:rsid w:val="00872796"/>
    <w:rsid w:val="00873EEB"/>
    <w:rsid w:val="008815B1"/>
    <w:rsid w:val="00883E0F"/>
    <w:rsid w:val="008910A0"/>
    <w:rsid w:val="008A04C4"/>
    <w:rsid w:val="008A406D"/>
    <w:rsid w:val="008B2164"/>
    <w:rsid w:val="008B296A"/>
    <w:rsid w:val="008E02E6"/>
    <w:rsid w:val="008F1BF9"/>
    <w:rsid w:val="008F2CCA"/>
    <w:rsid w:val="0092307A"/>
    <w:rsid w:val="0092412C"/>
    <w:rsid w:val="00933374"/>
    <w:rsid w:val="00944DAE"/>
    <w:rsid w:val="009544D7"/>
    <w:rsid w:val="00955798"/>
    <w:rsid w:val="00986008"/>
    <w:rsid w:val="009904B7"/>
    <w:rsid w:val="00994A6C"/>
    <w:rsid w:val="0099643A"/>
    <w:rsid w:val="009A79C3"/>
    <w:rsid w:val="009B080F"/>
    <w:rsid w:val="009B7EFC"/>
    <w:rsid w:val="009C505D"/>
    <w:rsid w:val="009C68FE"/>
    <w:rsid w:val="009D1941"/>
    <w:rsid w:val="009D4AFD"/>
    <w:rsid w:val="009E0BF2"/>
    <w:rsid w:val="009E14BE"/>
    <w:rsid w:val="009E7640"/>
    <w:rsid w:val="009F65CA"/>
    <w:rsid w:val="00A17923"/>
    <w:rsid w:val="00A24ED7"/>
    <w:rsid w:val="00A36E3A"/>
    <w:rsid w:val="00A51032"/>
    <w:rsid w:val="00A563BF"/>
    <w:rsid w:val="00A7207D"/>
    <w:rsid w:val="00A93D35"/>
    <w:rsid w:val="00A96347"/>
    <w:rsid w:val="00AA41AC"/>
    <w:rsid w:val="00AA78F3"/>
    <w:rsid w:val="00AB28F7"/>
    <w:rsid w:val="00AD1522"/>
    <w:rsid w:val="00AD322C"/>
    <w:rsid w:val="00AE43F1"/>
    <w:rsid w:val="00AF432A"/>
    <w:rsid w:val="00AF7D6D"/>
    <w:rsid w:val="00B002CE"/>
    <w:rsid w:val="00B012C1"/>
    <w:rsid w:val="00B01654"/>
    <w:rsid w:val="00B04349"/>
    <w:rsid w:val="00B13885"/>
    <w:rsid w:val="00B13F5D"/>
    <w:rsid w:val="00B445A6"/>
    <w:rsid w:val="00B446A2"/>
    <w:rsid w:val="00B52168"/>
    <w:rsid w:val="00B523C8"/>
    <w:rsid w:val="00B56A38"/>
    <w:rsid w:val="00B66283"/>
    <w:rsid w:val="00B7266F"/>
    <w:rsid w:val="00B739CA"/>
    <w:rsid w:val="00B81D38"/>
    <w:rsid w:val="00B8767E"/>
    <w:rsid w:val="00B87B81"/>
    <w:rsid w:val="00B87E96"/>
    <w:rsid w:val="00BB396F"/>
    <w:rsid w:val="00BB42F3"/>
    <w:rsid w:val="00BC23E4"/>
    <w:rsid w:val="00BC2D24"/>
    <w:rsid w:val="00BD1D53"/>
    <w:rsid w:val="00BF268F"/>
    <w:rsid w:val="00BF5116"/>
    <w:rsid w:val="00C00199"/>
    <w:rsid w:val="00C013BB"/>
    <w:rsid w:val="00C22547"/>
    <w:rsid w:val="00C25E9A"/>
    <w:rsid w:val="00C27D57"/>
    <w:rsid w:val="00C508D3"/>
    <w:rsid w:val="00C516E3"/>
    <w:rsid w:val="00C518EB"/>
    <w:rsid w:val="00C6543D"/>
    <w:rsid w:val="00C73ACC"/>
    <w:rsid w:val="00CA2522"/>
    <w:rsid w:val="00CA4FFB"/>
    <w:rsid w:val="00CC54E2"/>
    <w:rsid w:val="00CD6653"/>
    <w:rsid w:val="00CF10E0"/>
    <w:rsid w:val="00CF1394"/>
    <w:rsid w:val="00D11461"/>
    <w:rsid w:val="00D15443"/>
    <w:rsid w:val="00D16149"/>
    <w:rsid w:val="00D16E78"/>
    <w:rsid w:val="00D173BC"/>
    <w:rsid w:val="00D25DE7"/>
    <w:rsid w:val="00D25FCC"/>
    <w:rsid w:val="00D515C4"/>
    <w:rsid w:val="00D518B9"/>
    <w:rsid w:val="00D55CDB"/>
    <w:rsid w:val="00D61B56"/>
    <w:rsid w:val="00D67134"/>
    <w:rsid w:val="00D67883"/>
    <w:rsid w:val="00D7171C"/>
    <w:rsid w:val="00D90DE9"/>
    <w:rsid w:val="00D92A82"/>
    <w:rsid w:val="00D96114"/>
    <w:rsid w:val="00DB13CE"/>
    <w:rsid w:val="00DB15CB"/>
    <w:rsid w:val="00DB1FBF"/>
    <w:rsid w:val="00DB71C8"/>
    <w:rsid w:val="00DE0D13"/>
    <w:rsid w:val="00DE5A67"/>
    <w:rsid w:val="00DE65F0"/>
    <w:rsid w:val="00DE68B9"/>
    <w:rsid w:val="00DF0773"/>
    <w:rsid w:val="00DF4314"/>
    <w:rsid w:val="00E02320"/>
    <w:rsid w:val="00E11A12"/>
    <w:rsid w:val="00E22C0E"/>
    <w:rsid w:val="00E24F98"/>
    <w:rsid w:val="00E34C36"/>
    <w:rsid w:val="00E3621B"/>
    <w:rsid w:val="00E40366"/>
    <w:rsid w:val="00E41073"/>
    <w:rsid w:val="00E413FB"/>
    <w:rsid w:val="00E41BB9"/>
    <w:rsid w:val="00E41CE5"/>
    <w:rsid w:val="00E51849"/>
    <w:rsid w:val="00E728AF"/>
    <w:rsid w:val="00E754E2"/>
    <w:rsid w:val="00E76296"/>
    <w:rsid w:val="00E76E25"/>
    <w:rsid w:val="00EA2898"/>
    <w:rsid w:val="00EA3BE5"/>
    <w:rsid w:val="00EB0CFA"/>
    <w:rsid w:val="00EB470C"/>
    <w:rsid w:val="00EB55E5"/>
    <w:rsid w:val="00EB63BB"/>
    <w:rsid w:val="00EC1121"/>
    <w:rsid w:val="00EF7B66"/>
    <w:rsid w:val="00F11A2A"/>
    <w:rsid w:val="00F2060A"/>
    <w:rsid w:val="00F24D3F"/>
    <w:rsid w:val="00F266B3"/>
    <w:rsid w:val="00F3139D"/>
    <w:rsid w:val="00F32ADD"/>
    <w:rsid w:val="00F42A55"/>
    <w:rsid w:val="00F559CB"/>
    <w:rsid w:val="00F73FD9"/>
    <w:rsid w:val="00F759DE"/>
    <w:rsid w:val="00F77FA4"/>
    <w:rsid w:val="00F967F4"/>
    <w:rsid w:val="00FC5B8E"/>
    <w:rsid w:val="00FC6F4A"/>
    <w:rsid w:val="00FD32D8"/>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F2C70"/>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rsid w:val="00B445A6"/>
    <w:pPr>
      <w:tabs>
        <w:tab w:val="center" w:pos="4819"/>
        <w:tab w:val="right" w:pos="9638"/>
      </w:tabs>
    </w:pPr>
  </w:style>
  <w:style w:type="character" w:customStyle="1" w:styleId="PoratDiagrama">
    <w:name w:val="Poraštė Diagrama"/>
    <w:link w:val="Porat"/>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9630C-74B9-4C3D-994A-9EB23FB67ADD}">
  <ds:schemaRefs>
    <ds:schemaRef ds:uri="http://schemas.openxmlformats.org/officeDocument/2006/bibliography"/>
  </ds:schemaRefs>
</ds:datastoreItem>
</file>

<file path=customXml/itemProps2.xml><?xml version="1.0" encoding="utf-8"?>
<ds:datastoreItem xmlns:ds="http://schemas.openxmlformats.org/officeDocument/2006/customXml" ds:itemID="{8E2747A3-4044-4EF3-BB2D-30424445B122}"/>
</file>

<file path=customXml/itemProps3.xml><?xml version="1.0" encoding="utf-8"?>
<ds:datastoreItem xmlns:ds="http://schemas.openxmlformats.org/officeDocument/2006/customXml" ds:itemID="{E7671D6E-C479-4EF1-BE8A-4CC8C07ADC5A}"/>
</file>

<file path=customXml/itemProps4.xml><?xml version="1.0" encoding="utf-8"?>
<ds:datastoreItem xmlns:ds="http://schemas.openxmlformats.org/officeDocument/2006/customXml" ds:itemID="{9442E79F-A5FA-4C48-B8D5-0C30B22A1182}"/>
</file>

<file path=docProps/app.xml><?xml version="1.0" encoding="utf-8"?>
<Properties xmlns="http://schemas.openxmlformats.org/officeDocument/2006/extended-properties" xmlns:vt="http://schemas.openxmlformats.org/officeDocument/2006/docPropsVTypes">
  <Template>Normal</Template>
  <TotalTime>17</TotalTime>
  <Pages>2</Pages>
  <Words>3236</Words>
  <Characters>1845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1561ad86-cd63-427d-8dfe-7c4fb713bb3f</dc:title>
  <dc:subject/>
  <dc:creator>Dovile Krikščiukaitė</dc:creator>
  <cp:keywords/>
  <cp:lastModifiedBy>Lukošiūnienė Daina</cp:lastModifiedBy>
  <cp:revision>4</cp:revision>
  <cp:lastPrinted>2015-05-20T08:51:00Z</cp:lastPrinted>
  <dcterms:created xsi:type="dcterms:W3CDTF">2018-11-20T11:43:00Z</dcterms:created>
  <dcterms:modified xsi:type="dcterms:W3CDTF">2018-11-22T06:43:00Z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