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55470" w14:textId="793A6EC2" w:rsidR="00EA119B" w:rsidRDefault="009D7E4A" w:rsidP="00EA119B">
      <w:pPr>
        <w:pStyle w:val="Antrat"/>
        <w:rPr>
          <w:sz w:val="24"/>
        </w:rPr>
      </w:pPr>
      <w:bookmarkStart w:id="0" w:name="_GoBack"/>
      <w:bookmarkEnd w:id="0"/>
      <w:r>
        <w:rPr>
          <w:noProof/>
          <w:lang w:eastAsia="lt-LT"/>
        </w:rPr>
        <w:drawing>
          <wp:inline distT="0" distB="0" distL="0" distR="0" wp14:anchorId="51B80D40" wp14:editId="1CE124FF">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27055471" w14:textId="77777777" w:rsidR="00EA119B" w:rsidRDefault="00EA119B" w:rsidP="00EA119B">
      <w:pPr>
        <w:pStyle w:val="Antrat"/>
        <w:rPr>
          <w:sz w:val="24"/>
        </w:rPr>
      </w:pPr>
    </w:p>
    <w:p w14:paraId="27055472" w14:textId="77777777" w:rsidR="00EA119B" w:rsidRDefault="00EA119B" w:rsidP="00EA119B">
      <w:pPr>
        <w:pStyle w:val="Antrat"/>
        <w:rPr>
          <w:sz w:val="24"/>
        </w:rPr>
      </w:pPr>
      <w:r>
        <w:rPr>
          <w:sz w:val="24"/>
        </w:rPr>
        <w:t>LIETUVOS RESPUBLIKOS VIDAUS REIKALŲ MINISTERIJ</w:t>
      </w:r>
      <w:r w:rsidR="00C85BE0">
        <w:rPr>
          <w:sz w:val="24"/>
        </w:rPr>
        <w:t>A</w:t>
      </w:r>
    </w:p>
    <w:p w14:paraId="27055473" w14:textId="77777777" w:rsidR="00EA119B" w:rsidRDefault="00EA119B" w:rsidP="00EA119B">
      <w:pPr>
        <w:rPr>
          <w:lang w:val="lt-LT"/>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3E69E4" w14:paraId="27055477" w14:textId="77777777" w:rsidTr="00F63DEF">
        <w:trPr>
          <w:trHeight w:val="669"/>
          <w:jc w:val="center"/>
        </w:trPr>
        <w:tc>
          <w:tcPr>
            <w:tcW w:w="9492" w:type="dxa"/>
          </w:tcPr>
          <w:p w14:paraId="27055474" w14:textId="77777777" w:rsidR="00EA119B" w:rsidRDefault="00EA119B" w:rsidP="00F63DEF">
            <w:pPr>
              <w:pStyle w:val="Antrats"/>
              <w:tabs>
                <w:tab w:val="left" w:pos="720"/>
              </w:tabs>
              <w:jc w:val="center"/>
              <w:rPr>
                <w:sz w:val="20"/>
              </w:rPr>
            </w:pPr>
            <w:r>
              <w:rPr>
                <w:sz w:val="20"/>
              </w:rPr>
              <w:t>Biudžetinė įstaiga,  Šventaragio g. 2,  LT-01510  Vilnius,</w:t>
            </w:r>
          </w:p>
          <w:p w14:paraId="27055475" w14:textId="77777777" w:rsidR="00EA119B" w:rsidRDefault="00EA119B" w:rsidP="00F63DEF">
            <w:pPr>
              <w:pStyle w:val="Antrats"/>
              <w:tabs>
                <w:tab w:val="left" w:pos="720"/>
              </w:tabs>
              <w:jc w:val="center"/>
              <w:rPr>
                <w:sz w:val="20"/>
              </w:rPr>
            </w:pPr>
            <w:r>
              <w:rPr>
                <w:sz w:val="20"/>
              </w:rPr>
              <w:t xml:space="preserve">tel.: (8 5)  271 7154 / 271 7178,  faks. (8 5)  271 8551,  el. p. </w:t>
            </w:r>
            <w:hyperlink r:id="rId9" w:history="1">
              <w:r w:rsidRPr="00FC6229">
                <w:rPr>
                  <w:rStyle w:val="Hipersaitas"/>
                  <w:color w:val="000000" w:themeColor="text1"/>
                  <w:sz w:val="20"/>
                  <w:u w:val="none"/>
                </w:rPr>
                <w:t>bendrasisd@vrm.lt</w:t>
              </w:r>
            </w:hyperlink>
            <w:r>
              <w:rPr>
                <w:sz w:val="20"/>
              </w:rPr>
              <w:t xml:space="preserve"> </w:t>
            </w:r>
          </w:p>
          <w:p w14:paraId="27055476" w14:textId="77777777" w:rsidR="00EA119B" w:rsidRDefault="00EA119B" w:rsidP="00F63DEF">
            <w:pPr>
              <w:pStyle w:val="Antrats"/>
              <w:tabs>
                <w:tab w:val="clear" w:pos="4153"/>
                <w:tab w:val="clear" w:pos="8306"/>
              </w:tabs>
              <w:jc w:val="center"/>
              <w:rPr>
                <w:sz w:val="20"/>
              </w:rPr>
            </w:pPr>
            <w:r>
              <w:rPr>
                <w:sz w:val="20"/>
              </w:rPr>
              <w:t>Duomenys kaupiami ir saugomi Juridinių asmenų registre, kodas 188601464</w:t>
            </w:r>
          </w:p>
        </w:tc>
      </w:tr>
    </w:tbl>
    <w:p w14:paraId="27055478" w14:textId="77777777" w:rsidR="00EA119B" w:rsidRDefault="00EA119B" w:rsidP="00EA119B">
      <w:pPr>
        <w:rPr>
          <w:lang w:val="lt-LT"/>
        </w:rPr>
      </w:pPr>
    </w:p>
    <w:p w14:paraId="27055479" w14:textId="77777777" w:rsidR="00EA119B" w:rsidRDefault="00EA119B" w:rsidP="00EA119B">
      <w:pPr>
        <w:rPr>
          <w:lang w:val="lt-LT"/>
        </w:rPr>
      </w:pPr>
    </w:p>
    <w:tbl>
      <w:tblPr>
        <w:tblW w:w="9412" w:type="dxa"/>
        <w:tblLayout w:type="fixed"/>
        <w:tblLook w:val="0000" w:firstRow="0" w:lastRow="0" w:firstColumn="0" w:lastColumn="0" w:noHBand="0" w:noVBand="0"/>
      </w:tblPr>
      <w:tblGrid>
        <w:gridCol w:w="4644"/>
        <w:gridCol w:w="236"/>
        <w:gridCol w:w="236"/>
        <w:gridCol w:w="632"/>
        <w:gridCol w:w="915"/>
        <w:gridCol w:w="2749"/>
      </w:tblGrid>
      <w:tr w:rsidR="005C6497" w:rsidRPr="003E69E4" w14:paraId="27055481" w14:textId="77777777" w:rsidTr="0021545E">
        <w:tc>
          <w:tcPr>
            <w:tcW w:w="4644" w:type="dxa"/>
          </w:tcPr>
          <w:p w14:paraId="2705547A" w14:textId="0B8BF0D1" w:rsidR="005C6497" w:rsidRDefault="0021545E" w:rsidP="0021545E">
            <w:pPr>
              <w:pStyle w:val="Antrats"/>
              <w:tabs>
                <w:tab w:val="clear" w:pos="4153"/>
                <w:tab w:val="clear" w:pos="8306"/>
              </w:tabs>
              <w:spacing w:line="360" w:lineRule="auto"/>
            </w:pPr>
            <w:r>
              <w:t>Finansų</w:t>
            </w:r>
            <w:r w:rsidR="00A6073A">
              <w:t xml:space="preserve"> ministerijai</w:t>
            </w:r>
          </w:p>
        </w:tc>
        <w:tc>
          <w:tcPr>
            <w:tcW w:w="236" w:type="dxa"/>
          </w:tcPr>
          <w:p w14:paraId="2705547B" w14:textId="77777777" w:rsidR="005C6497" w:rsidRDefault="005C6497" w:rsidP="00443DAF">
            <w:pPr>
              <w:pStyle w:val="Antrats"/>
              <w:tabs>
                <w:tab w:val="clear" w:pos="4153"/>
                <w:tab w:val="clear" w:pos="8306"/>
              </w:tabs>
              <w:spacing w:line="360" w:lineRule="auto"/>
            </w:pPr>
          </w:p>
        </w:tc>
        <w:tc>
          <w:tcPr>
            <w:tcW w:w="868" w:type="dxa"/>
            <w:gridSpan w:val="2"/>
          </w:tcPr>
          <w:p w14:paraId="2705547D" w14:textId="551DE3D0" w:rsidR="005C6497" w:rsidRDefault="005C6497" w:rsidP="00443DAF">
            <w:pPr>
              <w:pStyle w:val="Antrats"/>
              <w:tabs>
                <w:tab w:val="clear" w:pos="4153"/>
                <w:tab w:val="clear" w:pos="8306"/>
              </w:tabs>
              <w:spacing w:line="360" w:lineRule="auto"/>
              <w:jc w:val="right"/>
            </w:pPr>
          </w:p>
        </w:tc>
        <w:tc>
          <w:tcPr>
            <w:tcW w:w="915" w:type="dxa"/>
          </w:tcPr>
          <w:p w14:paraId="2705547E" w14:textId="1AA2DBF9" w:rsidR="00443DAF" w:rsidRDefault="00443DAF" w:rsidP="00443DAF">
            <w:pPr>
              <w:pStyle w:val="Antrats"/>
              <w:tabs>
                <w:tab w:val="clear" w:pos="4153"/>
                <w:tab w:val="clear" w:pos="8306"/>
              </w:tabs>
              <w:spacing w:line="360" w:lineRule="auto"/>
            </w:pPr>
          </w:p>
        </w:tc>
        <w:tc>
          <w:tcPr>
            <w:tcW w:w="2749" w:type="dxa"/>
          </w:tcPr>
          <w:p w14:paraId="27055480" w14:textId="74DDADC1" w:rsidR="005C6497" w:rsidRDefault="005C6497" w:rsidP="00443DAF">
            <w:pPr>
              <w:pStyle w:val="Antrats"/>
              <w:tabs>
                <w:tab w:val="clear" w:pos="4153"/>
                <w:tab w:val="clear" w:pos="8306"/>
              </w:tabs>
              <w:spacing w:line="360" w:lineRule="auto"/>
            </w:pPr>
            <w:r>
              <w:t xml:space="preserve">Nr. </w:t>
            </w:r>
          </w:p>
        </w:tc>
      </w:tr>
      <w:tr w:rsidR="00443DAF" w:rsidRPr="003E69E4" w14:paraId="739D23F6" w14:textId="77777777" w:rsidTr="0021545E">
        <w:tc>
          <w:tcPr>
            <w:tcW w:w="4644" w:type="dxa"/>
          </w:tcPr>
          <w:p w14:paraId="36A7CE4A" w14:textId="61A8F783" w:rsidR="00443DAF" w:rsidRDefault="00443DAF" w:rsidP="00443DAF">
            <w:pPr>
              <w:pStyle w:val="Antrats"/>
              <w:tabs>
                <w:tab w:val="clear" w:pos="4153"/>
                <w:tab w:val="clear" w:pos="8306"/>
              </w:tabs>
              <w:spacing w:line="360" w:lineRule="auto"/>
            </w:pPr>
          </w:p>
        </w:tc>
        <w:tc>
          <w:tcPr>
            <w:tcW w:w="236" w:type="dxa"/>
          </w:tcPr>
          <w:p w14:paraId="5EA1C96B" w14:textId="77777777" w:rsidR="00443DAF" w:rsidRDefault="00443DAF" w:rsidP="00443DAF">
            <w:pPr>
              <w:pStyle w:val="Antrats"/>
              <w:tabs>
                <w:tab w:val="clear" w:pos="4153"/>
                <w:tab w:val="clear" w:pos="8306"/>
              </w:tabs>
              <w:spacing w:line="360" w:lineRule="auto"/>
            </w:pPr>
          </w:p>
        </w:tc>
        <w:tc>
          <w:tcPr>
            <w:tcW w:w="236" w:type="dxa"/>
          </w:tcPr>
          <w:p w14:paraId="7FB8F438" w14:textId="77777777" w:rsidR="00443DAF" w:rsidRDefault="00443DAF" w:rsidP="00443DAF">
            <w:pPr>
              <w:pStyle w:val="Antrats"/>
              <w:tabs>
                <w:tab w:val="clear" w:pos="4153"/>
                <w:tab w:val="clear" w:pos="8306"/>
              </w:tabs>
              <w:spacing w:line="360" w:lineRule="auto"/>
              <w:jc w:val="right"/>
            </w:pPr>
          </w:p>
        </w:tc>
        <w:tc>
          <w:tcPr>
            <w:tcW w:w="1547" w:type="dxa"/>
            <w:gridSpan w:val="2"/>
          </w:tcPr>
          <w:p w14:paraId="757E0D30" w14:textId="5E17D07E" w:rsidR="00443DAF" w:rsidRDefault="00443DAF" w:rsidP="0021545E">
            <w:pPr>
              <w:pStyle w:val="Antrats"/>
              <w:tabs>
                <w:tab w:val="clear" w:pos="4153"/>
                <w:tab w:val="clear" w:pos="8306"/>
              </w:tabs>
              <w:spacing w:line="360" w:lineRule="auto"/>
            </w:pPr>
            <w:r>
              <w:t>Į</w:t>
            </w:r>
            <w:r w:rsidR="00A6073A">
              <w:rPr>
                <w:szCs w:val="24"/>
              </w:rPr>
              <w:t xml:space="preserve"> 2020-0</w:t>
            </w:r>
            <w:r w:rsidR="0021545E">
              <w:rPr>
                <w:szCs w:val="24"/>
              </w:rPr>
              <w:t>4-01</w:t>
            </w:r>
          </w:p>
        </w:tc>
        <w:tc>
          <w:tcPr>
            <w:tcW w:w="2749" w:type="dxa"/>
          </w:tcPr>
          <w:p w14:paraId="7FCCEC96" w14:textId="25DD36D0" w:rsidR="00443DAF" w:rsidRDefault="00443DAF" w:rsidP="00443DAF">
            <w:pPr>
              <w:pStyle w:val="Antrats"/>
              <w:tabs>
                <w:tab w:val="clear" w:pos="4153"/>
                <w:tab w:val="clear" w:pos="8306"/>
              </w:tabs>
              <w:spacing w:line="360" w:lineRule="auto"/>
            </w:pPr>
            <w:r>
              <w:t>Nr.</w:t>
            </w:r>
            <w:r w:rsidR="00A6073A">
              <w:t xml:space="preserve"> </w:t>
            </w:r>
            <w:r w:rsidR="0021545E" w:rsidRPr="0021545E">
              <w:rPr>
                <w:szCs w:val="24"/>
              </w:rPr>
              <w:t>(27.18E-02)-6K-2001939</w:t>
            </w:r>
          </w:p>
        </w:tc>
      </w:tr>
    </w:tbl>
    <w:p w14:paraId="2867529B" w14:textId="77777777" w:rsidR="00671E8B" w:rsidRDefault="00671E8B" w:rsidP="00EA119B">
      <w:pPr>
        <w:pStyle w:val="Antrats"/>
        <w:tabs>
          <w:tab w:val="clear" w:pos="4153"/>
          <w:tab w:val="clear" w:pos="8306"/>
        </w:tabs>
      </w:pPr>
    </w:p>
    <w:p w14:paraId="2065E0E4" w14:textId="77777777" w:rsidR="00671E8B" w:rsidRDefault="00671E8B" w:rsidP="00EA119B">
      <w:pPr>
        <w:pStyle w:val="Antrats"/>
        <w:tabs>
          <w:tab w:val="clear" w:pos="4153"/>
          <w:tab w:val="clear" w:pos="8306"/>
        </w:tabs>
      </w:pPr>
    </w:p>
    <w:p w14:paraId="4CBD4DE0" w14:textId="77777777" w:rsidR="0021545E" w:rsidRDefault="0021545E" w:rsidP="00215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val="lt-LT"/>
        </w:rPr>
      </w:pPr>
      <w:r w:rsidRPr="00F55437">
        <w:rPr>
          <w:b/>
          <w:lang w:val="lt-LT"/>
        </w:rPr>
        <w:t xml:space="preserve">DĖL LIETUVOS RESPUBLIKOS </w:t>
      </w:r>
      <w:r w:rsidRPr="00F55437">
        <w:rPr>
          <w:b/>
          <w:szCs w:val="24"/>
          <w:lang w:val="lt-LT"/>
        </w:rPr>
        <w:t xml:space="preserve">TAURIŲJŲ METALŲ IR BRANGAKMENIŲ VALSTYBINĖS PRIEŽIŪROS ĮSTATYMO NR. I-996 </w:t>
      </w:r>
      <w:r w:rsidRPr="00F55437">
        <w:rPr>
          <w:rFonts w:cs="Courier New"/>
          <w:b/>
          <w:szCs w:val="24"/>
          <w:lang w:val="lt-LT"/>
        </w:rPr>
        <w:t xml:space="preserve">4, 5, 6, 10, 15 </w:t>
      </w:r>
      <w:r w:rsidRPr="00F55437">
        <w:rPr>
          <w:b/>
          <w:szCs w:val="24"/>
          <w:lang w:val="lt-LT"/>
        </w:rPr>
        <w:t>IR</w:t>
      </w:r>
      <w:r w:rsidRPr="00F55437">
        <w:rPr>
          <w:rFonts w:cs="Courier New"/>
          <w:b/>
          <w:szCs w:val="24"/>
          <w:lang w:val="lt-LT"/>
        </w:rPr>
        <w:t xml:space="preserve"> 16 </w:t>
      </w:r>
      <w:r w:rsidRPr="00F55437">
        <w:rPr>
          <w:b/>
          <w:szCs w:val="24"/>
          <w:lang w:val="lt-LT"/>
        </w:rPr>
        <w:t>STRAIPSNIŲ PAKEITIMO IR SU JUO SUSIJUSIŲ ĮSTATYMŲ PAKEITIMO ĮSTATYMŲ PROJEKTŲ</w:t>
      </w:r>
    </w:p>
    <w:p w14:paraId="4AC27095" w14:textId="008A2697" w:rsidR="00671E8B" w:rsidRDefault="00671E8B" w:rsidP="00EA119B">
      <w:pPr>
        <w:pStyle w:val="Antrats"/>
        <w:tabs>
          <w:tab w:val="clear" w:pos="4153"/>
          <w:tab w:val="clear" w:pos="8306"/>
        </w:tabs>
      </w:pPr>
    </w:p>
    <w:p w14:paraId="20941D3B" w14:textId="77777777" w:rsidR="00BD3E75" w:rsidRDefault="00BD3E75" w:rsidP="00EA119B">
      <w:pPr>
        <w:pStyle w:val="Antrats"/>
        <w:tabs>
          <w:tab w:val="clear" w:pos="4153"/>
          <w:tab w:val="clear" w:pos="8306"/>
        </w:tabs>
      </w:pPr>
    </w:p>
    <w:p w14:paraId="2705548B" w14:textId="07FFCE56" w:rsidR="00A67106" w:rsidRDefault="0004399A" w:rsidP="00671E8B">
      <w:pPr>
        <w:pStyle w:val="Antrats"/>
        <w:tabs>
          <w:tab w:val="clear" w:pos="4153"/>
          <w:tab w:val="clear" w:pos="8306"/>
        </w:tabs>
        <w:spacing w:line="324" w:lineRule="auto"/>
        <w:jc w:val="both"/>
        <w:rPr>
          <w:szCs w:val="24"/>
        </w:rPr>
      </w:pPr>
      <w:r>
        <w:tab/>
      </w:r>
      <w:r w:rsidR="00A6073A">
        <w:t xml:space="preserve">Vidaus reikalų ministerija </w:t>
      </w:r>
      <w:r w:rsidR="00A6073A">
        <w:rPr>
          <w:szCs w:val="24"/>
        </w:rPr>
        <w:t xml:space="preserve">įvertino </w:t>
      </w:r>
      <w:r w:rsidR="0021545E">
        <w:rPr>
          <w:szCs w:val="24"/>
        </w:rPr>
        <w:t xml:space="preserve">Finansų ministerijos pateiktus </w:t>
      </w:r>
      <w:r w:rsidR="00BD3E75">
        <w:rPr>
          <w:szCs w:val="24"/>
        </w:rPr>
        <w:t>derinti</w:t>
      </w:r>
      <w:r w:rsidR="00BD3E75" w:rsidRPr="0021545E">
        <w:rPr>
          <w:szCs w:val="24"/>
        </w:rPr>
        <w:t xml:space="preserve"> </w:t>
      </w:r>
      <w:r w:rsidR="0021545E" w:rsidRPr="0021545E">
        <w:rPr>
          <w:szCs w:val="24"/>
        </w:rPr>
        <w:t>Lietuvos Respublikos tauriųjų metalų ir brangakmenių valstybinės priežiūros įstatymo Nr. I-996 4, 5, 6, 10, 15 ir 16 straipsnių pakeitimo įstatymo projektą ir kartu su juo teikiamų Lietuvos Respublikos administracinių nusižengimų kodekso 589 straipsnio pakeitimo įstatymo, Lietuvos Respublikos aplinkos apsaugos įstatymo Nr. I-2223 37 straipsnio pakeitimo įstatymo, Lietuvos Respublikos pinigų plovimo ir teroristų finansavimo prevencijos įstatymo Nr. VIII-275 3, 4, 30 ir 36 straipsnių pakeitimo įstatymo ir Lietuvos Respublikos įstatymo „Dėl Tauriųjų metalų gaminių kontrolės ir prabavimo konvencijos ir jos priedų ratifikavimo“ Nr. IX-2088 2 straipsnio pakeitimo įstatymo projektus (toliau kartu – Įstatymų projektai).</w:t>
      </w:r>
      <w:r w:rsidR="00A6073A">
        <w:rPr>
          <w:szCs w:val="24"/>
        </w:rPr>
        <w:t xml:space="preserve"> </w:t>
      </w:r>
      <w:r w:rsidR="00BD3E75">
        <w:rPr>
          <w:szCs w:val="24"/>
        </w:rPr>
        <w:t xml:space="preserve">Informuojame, kad </w:t>
      </w:r>
      <w:r w:rsidR="00A55454">
        <w:rPr>
          <w:szCs w:val="24"/>
        </w:rPr>
        <w:t>p</w:t>
      </w:r>
      <w:r w:rsidR="00A6073A">
        <w:rPr>
          <w:szCs w:val="24"/>
        </w:rPr>
        <w:t xml:space="preserve">agal savo kompetenciją </w:t>
      </w:r>
      <w:r w:rsidR="0045159D">
        <w:rPr>
          <w:szCs w:val="24"/>
        </w:rPr>
        <w:t>Įstatymų projekt</w:t>
      </w:r>
      <w:r w:rsidR="007A0B57">
        <w:rPr>
          <w:szCs w:val="24"/>
        </w:rPr>
        <w:t xml:space="preserve">ų tikslui – </w:t>
      </w:r>
      <w:r w:rsidR="0045159D">
        <w:rPr>
          <w:szCs w:val="24"/>
        </w:rPr>
        <w:t xml:space="preserve"> </w:t>
      </w:r>
      <w:r w:rsidR="007A0B57" w:rsidRPr="00BE7905">
        <w:rPr>
          <w:szCs w:val="24"/>
        </w:rPr>
        <w:t>sukurti teisinį pagrindą Vyriausybei ateityje apsispręsti dėl Tauriųjų metalų ir brangakmenių valstybinės priežiūros įstatyme numatytų funkcijų priskyrimo konkrečiai institucijai ar įstaigai, kaskart nekeičiant pa</w:t>
      </w:r>
      <w:r w:rsidR="007A0B57">
        <w:rPr>
          <w:szCs w:val="24"/>
        </w:rPr>
        <w:t xml:space="preserve">ties </w:t>
      </w:r>
      <w:r w:rsidR="007A0B57" w:rsidRPr="00BE7905">
        <w:rPr>
          <w:szCs w:val="24"/>
        </w:rPr>
        <w:t>įstatymo</w:t>
      </w:r>
      <w:r w:rsidR="007A0B57">
        <w:rPr>
          <w:szCs w:val="24"/>
        </w:rPr>
        <w:t xml:space="preserve"> – </w:t>
      </w:r>
      <w:r w:rsidR="008C795E">
        <w:rPr>
          <w:szCs w:val="24"/>
        </w:rPr>
        <w:t xml:space="preserve">pritariame ir </w:t>
      </w:r>
      <w:r w:rsidR="00A55454">
        <w:rPr>
          <w:szCs w:val="24"/>
        </w:rPr>
        <w:t xml:space="preserve">siūlomam </w:t>
      </w:r>
      <w:r w:rsidR="0045159D">
        <w:rPr>
          <w:szCs w:val="24"/>
        </w:rPr>
        <w:t xml:space="preserve">teisiniam reguliavimui esminių pastabų </w:t>
      </w:r>
      <w:r w:rsidR="00F9776D">
        <w:rPr>
          <w:szCs w:val="24"/>
        </w:rPr>
        <w:t xml:space="preserve">ir pasiūlymų </w:t>
      </w:r>
      <w:r w:rsidR="0045159D">
        <w:rPr>
          <w:szCs w:val="24"/>
        </w:rPr>
        <w:t>neturime</w:t>
      </w:r>
      <w:r w:rsidR="00A6073A">
        <w:rPr>
          <w:szCs w:val="24"/>
        </w:rPr>
        <w:t>.</w:t>
      </w:r>
    </w:p>
    <w:p w14:paraId="7FD54E2B" w14:textId="38D8E0E3" w:rsidR="007A0B57" w:rsidRDefault="00A6073A" w:rsidP="00671E8B">
      <w:pPr>
        <w:pStyle w:val="Antrats"/>
        <w:tabs>
          <w:tab w:val="clear" w:pos="4153"/>
          <w:tab w:val="clear" w:pos="8306"/>
        </w:tabs>
        <w:spacing w:line="324" w:lineRule="auto"/>
        <w:jc w:val="both"/>
      </w:pPr>
      <w:r>
        <w:rPr>
          <w:szCs w:val="24"/>
        </w:rPr>
        <w:tab/>
      </w:r>
      <w:r w:rsidR="0045159D">
        <w:rPr>
          <w:szCs w:val="24"/>
        </w:rPr>
        <w:t xml:space="preserve">Tačiau </w:t>
      </w:r>
      <w:r w:rsidR="00447D39">
        <w:rPr>
          <w:szCs w:val="24"/>
        </w:rPr>
        <w:t xml:space="preserve">norėtume atkreipti Įstatymų projektų rengėjų dėmesį į </w:t>
      </w:r>
      <w:r w:rsidR="009E35A6">
        <w:rPr>
          <w:szCs w:val="24"/>
        </w:rPr>
        <w:t>siūlom</w:t>
      </w:r>
      <w:r w:rsidR="006E2EE8">
        <w:rPr>
          <w:szCs w:val="24"/>
        </w:rPr>
        <w:t>o</w:t>
      </w:r>
      <w:r w:rsidR="009E35A6">
        <w:rPr>
          <w:szCs w:val="24"/>
        </w:rPr>
        <w:t xml:space="preserve"> </w:t>
      </w:r>
      <w:r w:rsidR="006E2EE8">
        <w:rPr>
          <w:szCs w:val="24"/>
        </w:rPr>
        <w:t xml:space="preserve">teisinio reguliavimo santykį su antruoju </w:t>
      </w:r>
      <w:r w:rsidR="0021545E">
        <w:rPr>
          <w:szCs w:val="24"/>
        </w:rPr>
        <w:t>Įstatymų projekt</w:t>
      </w:r>
      <w:r w:rsidR="00C17297">
        <w:rPr>
          <w:szCs w:val="24"/>
        </w:rPr>
        <w:t>ų</w:t>
      </w:r>
      <w:r w:rsidR="0021545E">
        <w:rPr>
          <w:szCs w:val="24"/>
        </w:rPr>
        <w:t xml:space="preserve"> lydimuosiuose dokumentuose </w:t>
      </w:r>
      <w:r w:rsidR="006E2EE8">
        <w:rPr>
          <w:szCs w:val="24"/>
        </w:rPr>
        <w:t xml:space="preserve">deklaruotu </w:t>
      </w:r>
      <w:r w:rsidR="00A66639">
        <w:rPr>
          <w:szCs w:val="24"/>
        </w:rPr>
        <w:t xml:space="preserve">šių projektų </w:t>
      </w:r>
      <w:r w:rsidR="0021545E">
        <w:rPr>
          <w:szCs w:val="24"/>
        </w:rPr>
        <w:t>tiksl</w:t>
      </w:r>
      <w:r w:rsidR="006E2EE8">
        <w:rPr>
          <w:szCs w:val="24"/>
        </w:rPr>
        <w:t xml:space="preserve">u </w:t>
      </w:r>
      <w:r w:rsidR="0021545E">
        <w:rPr>
          <w:szCs w:val="24"/>
        </w:rPr>
        <w:t xml:space="preserve">– </w:t>
      </w:r>
      <w:r w:rsidR="0021545E">
        <w:rPr>
          <w:bCs/>
          <w:szCs w:val="24"/>
        </w:rPr>
        <w:t xml:space="preserve">įtvirtinti galimybę </w:t>
      </w:r>
      <w:r w:rsidR="0021545E">
        <w:rPr>
          <w:szCs w:val="24"/>
        </w:rPr>
        <w:t xml:space="preserve">pertvarkyti valstybės įmonę „Lietuvos prabavimo rūmai“ į viešąją įstaigą, </w:t>
      </w:r>
      <w:r w:rsidR="0021545E">
        <w:t>kuri vykdytų tauriųjų metalų ir brangakmenių prabavimo valstybinės priežiūros institucijos funkcijas</w:t>
      </w:r>
      <w:r w:rsidR="007A0B57">
        <w:t xml:space="preserve">. </w:t>
      </w:r>
    </w:p>
    <w:p w14:paraId="59A6FDA9" w14:textId="19FD40FE" w:rsidR="009A177D" w:rsidRDefault="007A0B57" w:rsidP="00BE7905">
      <w:pPr>
        <w:pStyle w:val="Antrats"/>
        <w:tabs>
          <w:tab w:val="clear" w:pos="4153"/>
          <w:tab w:val="clear" w:pos="8306"/>
        </w:tabs>
        <w:spacing w:line="324" w:lineRule="auto"/>
        <w:ind w:firstLine="709"/>
        <w:jc w:val="both"/>
      </w:pPr>
      <w:r>
        <w:t xml:space="preserve">Pažymime, kad </w:t>
      </w:r>
      <w:r w:rsidR="00A20585">
        <w:t xml:space="preserve">nemaža dalis </w:t>
      </w:r>
      <w:r w:rsidRPr="00BE7905">
        <w:t>Tauriųjų metalų ir brangakmenių valstybinės priežiūros įstatyme</w:t>
      </w:r>
      <w:r>
        <w:t xml:space="preserve"> priežiūros </w:t>
      </w:r>
      <w:r w:rsidR="00A20585">
        <w:t xml:space="preserve">institucijai nustatomų funkcijų yra veiklos, </w:t>
      </w:r>
      <w:r w:rsidR="0021545E">
        <w:t>patenkan</w:t>
      </w:r>
      <w:r w:rsidR="00A20585">
        <w:t>čios</w:t>
      </w:r>
      <w:r w:rsidR="0021545E">
        <w:t xml:space="preserve"> į </w:t>
      </w:r>
      <w:r w:rsidR="006C28F0">
        <w:t>Vi</w:t>
      </w:r>
      <w:r w:rsidR="0021545E">
        <w:t xml:space="preserve">ešojo administravimo </w:t>
      </w:r>
      <w:r w:rsidR="0086600E">
        <w:t xml:space="preserve">įstatymo 5 straipsnio </w:t>
      </w:r>
      <w:r w:rsidR="00F61DBF">
        <w:t>2 </w:t>
      </w:r>
      <w:r w:rsidR="0086600E">
        <w:t xml:space="preserve">punkte nurodytą </w:t>
      </w:r>
      <w:r w:rsidR="0021545E">
        <w:t xml:space="preserve">įstatymų ir </w:t>
      </w:r>
      <w:r w:rsidR="0086600E">
        <w:t xml:space="preserve">administracinių sprendimų </w:t>
      </w:r>
      <w:r w:rsidR="0021545E">
        <w:lastRenderedPageBreak/>
        <w:t xml:space="preserve">įgyvendinimo </w:t>
      </w:r>
      <w:r w:rsidR="0086600E">
        <w:t>kontrolės</w:t>
      </w:r>
      <w:r w:rsidR="0021545E">
        <w:t xml:space="preserve"> sritį</w:t>
      </w:r>
      <w:r w:rsidR="006C28F0">
        <w:t xml:space="preserve"> ir yra laikytinos viešuoju administravimu</w:t>
      </w:r>
      <w:r w:rsidR="00A20585">
        <w:t xml:space="preserve">. Pagal </w:t>
      </w:r>
      <w:r w:rsidR="0021545E">
        <w:t>Viešojo administravimo įstatymo</w:t>
      </w:r>
      <w:r w:rsidR="00815F7B">
        <w:t xml:space="preserve"> </w:t>
      </w:r>
      <w:r w:rsidR="0021545E">
        <w:t>4</w:t>
      </w:r>
      <w:r w:rsidR="0021545E" w:rsidRPr="00815F7B">
        <w:rPr>
          <w:vertAlign w:val="superscript"/>
        </w:rPr>
        <w:t>1</w:t>
      </w:r>
      <w:r w:rsidR="006C28F0">
        <w:t> </w:t>
      </w:r>
      <w:r w:rsidR="0021545E">
        <w:t>straipsnio, reglamentuojančio viešojo administravimo įgaliojimų suteikimo tvarką</w:t>
      </w:r>
      <w:r w:rsidR="00A20585">
        <w:t xml:space="preserve">, </w:t>
      </w:r>
      <w:r w:rsidR="006222AD">
        <w:t>2 </w:t>
      </w:r>
      <w:r w:rsidR="00B34CEE">
        <w:t>dal</w:t>
      </w:r>
      <w:r w:rsidR="00A20585">
        <w:t>į</w:t>
      </w:r>
      <w:r w:rsidR="00B34CEE">
        <w:t>, viešosioms įstaigoms</w:t>
      </w:r>
      <w:r w:rsidR="00B34CEE" w:rsidRPr="00B34CEE">
        <w:t xml:space="preserve">, kurių savininkė ar dalininkė yra valstybė ar savivaldybė, viešojo administravimo įgaliojimai gali būti suteikiami </w:t>
      </w:r>
      <w:r w:rsidR="00B34CEE" w:rsidRPr="00B34CEE">
        <w:rPr>
          <w:i/>
        </w:rPr>
        <w:t>tik įstatymais</w:t>
      </w:r>
      <w:r w:rsidR="00B34CEE" w:rsidRPr="00B34CEE">
        <w:t xml:space="preserve">, tiesiogiai taikomu Europos Sąjungos teisės aktu, ratifikuota Lietuvos Respublikos tarptautine sutartimi, </w:t>
      </w:r>
      <w:r w:rsidR="00B34CEE" w:rsidRPr="00B34CEE">
        <w:rPr>
          <w:i/>
        </w:rPr>
        <w:t xml:space="preserve">kai </w:t>
      </w:r>
      <w:r w:rsidR="00B34CEE" w:rsidRPr="00B34CEE">
        <w:t>tame teisės akte</w:t>
      </w:r>
      <w:r w:rsidR="00B34CEE" w:rsidRPr="00B34CEE">
        <w:rPr>
          <w:i/>
        </w:rPr>
        <w:t xml:space="preserve"> nurodoma konkreti veikianti ar numatoma steigti viešoji įstaiga</w:t>
      </w:r>
      <w:r w:rsidR="00B34CEE" w:rsidRPr="00B34CEE">
        <w:t xml:space="preserve"> (</w:t>
      </w:r>
      <w:r w:rsidR="00B34CEE" w:rsidRPr="00B34CEE">
        <w:rPr>
          <w:i/>
        </w:rPr>
        <w:t>jos pavadinimas</w:t>
      </w:r>
      <w:r w:rsidR="00B34CEE" w:rsidRPr="00B34CEE">
        <w:t xml:space="preserve">, prireikus santykiai su kitais viešojo administravimo subjektais ir kt.) ir </w:t>
      </w:r>
      <w:r w:rsidR="00B34CEE" w:rsidRPr="00B34CEE">
        <w:rPr>
          <w:i/>
        </w:rPr>
        <w:t>nustatomas baigtinis</w:t>
      </w:r>
      <w:r w:rsidR="00B34CEE" w:rsidRPr="00B34CEE">
        <w:t xml:space="preserve"> konkrečių tokiai viešajai įstaigai </w:t>
      </w:r>
      <w:r w:rsidR="00B34CEE" w:rsidRPr="00B34CEE">
        <w:rPr>
          <w:i/>
        </w:rPr>
        <w:t>suteikiamų</w:t>
      </w:r>
      <w:r w:rsidR="00B34CEE" w:rsidRPr="00B34CEE">
        <w:t xml:space="preserve"> </w:t>
      </w:r>
      <w:r w:rsidR="00B34CEE" w:rsidRPr="00BE7905">
        <w:rPr>
          <w:i/>
        </w:rPr>
        <w:t>viešojo administravimo</w:t>
      </w:r>
      <w:r w:rsidR="00B34CEE" w:rsidRPr="00B34CEE">
        <w:t xml:space="preserve"> </w:t>
      </w:r>
      <w:r w:rsidR="00B34CEE" w:rsidRPr="00B34CEE">
        <w:rPr>
          <w:i/>
        </w:rPr>
        <w:t>įgaliojimų sąrašas</w:t>
      </w:r>
      <w:r w:rsidR="00B34CEE">
        <w:rPr>
          <w:i/>
        </w:rPr>
        <w:t xml:space="preserve">. </w:t>
      </w:r>
      <w:r w:rsidR="00B34CEE">
        <w:t>Tok</w:t>
      </w:r>
      <w:r w:rsidR="001A501A">
        <w:t xml:space="preserve">ie viešojo administravimo įgaliojimų suteikimo viešosioms įstaigoms reikalavimai yra </w:t>
      </w:r>
      <w:r w:rsidR="00B34CEE">
        <w:t>sąlygot</w:t>
      </w:r>
      <w:r w:rsidR="001A501A">
        <w:t>i</w:t>
      </w:r>
      <w:r w:rsidR="00B34CEE">
        <w:t xml:space="preserve"> Viešųjų įstaigų įstatymo 2 straipsnio 1</w:t>
      </w:r>
      <w:r w:rsidR="001A501A">
        <w:t> </w:t>
      </w:r>
      <w:r w:rsidR="00B34CEE">
        <w:t>dalyje įtvirtint</w:t>
      </w:r>
      <w:r w:rsidR="009A177D">
        <w:t>os</w:t>
      </w:r>
      <w:r w:rsidR="00B34CEE">
        <w:t xml:space="preserve"> viešosios įstaigos</w:t>
      </w:r>
      <w:r w:rsidR="009A177D">
        <w:t xml:space="preserve"> </w:t>
      </w:r>
      <w:r w:rsidR="00B34CEE">
        <w:t>paskirti</w:t>
      </w:r>
      <w:r w:rsidR="009A177D">
        <w:t>e</w:t>
      </w:r>
      <w:r w:rsidR="00B34CEE">
        <w:t>s</w:t>
      </w:r>
      <w:r w:rsidR="009A177D">
        <w:t xml:space="preserve"> – </w:t>
      </w:r>
      <w:r w:rsidR="009A177D" w:rsidRPr="009A177D">
        <w:t>tenkinti viešuosius interesus vykdant švietimo, mokymo ir mokslinę, kultūrinę, sveikatos priežiūros, aplinkos apsaugos, sporto plėtojimo, socialinės ar teisinės pagalbos teikimo, taip pat kitokią visuomenei naudingą veiklą.</w:t>
      </w:r>
      <w:r w:rsidR="009A177D">
        <w:t xml:space="preserve"> </w:t>
      </w:r>
      <w:r w:rsidR="006E2081">
        <w:t>Š</w:t>
      </w:r>
      <w:r w:rsidR="009A177D">
        <w:t xml:space="preserve">i </w:t>
      </w:r>
      <w:r w:rsidR="0064490D">
        <w:t xml:space="preserve">visuomenei </w:t>
      </w:r>
      <w:r w:rsidR="009A177D">
        <w:t>naudinga veikla</w:t>
      </w:r>
      <w:r w:rsidR="001A501A">
        <w:t xml:space="preserve"> pirmiausiai</w:t>
      </w:r>
      <w:r w:rsidR="009A177D">
        <w:t xml:space="preserve"> </w:t>
      </w:r>
      <w:r w:rsidR="001A501A">
        <w:t xml:space="preserve">yra </w:t>
      </w:r>
      <w:r w:rsidR="00815F7B">
        <w:t>siejama</w:t>
      </w:r>
      <w:r w:rsidR="009A177D">
        <w:t xml:space="preserve"> su viešųjų paslaugų teikimu, o ne viešojo administravimo funkcijų vykdymu</w:t>
      </w:r>
      <w:r w:rsidR="005B7E1C">
        <w:t xml:space="preserve">. </w:t>
      </w:r>
      <w:r w:rsidR="0064490D">
        <w:t>Būtent dėl to ir yra sukurtas t</w:t>
      </w:r>
      <w:r w:rsidR="006E2081">
        <w:t xml:space="preserve">oks </w:t>
      </w:r>
      <w:r w:rsidR="00A7137C">
        <w:t xml:space="preserve">sisteminis </w:t>
      </w:r>
      <w:r w:rsidR="006E2081">
        <w:t>teisinis reguliavimas</w:t>
      </w:r>
      <w:r w:rsidR="0064490D">
        <w:t>, numatantis galimybę v</w:t>
      </w:r>
      <w:r w:rsidR="00F56814">
        <w:t>i</w:t>
      </w:r>
      <w:r w:rsidR="0064490D">
        <w:t>ešojo administravimo įgaliojimus</w:t>
      </w:r>
      <w:r w:rsidR="00F56814">
        <w:t xml:space="preserve"> </w:t>
      </w:r>
      <w:r w:rsidR="00DE70DA">
        <w:t xml:space="preserve">viešosioms įstaigoms </w:t>
      </w:r>
      <w:r w:rsidR="0064490D">
        <w:t>s</w:t>
      </w:r>
      <w:r w:rsidR="00F56814">
        <w:t>uteik</w:t>
      </w:r>
      <w:r w:rsidR="0064490D">
        <w:t xml:space="preserve">ti </w:t>
      </w:r>
      <w:r w:rsidR="00F56814">
        <w:t xml:space="preserve">tik išskirtiniais atvejais ir </w:t>
      </w:r>
      <w:r w:rsidR="0064490D">
        <w:t xml:space="preserve">neleidžiantis tam </w:t>
      </w:r>
      <w:r w:rsidR="00DE70DA">
        <w:t>tapt</w:t>
      </w:r>
      <w:r w:rsidR="0064490D">
        <w:t>i</w:t>
      </w:r>
      <w:r w:rsidR="00DE70DA">
        <w:t xml:space="preserve"> </w:t>
      </w:r>
      <w:r w:rsidR="00914C48">
        <w:t>paplitusia</w:t>
      </w:r>
      <w:r w:rsidR="00DE70DA">
        <w:t xml:space="preserve"> praktika</w:t>
      </w:r>
      <w:r w:rsidR="00F56814">
        <w:t xml:space="preserve">. Viešojo administravimo įgaliojimai pirmiausia </w:t>
      </w:r>
      <w:r w:rsidR="00C32289">
        <w:t>t</w:t>
      </w:r>
      <w:r w:rsidR="00914C48">
        <w:t xml:space="preserve">urėtų būti suteikiami </w:t>
      </w:r>
      <w:r w:rsidR="009A177D">
        <w:t xml:space="preserve">biudžetinių įstaigų </w:t>
      </w:r>
      <w:r w:rsidR="00A7137C">
        <w:t>teisinę formą turintiems juridiniams viešiesiems asmenims</w:t>
      </w:r>
      <w:r w:rsidR="00914C48">
        <w:t xml:space="preserve"> ir tai labiausiai atitiktų šių juridinių asmenų paskirtį</w:t>
      </w:r>
      <w:r w:rsidR="00A7137C">
        <w:t>.</w:t>
      </w:r>
    </w:p>
    <w:p w14:paraId="3440F643" w14:textId="723C9273" w:rsidR="00815F7B" w:rsidRDefault="00BD3E75" w:rsidP="00BE715B">
      <w:pPr>
        <w:pStyle w:val="Antrats"/>
        <w:tabs>
          <w:tab w:val="clear" w:pos="4153"/>
          <w:tab w:val="clear" w:pos="8306"/>
        </w:tabs>
        <w:spacing w:line="324" w:lineRule="auto"/>
        <w:ind w:firstLine="720"/>
        <w:jc w:val="both"/>
      </w:pPr>
      <w:r>
        <w:t xml:space="preserve">Atsižvelgdami į </w:t>
      </w:r>
      <w:r w:rsidR="00815F7B">
        <w:t xml:space="preserve">tai, kas išdėstyta, </w:t>
      </w:r>
      <w:r w:rsidR="002C1AD8">
        <w:t>manytume, kad</w:t>
      </w:r>
      <w:r w:rsidR="00815F7B">
        <w:t xml:space="preserve"> </w:t>
      </w:r>
      <w:r w:rsidR="006758FE" w:rsidRPr="006758FE">
        <w:t>valstybės įmon</w:t>
      </w:r>
      <w:r w:rsidR="002C1AD8">
        <w:t>ės</w:t>
      </w:r>
      <w:r w:rsidR="006758FE" w:rsidRPr="006758FE">
        <w:t xml:space="preserve"> „Lietuvos prabavimo rūmai“</w:t>
      </w:r>
      <w:r w:rsidR="002C1AD8">
        <w:t xml:space="preserve"> pertvarkymo</w:t>
      </w:r>
      <w:r w:rsidR="006758FE" w:rsidRPr="006758FE">
        <w:t xml:space="preserve"> į viešąją įstaigą, kuri vykdytų tauriųjų metalų ir brangakmenių prabavimo valstybinės priežiūros institucijos funkcijas</w:t>
      </w:r>
      <w:r w:rsidR="002C1AD8">
        <w:t xml:space="preserve">, iniciatyva </w:t>
      </w:r>
      <w:r w:rsidR="00C16BB8">
        <w:t xml:space="preserve">šiuo metu neturėtų būti </w:t>
      </w:r>
      <w:r w:rsidR="00927F34">
        <w:t>deklaruojama kaip</w:t>
      </w:r>
      <w:r w:rsidR="002C1AD8">
        <w:t xml:space="preserve"> teikiamų Įstatymų projektų </w:t>
      </w:r>
      <w:r w:rsidR="00C16BB8">
        <w:t xml:space="preserve">tikslas </w:t>
      </w:r>
      <w:r w:rsidR="00927F34">
        <w:t xml:space="preserve">arba šis tikslas turėtų apsiriboti </w:t>
      </w:r>
      <w:r w:rsidR="00C16BB8">
        <w:t>konstatavimu</w:t>
      </w:r>
      <w:r w:rsidR="00927F34">
        <w:t xml:space="preserve">, kad bus sudarytos galimybės </w:t>
      </w:r>
      <w:r w:rsidR="00927F34" w:rsidRPr="00927F34">
        <w:t>valstybės įmon</w:t>
      </w:r>
      <w:r w:rsidR="00927F34">
        <w:t>ę</w:t>
      </w:r>
      <w:r w:rsidR="00927F34" w:rsidRPr="00927F34">
        <w:t xml:space="preserve"> „Lietuvos prabavimo rūmai“ pertvarky</w:t>
      </w:r>
      <w:r w:rsidR="00927F34">
        <w:t>ti</w:t>
      </w:r>
      <w:r w:rsidR="00927F34" w:rsidRPr="00927F34">
        <w:t xml:space="preserve"> į</w:t>
      </w:r>
      <w:r w:rsidR="00927F34">
        <w:t xml:space="preserve"> kitos teisinės formos viešąjį juridinį asmenį</w:t>
      </w:r>
      <w:r w:rsidR="00733C9F">
        <w:t>.</w:t>
      </w:r>
    </w:p>
    <w:p w14:paraId="1ED8CAAB" w14:textId="2807F2E1" w:rsidR="00671E8B" w:rsidRDefault="00BE715B" w:rsidP="00BE715B">
      <w:pPr>
        <w:pStyle w:val="Antrats"/>
        <w:tabs>
          <w:tab w:val="clear" w:pos="4153"/>
          <w:tab w:val="clear" w:pos="8306"/>
        </w:tabs>
        <w:spacing w:line="324" w:lineRule="auto"/>
        <w:jc w:val="both"/>
      </w:pPr>
      <w:r>
        <w:tab/>
        <w:t xml:space="preserve">Papildomai informuojame, kad pritariame Finansinių nusikaltimų tyrimo tarnybos </w:t>
      </w:r>
      <w:r w:rsidR="00F674C8">
        <w:t xml:space="preserve">prie Vidaus reikalų ministerijos </w:t>
      </w:r>
      <w:r>
        <w:t xml:space="preserve">2020 m. balandžio 16 d. raštu Nr. </w:t>
      </w:r>
      <w:r w:rsidRPr="00BE715B">
        <w:t>25/6-2-6-6079</w:t>
      </w:r>
      <w:r w:rsidR="006222AD">
        <w:t xml:space="preserve"> pateiktai pastabai.</w:t>
      </w:r>
    </w:p>
    <w:p w14:paraId="1D8008A4" w14:textId="77777777" w:rsidR="009C102B" w:rsidRDefault="009C102B" w:rsidP="00EA119B">
      <w:pPr>
        <w:pStyle w:val="Antrats"/>
        <w:tabs>
          <w:tab w:val="clear" w:pos="4153"/>
          <w:tab w:val="clear" w:pos="8306"/>
        </w:tabs>
      </w:pPr>
    </w:p>
    <w:p w14:paraId="7F715FB8" w14:textId="77777777" w:rsidR="00671E8B" w:rsidRDefault="00671E8B" w:rsidP="00EA119B">
      <w:pPr>
        <w:pStyle w:val="Antrats"/>
        <w:tabs>
          <w:tab w:val="clear" w:pos="4153"/>
          <w:tab w:val="clear" w:pos="8306"/>
        </w:tabs>
      </w:pPr>
    </w:p>
    <w:tbl>
      <w:tblPr>
        <w:tblW w:w="9923" w:type="dxa"/>
        <w:tblInd w:w="-142" w:type="dxa"/>
        <w:tblLayout w:type="fixed"/>
        <w:tblLook w:val="0000" w:firstRow="0" w:lastRow="0" w:firstColumn="0" w:lastColumn="0" w:noHBand="0" w:noVBand="0"/>
      </w:tblPr>
      <w:tblGrid>
        <w:gridCol w:w="4678"/>
        <w:gridCol w:w="5245"/>
      </w:tblGrid>
      <w:tr w:rsidR="00671E8B" w14:paraId="19090D5E" w14:textId="77777777" w:rsidTr="00C967FB">
        <w:tc>
          <w:tcPr>
            <w:tcW w:w="4678" w:type="dxa"/>
          </w:tcPr>
          <w:p w14:paraId="73E6D73F" w14:textId="77777777" w:rsidR="00671E8B" w:rsidRDefault="00671E8B" w:rsidP="00C967FB">
            <w:pPr>
              <w:pStyle w:val="Antrats"/>
              <w:tabs>
                <w:tab w:val="clear" w:pos="4153"/>
                <w:tab w:val="clear" w:pos="8306"/>
                <w:tab w:val="left" w:pos="-358"/>
              </w:tabs>
              <w:ind w:left="-358" w:firstLine="358"/>
            </w:pPr>
            <w:r>
              <w:t>Vidaus reikalų viceministrė</w:t>
            </w:r>
          </w:p>
        </w:tc>
        <w:tc>
          <w:tcPr>
            <w:tcW w:w="5245" w:type="dxa"/>
          </w:tcPr>
          <w:p w14:paraId="79DC71DC" w14:textId="77777777" w:rsidR="00671E8B" w:rsidRDefault="00671E8B" w:rsidP="00C967FB">
            <w:pPr>
              <w:pStyle w:val="Antrats"/>
              <w:tabs>
                <w:tab w:val="clear" w:pos="4153"/>
                <w:tab w:val="clear" w:pos="8306"/>
                <w:tab w:val="left" w:pos="-358"/>
              </w:tabs>
              <w:ind w:left="-358" w:firstLine="358"/>
              <w:jc w:val="right"/>
            </w:pPr>
            <w:r>
              <w:t>Beata Maliušicka</w:t>
            </w:r>
          </w:p>
        </w:tc>
      </w:tr>
    </w:tbl>
    <w:p w14:paraId="2705548E" w14:textId="77777777" w:rsidR="005A0D67" w:rsidRDefault="005A0D67" w:rsidP="00EA119B">
      <w:pPr>
        <w:pStyle w:val="Antrats"/>
        <w:tabs>
          <w:tab w:val="clear" w:pos="4153"/>
          <w:tab w:val="clear" w:pos="8306"/>
        </w:tabs>
      </w:pPr>
    </w:p>
    <w:p w14:paraId="3B720E54" w14:textId="77777777" w:rsidR="00671E8B" w:rsidRDefault="00671E8B" w:rsidP="00EA119B">
      <w:pPr>
        <w:pStyle w:val="Antrats"/>
        <w:tabs>
          <w:tab w:val="clear" w:pos="4153"/>
          <w:tab w:val="clear" w:pos="8306"/>
        </w:tabs>
      </w:pPr>
    </w:p>
    <w:p w14:paraId="219C895B" w14:textId="77777777" w:rsidR="00671E8B" w:rsidRDefault="00671E8B" w:rsidP="00EA119B">
      <w:pPr>
        <w:pStyle w:val="Antrats"/>
        <w:tabs>
          <w:tab w:val="clear" w:pos="4153"/>
          <w:tab w:val="clear" w:pos="8306"/>
        </w:tabs>
      </w:pPr>
    </w:p>
    <w:p w14:paraId="0D4E1D90" w14:textId="77777777" w:rsidR="00671E8B" w:rsidRDefault="00671E8B" w:rsidP="00EA119B">
      <w:pPr>
        <w:pStyle w:val="Antrats"/>
        <w:tabs>
          <w:tab w:val="clear" w:pos="4153"/>
          <w:tab w:val="clear" w:pos="8306"/>
        </w:tabs>
      </w:pPr>
    </w:p>
    <w:p w14:paraId="4C207B7D" w14:textId="77777777" w:rsidR="00671E8B" w:rsidRDefault="00671E8B" w:rsidP="00EA119B">
      <w:pPr>
        <w:pStyle w:val="Antrats"/>
        <w:tabs>
          <w:tab w:val="clear" w:pos="4153"/>
          <w:tab w:val="clear" w:pos="8306"/>
        </w:tabs>
      </w:pPr>
    </w:p>
    <w:p w14:paraId="152E42C1" w14:textId="77777777" w:rsidR="00671E8B" w:rsidRDefault="00671E8B" w:rsidP="00EA119B">
      <w:pPr>
        <w:pStyle w:val="Antrats"/>
        <w:tabs>
          <w:tab w:val="clear" w:pos="4153"/>
          <w:tab w:val="clear" w:pos="8306"/>
        </w:tabs>
      </w:pPr>
    </w:p>
    <w:p w14:paraId="2AC39F83" w14:textId="1F3ED0D2" w:rsidR="00671E8B" w:rsidRDefault="00671E8B" w:rsidP="00EA119B">
      <w:pPr>
        <w:pStyle w:val="Antrats"/>
        <w:tabs>
          <w:tab w:val="clear" w:pos="4153"/>
          <w:tab w:val="clear" w:pos="8306"/>
        </w:tabs>
      </w:pPr>
    </w:p>
    <w:p w14:paraId="2F47523A" w14:textId="77777777" w:rsidR="00671E8B" w:rsidRDefault="00671E8B" w:rsidP="00EA119B">
      <w:pPr>
        <w:pStyle w:val="Antrats"/>
        <w:tabs>
          <w:tab w:val="clear" w:pos="4153"/>
          <w:tab w:val="clear" w:pos="8306"/>
        </w:tabs>
      </w:pPr>
    </w:p>
    <w:p w14:paraId="4BFF0D68" w14:textId="77777777" w:rsidR="00BE715B" w:rsidRDefault="00BE715B" w:rsidP="00EA119B">
      <w:pPr>
        <w:pStyle w:val="Antrats"/>
        <w:tabs>
          <w:tab w:val="clear" w:pos="4153"/>
          <w:tab w:val="clear" w:pos="8306"/>
        </w:tabs>
      </w:pPr>
    </w:p>
    <w:p w14:paraId="414B4621" w14:textId="77777777" w:rsidR="00671E8B" w:rsidRDefault="00671E8B" w:rsidP="00EA119B">
      <w:pPr>
        <w:pStyle w:val="Antrats"/>
        <w:tabs>
          <w:tab w:val="clear" w:pos="4153"/>
          <w:tab w:val="clear" w:pos="8306"/>
        </w:tabs>
      </w:pPr>
    </w:p>
    <w:p w14:paraId="773EFF30" w14:textId="77777777" w:rsidR="00671E8B" w:rsidRDefault="00671E8B" w:rsidP="00671E8B">
      <w:pPr>
        <w:jc w:val="both"/>
        <w:rPr>
          <w:noProof/>
          <w:lang w:val="lt-LT"/>
        </w:rPr>
      </w:pPr>
    </w:p>
    <w:p w14:paraId="270554A7" w14:textId="218E9D8D" w:rsidR="0005618E" w:rsidRPr="007976F5" w:rsidRDefault="00671E8B" w:rsidP="00671E8B">
      <w:pPr>
        <w:jc w:val="both"/>
      </w:pPr>
      <w:r w:rsidRPr="008D4F01">
        <w:rPr>
          <w:noProof/>
          <w:lang w:val="lt-LT"/>
        </w:rPr>
        <w:t xml:space="preserve">S. Šarkutė, tel. 271 8919, el. p. </w:t>
      </w:r>
      <w:hyperlink r:id="rId10" w:history="1">
        <w:r w:rsidRPr="008D4F01">
          <w:rPr>
            <w:rStyle w:val="Hipersaitas"/>
            <w:noProof/>
            <w:color w:val="auto"/>
            <w:u w:val="none"/>
            <w:lang w:val="lt-LT"/>
          </w:rPr>
          <w:t>sandra.sarkute@vrm.lt</w:t>
        </w:r>
      </w:hyperlink>
    </w:p>
    <w:sectPr w:rsidR="0005618E" w:rsidRPr="007976F5" w:rsidSect="00F625E1">
      <w:headerReference w:type="even" r:id="rId11"/>
      <w:headerReference w:type="default" r:id="rId12"/>
      <w:footerReference w:type="first" r:id="rId13"/>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EBD43" w14:textId="77777777" w:rsidR="00CD71F9" w:rsidRDefault="00CD71F9" w:rsidP="00DB30A6">
      <w:r>
        <w:separator/>
      </w:r>
    </w:p>
  </w:endnote>
  <w:endnote w:type="continuationSeparator" w:id="0">
    <w:p w14:paraId="1FBA82B7" w14:textId="77777777" w:rsidR="00CD71F9" w:rsidRDefault="00CD71F9"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entelstinklelis"/>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73"/>
      <w:gridCol w:w="1708"/>
    </w:tblGrid>
    <w:tr w:rsidR="005C4059" w14:paraId="270554B3" w14:textId="77777777" w:rsidTr="00CB2C23">
      <w:trPr>
        <w:trHeight w:val="1276"/>
      </w:trPr>
      <w:tc>
        <w:tcPr>
          <w:tcW w:w="7573" w:type="dxa"/>
        </w:tcPr>
        <w:p w14:paraId="270554B1" w14:textId="77777777" w:rsidR="005C4059" w:rsidRDefault="003C1DFA" w:rsidP="002A2934">
          <w:pPr>
            <w:pStyle w:val="Porat"/>
            <w:rPr>
              <w:lang w:val="lt-LT"/>
            </w:rPr>
          </w:pPr>
        </w:p>
      </w:tc>
      <w:tc>
        <w:tcPr>
          <w:tcW w:w="1708" w:type="dxa"/>
        </w:tcPr>
        <w:p w14:paraId="270554B2" w14:textId="6FEFA827" w:rsidR="005C4059" w:rsidRDefault="00F604DF" w:rsidP="00D97282">
          <w:pPr>
            <w:pStyle w:val="Porat"/>
            <w:ind w:left="-106" w:right="-203" w:hanging="2"/>
            <w:rPr>
              <w:lang w:val="lt-LT"/>
            </w:rPr>
          </w:pPr>
          <w:r>
            <w:rPr>
              <w:noProof/>
              <w:lang w:val="lt-LT" w:eastAsia="lt-LT"/>
            </w:rPr>
            <w:drawing>
              <wp:inline distT="0" distB="0" distL="0" distR="0" wp14:anchorId="5812D6B4" wp14:editId="72EFCF0F">
                <wp:extent cx="1022350" cy="771525"/>
                <wp:effectExtent l="0" t="0" r="635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kime-laisve_30_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2350" cy="771525"/>
                        </a:xfrm>
                        <a:prstGeom prst="rect">
                          <a:avLst/>
                        </a:prstGeom>
                      </pic:spPr>
                    </pic:pic>
                  </a:graphicData>
                </a:graphic>
              </wp:inline>
            </w:drawing>
          </w:r>
        </w:p>
      </w:tc>
    </w:tr>
  </w:tbl>
  <w:p w14:paraId="270554B4" w14:textId="77777777" w:rsidR="005C4059" w:rsidRDefault="003C1DF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907B9" w14:textId="77777777" w:rsidR="00CD71F9" w:rsidRDefault="00CD71F9" w:rsidP="00DB30A6">
      <w:r>
        <w:separator/>
      </w:r>
    </w:p>
  </w:footnote>
  <w:footnote w:type="continuationSeparator" w:id="0">
    <w:p w14:paraId="73F07CC9" w14:textId="77777777" w:rsidR="00CD71F9" w:rsidRDefault="00CD71F9" w:rsidP="00DB3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554AF" w14:textId="77777777" w:rsidR="00BA5CFC" w:rsidRDefault="00085A86" w:rsidP="00BA5CFC">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14:paraId="270554B0" w14:textId="77777777" w:rsidR="00BA5CFC" w:rsidRDefault="003C1DFA">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822306"/>
      <w:docPartObj>
        <w:docPartGallery w:val="Page Numbers (Top of Page)"/>
        <w:docPartUnique/>
      </w:docPartObj>
    </w:sdtPr>
    <w:sdtEndPr/>
    <w:sdtContent>
      <w:p w14:paraId="6D6516D9" w14:textId="2859EB67" w:rsidR="00671E8B" w:rsidRDefault="00671E8B">
        <w:pPr>
          <w:pStyle w:val="Antrats"/>
          <w:jc w:val="center"/>
        </w:pPr>
        <w:r>
          <w:fldChar w:fldCharType="begin"/>
        </w:r>
        <w:r>
          <w:instrText>PAGE   \* MERGEFORMAT</w:instrText>
        </w:r>
        <w:r>
          <w:fldChar w:fldCharType="separate"/>
        </w:r>
        <w:r w:rsidR="003C1DFA">
          <w:rPr>
            <w:noProof/>
          </w:rPr>
          <w:t>2</w:t>
        </w:r>
        <w:r>
          <w:fldChar w:fldCharType="end"/>
        </w:r>
      </w:p>
    </w:sdtContent>
  </w:sdt>
  <w:p w14:paraId="5368B330" w14:textId="77777777" w:rsidR="00671E8B" w:rsidRDefault="00671E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F30D6"/>
    <w:multiLevelType w:val="hybridMultilevel"/>
    <w:tmpl w:val="77CEB6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19B"/>
    <w:rsid w:val="00006D43"/>
    <w:rsid w:val="00030C21"/>
    <w:rsid w:val="0004399A"/>
    <w:rsid w:val="0005618E"/>
    <w:rsid w:val="000742EB"/>
    <w:rsid w:val="00080312"/>
    <w:rsid w:val="00084BC0"/>
    <w:rsid w:val="00085A86"/>
    <w:rsid w:val="000B6FAB"/>
    <w:rsid w:val="001168BF"/>
    <w:rsid w:val="00116FE4"/>
    <w:rsid w:val="001448EF"/>
    <w:rsid w:val="00147FBE"/>
    <w:rsid w:val="0019136B"/>
    <w:rsid w:val="001A2267"/>
    <w:rsid w:val="001A501A"/>
    <w:rsid w:val="001F5416"/>
    <w:rsid w:val="0021545E"/>
    <w:rsid w:val="002174A5"/>
    <w:rsid w:val="0025508D"/>
    <w:rsid w:val="0025599E"/>
    <w:rsid w:val="00257E52"/>
    <w:rsid w:val="00263408"/>
    <w:rsid w:val="00265030"/>
    <w:rsid w:val="00280F08"/>
    <w:rsid w:val="00295CC1"/>
    <w:rsid w:val="002A2934"/>
    <w:rsid w:val="002C1AD8"/>
    <w:rsid w:val="003079BC"/>
    <w:rsid w:val="003214F0"/>
    <w:rsid w:val="00333508"/>
    <w:rsid w:val="00371333"/>
    <w:rsid w:val="003C1DFA"/>
    <w:rsid w:val="00402D81"/>
    <w:rsid w:val="00405628"/>
    <w:rsid w:val="00443DAF"/>
    <w:rsid w:val="00447D39"/>
    <w:rsid w:val="0045159D"/>
    <w:rsid w:val="00472CA7"/>
    <w:rsid w:val="0047498C"/>
    <w:rsid w:val="00497BF0"/>
    <w:rsid w:val="004C2429"/>
    <w:rsid w:val="004E4D56"/>
    <w:rsid w:val="005106C0"/>
    <w:rsid w:val="005122E9"/>
    <w:rsid w:val="0052414F"/>
    <w:rsid w:val="005257ED"/>
    <w:rsid w:val="005A0D67"/>
    <w:rsid w:val="005A1DD7"/>
    <w:rsid w:val="005A2C4C"/>
    <w:rsid w:val="005A4144"/>
    <w:rsid w:val="005B7E1C"/>
    <w:rsid w:val="005C3604"/>
    <w:rsid w:val="005C6497"/>
    <w:rsid w:val="005F21C8"/>
    <w:rsid w:val="005F5EA9"/>
    <w:rsid w:val="00621B8F"/>
    <w:rsid w:val="006222AD"/>
    <w:rsid w:val="0064490D"/>
    <w:rsid w:val="006453B7"/>
    <w:rsid w:val="00671E8B"/>
    <w:rsid w:val="006758FE"/>
    <w:rsid w:val="006C28F0"/>
    <w:rsid w:val="006E2081"/>
    <w:rsid w:val="006E2EE8"/>
    <w:rsid w:val="00715384"/>
    <w:rsid w:val="00727A32"/>
    <w:rsid w:val="00733C9F"/>
    <w:rsid w:val="007976F5"/>
    <w:rsid w:val="007A0B57"/>
    <w:rsid w:val="007D070D"/>
    <w:rsid w:val="0080073C"/>
    <w:rsid w:val="00815F7B"/>
    <w:rsid w:val="00821F92"/>
    <w:rsid w:val="0086600E"/>
    <w:rsid w:val="0087651F"/>
    <w:rsid w:val="00882930"/>
    <w:rsid w:val="008C2329"/>
    <w:rsid w:val="008C75BB"/>
    <w:rsid w:val="008C795E"/>
    <w:rsid w:val="008C7D76"/>
    <w:rsid w:val="00911428"/>
    <w:rsid w:val="009148A5"/>
    <w:rsid w:val="00914C48"/>
    <w:rsid w:val="00927F34"/>
    <w:rsid w:val="00935F50"/>
    <w:rsid w:val="009503F2"/>
    <w:rsid w:val="00953FD1"/>
    <w:rsid w:val="00976636"/>
    <w:rsid w:val="009862F8"/>
    <w:rsid w:val="009A177D"/>
    <w:rsid w:val="009C102B"/>
    <w:rsid w:val="009D478C"/>
    <w:rsid w:val="009D7E4A"/>
    <w:rsid w:val="009E35A6"/>
    <w:rsid w:val="00A20585"/>
    <w:rsid w:val="00A55454"/>
    <w:rsid w:val="00A6073A"/>
    <w:rsid w:val="00A66639"/>
    <w:rsid w:val="00A67106"/>
    <w:rsid w:val="00A7137C"/>
    <w:rsid w:val="00A90883"/>
    <w:rsid w:val="00AC3E0A"/>
    <w:rsid w:val="00AE10B4"/>
    <w:rsid w:val="00AF262B"/>
    <w:rsid w:val="00B34CEE"/>
    <w:rsid w:val="00B8485F"/>
    <w:rsid w:val="00BC65CD"/>
    <w:rsid w:val="00BD3E75"/>
    <w:rsid w:val="00BE163F"/>
    <w:rsid w:val="00BE715B"/>
    <w:rsid w:val="00BE7905"/>
    <w:rsid w:val="00BF3D5C"/>
    <w:rsid w:val="00C16BB8"/>
    <w:rsid w:val="00C17297"/>
    <w:rsid w:val="00C27979"/>
    <w:rsid w:val="00C32289"/>
    <w:rsid w:val="00C41A30"/>
    <w:rsid w:val="00C45200"/>
    <w:rsid w:val="00C85BE0"/>
    <w:rsid w:val="00CA76DC"/>
    <w:rsid w:val="00CB2C23"/>
    <w:rsid w:val="00CB76DC"/>
    <w:rsid w:val="00CC0C11"/>
    <w:rsid w:val="00CD71F9"/>
    <w:rsid w:val="00D1589F"/>
    <w:rsid w:val="00D66C81"/>
    <w:rsid w:val="00D97282"/>
    <w:rsid w:val="00DB30A6"/>
    <w:rsid w:val="00DD1997"/>
    <w:rsid w:val="00DE4C88"/>
    <w:rsid w:val="00DE70DA"/>
    <w:rsid w:val="00DF72FA"/>
    <w:rsid w:val="00EA119B"/>
    <w:rsid w:val="00EC0CD9"/>
    <w:rsid w:val="00F55437"/>
    <w:rsid w:val="00F55692"/>
    <w:rsid w:val="00F56814"/>
    <w:rsid w:val="00F604DF"/>
    <w:rsid w:val="00F61DBF"/>
    <w:rsid w:val="00F61E2F"/>
    <w:rsid w:val="00F62B78"/>
    <w:rsid w:val="00F674C8"/>
    <w:rsid w:val="00F9776D"/>
    <w:rsid w:val="00FB4AAA"/>
    <w:rsid w:val="00FC018A"/>
    <w:rsid w:val="00FC5E44"/>
    <w:rsid w:val="00FE6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05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119B"/>
    <w:pPr>
      <w:spacing w:line="240" w:lineRule="auto"/>
    </w:pPr>
    <w:rPr>
      <w:rFonts w:eastAsia="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A119B"/>
    <w:pPr>
      <w:tabs>
        <w:tab w:val="center" w:pos="4153"/>
        <w:tab w:val="right" w:pos="8306"/>
      </w:tabs>
    </w:pPr>
    <w:rPr>
      <w:lang w:val="lt-LT"/>
    </w:rPr>
  </w:style>
  <w:style w:type="character" w:customStyle="1" w:styleId="AntratsDiagrama">
    <w:name w:val="Antraštės Diagrama"/>
    <w:basedOn w:val="Numatytasispastraiposriftas"/>
    <w:link w:val="Antrats"/>
    <w:uiPriority w:val="99"/>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lang w:val="lt-LT"/>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119B"/>
    <w:pPr>
      <w:spacing w:line="240" w:lineRule="auto"/>
    </w:pPr>
    <w:rPr>
      <w:rFonts w:eastAsia="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A119B"/>
    <w:pPr>
      <w:tabs>
        <w:tab w:val="center" w:pos="4153"/>
        <w:tab w:val="right" w:pos="8306"/>
      </w:tabs>
    </w:pPr>
    <w:rPr>
      <w:lang w:val="lt-LT"/>
    </w:rPr>
  </w:style>
  <w:style w:type="character" w:customStyle="1" w:styleId="AntratsDiagrama">
    <w:name w:val="Antraštės Diagrama"/>
    <w:basedOn w:val="Numatytasispastraiposriftas"/>
    <w:link w:val="Antrats"/>
    <w:uiPriority w:val="99"/>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lang w:val="lt-LT"/>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619796">
      <w:bodyDiv w:val="1"/>
      <w:marLeft w:val="0"/>
      <w:marRight w:val="0"/>
      <w:marTop w:val="0"/>
      <w:marBottom w:val="0"/>
      <w:divBdr>
        <w:top w:val="none" w:sz="0" w:space="0" w:color="auto"/>
        <w:left w:val="none" w:sz="0" w:space="0" w:color="auto"/>
        <w:bottom w:val="none" w:sz="0" w:space="0" w:color="auto"/>
        <w:right w:val="none" w:sz="0" w:space="0" w:color="auto"/>
      </w:divBdr>
    </w:div>
    <w:div w:id="178704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ndra.sarkute@vrm.lt" TargetMode="External"/><Relationship Id="rId4" Type="http://schemas.openxmlformats.org/officeDocument/2006/relationships/settings" Target="settings.xml"/><Relationship Id="rId9" Type="http://schemas.openxmlformats.org/officeDocument/2006/relationships/hyperlink" Target="mailto:bendrasisd@vrm.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3172</Words>
  <Characters>1809</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m05493</dc:creator>
  <cp:lastModifiedBy>Rita Pūkienė</cp:lastModifiedBy>
  <cp:revision>2</cp:revision>
  <cp:lastPrinted>2017-02-21T13:41:00Z</cp:lastPrinted>
  <dcterms:created xsi:type="dcterms:W3CDTF">2020-04-20T08:04:00Z</dcterms:created>
  <dcterms:modified xsi:type="dcterms:W3CDTF">2020-04-20T08:04:00Z</dcterms:modified>
</cp:coreProperties>
</file>