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5230" w:rsidRDefault="00B25230"/>
    <w:tbl>
      <w:tblPr>
        <w:tblW w:w="95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1417"/>
        <w:gridCol w:w="426"/>
        <w:gridCol w:w="2954"/>
      </w:tblGrid>
      <w:tr w:rsidR="00D74117" w:rsidRPr="00C215DC" w:rsidTr="009B1563">
        <w:trPr>
          <w:cantSplit/>
          <w:trHeight w:val="270"/>
          <w:jc w:val="center"/>
        </w:trPr>
        <w:tc>
          <w:tcPr>
            <w:tcW w:w="4800" w:type="dxa"/>
            <w:vMerge w:val="restart"/>
          </w:tcPr>
          <w:p w:rsidR="00D74117" w:rsidRDefault="00D74117" w:rsidP="009B1563">
            <w:r>
              <w:t>Lietuvos Respublikos finansų ministerijos</w:t>
            </w:r>
          </w:p>
          <w:p w:rsidR="00D74117" w:rsidRPr="00597382" w:rsidRDefault="00D74117" w:rsidP="009B1563">
            <w:r>
              <w:t>Biudžeto departamentui</w:t>
            </w:r>
          </w:p>
        </w:tc>
        <w:tc>
          <w:tcPr>
            <w:tcW w:w="1417" w:type="dxa"/>
          </w:tcPr>
          <w:p w:rsidR="00D74117" w:rsidRPr="00C215DC" w:rsidRDefault="00D74117" w:rsidP="009B1563">
            <w:r>
              <w:t xml:space="preserve">    2020-0</w:t>
            </w:r>
            <w:r w:rsidR="00F64D6C">
              <w:t>4</w:t>
            </w:r>
            <w:r w:rsidR="00DE69A3">
              <w:t>-</w:t>
            </w:r>
            <w:r w:rsidR="00F64D6C">
              <w:t>21</w:t>
            </w:r>
            <w:r>
              <w:t xml:space="preserve"> </w:t>
            </w:r>
          </w:p>
        </w:tc>
        <w:tc>
          <w:tcPr>
            <w:tcW w:w="426" w:type="dxa"/>
          </w:tcPr>
          <w:p w:rsidR="00D74117" w:rsidRPr="00C215DC" w:rsidRDefault="00D74117" w:rsidP="009B1563">
            <w:r>
              <w:t xml:space="preserve"> </w:t>
            </w:r>
            <w:r w:rsidRPr="00C215DC">
              <w:t>Nr.</w:t>
            </w:r>
          </w:p>
        </w:tc>
        <w:tc>
          <w:tcPr>
            <w:tcW w:w="2954" w:type="dxa"/>
          </w:tcPr>
          <w:p w:rsidR="00D74117" w:rsidRPr="00C215DC" w:rsidRDefault="00D74117" w:rsidP="009B1563">
            <w:r>
              <w:t xml:space="preserve">( 9.3.3-12) </w:t>
            </w:r>
            <w:r w:rsidRPr="004058B2">
              <w:t>10-</w:t>
            </w:r>
          </w:p>
        </w:tc>
      </w:tr>
      <w:tr w:rsidR="00D74117" w:rsidRPr="00C215DC" w:rsidTr="009B1563">
        <w:trPr>
          <w:cantSplit/>
          <w:trHeight w:val="270"/>
          <w:jc w:val="center"/>
        </w:trPr>
        <w:tc>
          <w:tcPr>
            <w:tcW w:w="4800" w:type="dxa"/>
            <w:vMerge/>
          </w:tcPr>
          <w:p w:rsidR="00D74117" w:rsidRPr="00C215DC" w:rsidRDefault="00D74117" w:rsidP="009B1563">
            <w:pPr>
              <w:ind w:right="708"/>
            </w:pPr>
          </w:p>
        </w:tc>
        <w:tc>
          <w:tcPr>
            <w:tcW w:w="1417" w:type="dxa"/>
          </w:tcPr>
          <w:p w:rsidR="00D74117" w:rsidRPr="00C215DC" w:rsidRDefault="00D74117" w:rsidP="009B1563">
            <w:pPr>
              <w:ind w:right="-142"/>
            </w:pPr>
          </w:p>
        </w:tc>
        <w:tc>
          <w:tcPr>
            <w:tcW w:w="426" w:type="dxa"/>
          </w:tcPr>
          <w:p w:rsidR="00D74117" w:rsidRPr="00C215DC" w:rsidRDefault="00D74117" w:rsidP="009B1563"/>
        </w:tc>
        <w:tc>
          <w:tcPr>
            <w:tcW w:w="2954" w:type="dxa"/>
          </w:tcPr>
          <w:p w:rsidR="00D74117" w:rsidRPr="00C215DC" w:rsidRDefault="00D74117" w:rsidP="009B1563"/>
        </w:tc>
      </w:tr>
      <w:tr w:rsidR="00D74117" w:rsidRPr="00C215DC" w:rsidTr="009B1563">
        <w:trPr>
          <w:cantSplit/>
          <w:trHeight w:val="270"/>
          <w:jc w:val="center"/>
        </w:trPr>
        <w:tc>
          <w:tcPr>
            <w:tcW w:w="4800" w:type="dxa"/>
            <w:vMerge/>
          </w:tcPr>
          <w:p w:rsidR="00D74117" w:rsidRPr="00C215DC" w:rsidRDefault="00D74117" w:rsidP="009B1563">
            <w:pPr>
              <w:ind w:right="708"/>
            </w:pPr>
          </w:p>
        </w:tc>
        <w:tc>
          <w:tcPr>
            <w:tcW w:w="1417" w:type="dxa"/>
          </w:tcPr>
          <w:p w:rsidR="00D74117" w:rsidRPr="00C215DC" w:rsidRDefault="00D74117" w:rsidP="009B1563">
            <w:pPr>
              <w:ind w:right="-142"/>
            </w:pPr>
          </w:p>
        </w:tc>
        <w:tc>
          <w:tcPr>
            <w:tcW w:w="426" w:type="dxa"/>
          </w:tcPr>
          <w:p w:rsidR="00D74117" w:rsidRPr="00C215DC" w:rsidRDefault="00D74117" w:rsidP="009B1563"/>
        </w:tc>
        <w:tc>
          <w:tcPr>
            <w:tcW w:w="2954" w:type="dxa"/>
          </w:tcPr>
          <w:p w:rsidR="00D74117" w:rsidRPr="00C215DC" w:rsidRDefault="00D74117" w:rsidP="009B1563"/>
        </w:tc>
      </w:tr>
    </w:tbl>
    <w:p w:rsidR="00B25230" w:rsidRDefault="00B25230" w:rsidP="00D74117">
      <w:pPr>
        <w:tabs>
          <w:tab w:val="left" w:pos="1260"/>
          <w:tab w:val="left" w:pos="7545"/>
        </w:tabs>
        <w:rPr>
          <w:b/>
          <w:bCs/>
        </w:rPr>
      </w:pPr>
    </w:p>
    <w:p w:rsidR="00D74117" w:rsidRPr="00CB42D1" w:rsidRDefault="00D74117" w:rsidP="00B25230">
      <w:pPr>
        <w:tabs>
          <w:tab w:val="left" w:pos="1260"/>
          <w:tab w:val="left" w:pos="7545"/>
        </w:tabs>
        <w:ind w:right="140"/>
        <w:rPr>
          <w:b/>
          <w:bCs/>
        </w:rPr>
      </w:pPr>
      <w:r w:rsidRPr="00CB42D1">
        <w:rPr>
          <w:b/>
          <w:bCs/>
        </w:rPr>
        <w:t>DĖL 20</w:t>
      </w:r>
      <w:r>
        <w:rPr>
          <w:b/>
          <w:bCs/>
        </w:rPr>
        <w:t>20</w:t>
      </w:r>
      <w:r w:rsidRPr="00CB42D1">
        <w:rPr>
          <w:b/>
          <w:bCs/>
        </w:rPr>
        <w:t xml:space="preserve"> METŲ </w:t>
      </w:r>
      <w:r>
        <w:rPr>
          <w:b/>
          <w:bCs/>
        </w:rPr>
        <w:t>ASIGNAVIMŲ PASKIRSTYMO PAGAL PROGRAMAS PAKEITIMO</w:t>
      </w:r>
      <w:r w:rsidRPr="00CB42D1">
        <w:rPr>
          <w:b/>
          <w:bCs/>
        </w:rPr>
        <w:t xml:space="preserve"> </w:t>
      </w:r>
    </w:p>
    <w:p w:rsidR="00D74117" w:rsidRDefault="00D74117" w:rsidP="00B25230">
      <w:pPr>
        <w:pStyle w:val="Pagrindinistekstas3"/>
        <w:tabs>
          <w:tab w:val="left" w:pos="900"/>
        </w:tabs>
        <w:spacing w:after="0"/>
        <w:ind w:right="140"/>
        <w:jc w:val="both"/>
      </w:pPr>
      <w:r w:rsidRPr="00CB42D1">
        <w:rPr>
          <w:sz w:val="24"/>
          <w:szCs w:val="24"/>
        </w:rPr>
        <w:tab/>
      </w:r>
    </w:p>
    <w:p w:rsidR="00B25230" w:rsidRDefault="00D74117" w:rsidP="00B25230">
      <w:pPr>
        <w:pStyle w:val="Pagrindinistekstas"/>
        <w:ind w:right="140"/>
      </w:pPr>
      <w:r>
        <w:t xml:space="preserve">         </w:t>
      </w:r>
    </w:p>
    <w:p w:rsidR="00D74117" w:rsidRDefault="00D74117" w:rsidP="00B25230">
      <w:pPr>
        <w:pStyle w:val="Pagrindinistekstas"/>
        <w:ind w:right="140" w:firstLine="567"/>
      </w:pPr>
      <w:r>
        <w:t xml:space="preserve"> Sveikatos apsaugos ministerija (toliau – Ministerija) vadovaudamasi Lietuvos Respublikos Vyriausybės 2001 m. gegužės 14 d. nutarimo Nr. 543 „Dėl Lietuvos Respublikos valstybės biudžeto ir savivaldybių biudžetų sudarymo ir vykdymo taisyklių patvirtinimo“ 18 punktu, prašo įtraukti siūlymus į </w:t>
      </w:r>
      <w:r w:rsidRPr="00CA6648">
        <w:t xml:space="preserve">Lietuvos Respublikos Vyriausybės nutarimo ,,Dėl Lietuvos Respublikos Vyriausybės </w:t>
      </w:r>
      <w:r w:rsidRPr="00D74117">
        <w:t>2020 m. vasario 12 d. nutarimo Nr. 108</w:t>
      </w:r>
      <w:r>
        <w:t xml:space="preserve"> </w:t>
      </w:r>
      <w:r w:rsidRPr="00CA6648">
        <w:t>,,Dėl 20</w:t>
      </w:r>
      <w:r>
        <w:t>20</w:t>
      </w:r>
      <w:r w:rsidRPr="00CA6648">
        <w:t xml:space="preserve"> metų Lietuvos Respublikos valstybės biudžeto patvirtintų asignavimų paskirstymo pagal programas“ pakeitimo projektą</w:t>
      </w:r>
      <w:r>
        <w:t xml:space="preserve"> pagal lentelę: </w:t>
      </w:r>
    </w:p>
    <w:p w:rsidR="00B25230" w:rsidRDefault="00B25230" w:rsidP="00B25230">
      <w:pPr>
        <w:pStyle w:val="Pagrindinistekstas"/>
        <w:ind w:right="140"/>
      </w:pPr>
    </w:p>
    <w:tbl>
      <w:tblPr>
        <w:tblW w:w="9214" w:type="dxa"/>
        <w:tblInd w:w="118" w:type="dxa"/>
        <w:tblLook w:val="04A0" w:firstRow="1" w:lastRow="0" w:firstColumn="1" w:lastColumn="0" w:noHBand="0" w:noVBand="1"/>
      </w:tblPr>
      <w:tblGrid>
        <w:gridCol w:w="1310"/>
        <w:gridCol w:w="1539"/>
        <w:gridCol w:w="1401"/>
        <w:gridCol w:w="1371"/>
        <w:gridCol w:w="1201"/>
        <w:gridCol w:w="1468"/>
        <w:gridCol w:w="924"/>
      </w:tblGrid>
      <w:tr w:rsidR="00D74117" w:rsidRPr="00402AB2" w:rsidTr="00B25230">
        <w:trPr>
          <w:trHeight w:val="330"/>
        </w:trPr>
        <w:tc>
          <w:tcPr>
            <w:tcW w:w="13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117" w:rsidRPr="00402AB2" w:rsidRDefault="00D74117" w:rsidP="00B25230">
            <w:pPr>
              <w:ind w:right="14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75FE8">
              <w:rPr>
                <w:sz w:val="22"/>
                <w:szCs w:val="22"/>
              </w:rPr>
              <w:t xml:space="preserve"> </w:t>
            </w:r>
            <w:r w:rsidRPr="00402AB2">
              <w:rPr>
                <w:color w:val="000000"/>
                <w:sz w:val="22"/>
                <w:szCs w:val="22"/>
                <w:lang w:eastAsia="lt-LT"/>
              </w:rPr>
              <w:t>Programos kodas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117" w:rsidRPr="00402AB2" w:rsidRDefault="00D74117" w:rsidP="00B25230">
            <w:pPr>
              <w:ind w:left="-126" w:right="140" w:firstLine="126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02AB2">
              <w:rPr>
                <w:color w:val="000000"/>
                <w:sz w:val="22"/>
                <w:szCs w:val="22"/>
                <w:lang w:eastAsia="lt-LT"/>
              </w:rPr>
              <w:t>Programos pavadinimas</w:t>
            </w:r>
          </w:p>
        </w:tc>
        <w:tc>
          <w:tcPr>
            <w:tcW w:w="14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74117" w:rsidRDefault="00D74117" w:rsidP="00B25230">
            <w:pPr>
              <w:ind w:right="14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  <w:p w:rsidR="00D74117" w:rsidRDefault="00D74117" w:rsidP="00B25230">
            <w:pPr>
              <w:ind w:right="140"/>
              <w:rPr>
                <w:color w:val="000000"/>
                <w:sz w:val="22"/>
                <w:szCs w:val="22"/>
                <w:lang w:eastAsia="lt-LT"/>
              </w:rPr>
            </w:pPr>
          </w:p>
          <w:p w:rsidR="00D74117" w:rsidRPr="00D74117" w:rsidRDefault="00D74117" w:rsidP="00B25230">
            <w:pPr>
              <w:ind w:right="14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funkcija</w:t>
            </w:r>
          </w:p>
        </w:tc>
        <w:tc>
          <w:tcPr>
            <w:tcW w:w="13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117" w:rsidRPr="00402AB2" w:rsidRDefault="00D74117" w:rsidP="00B25230">
            <w:pPr>
              <w:ind w:right="14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02AB2">
              <w:rPr>
                <w:color w:val="000000"/>
                <w:sz w:val="22"/>
                <w:szCs w:val="22"/>
                <w:lang w:eastAsia="lt-LT"/>
              </w:rPr>
              <w:t>iš viso asignavimų</w:t>
            </w:r>
          </w:p>
        </w:tc>
        <w:tc>
          <w:tcPr>
            <w:tcW w:w="35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117" w:rsidRPr="00402AB2" w:rsidRDefault="00D74117" w:rsidP="00B25230">
            <w:pPr>
              <w:ind w:right="14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02AB2">
              <w:rPr>
                <w:color w:val="000000"/>
                <w:sz w:val="22"/>
                <w:szCs w:val="22"/>
                <w:lang w:eastAsia="lt-LT"/>
              </w:rPr>
              <w:t>iš jų</w:t>
            </w:r>
          </w:p>
        </w:tc>
      </w:tr>
      <w:tr w:rsidR="00D74117" w:rsidRPr="00402AB2" w:rsidTr="00B25230">
        <w:trPr>
          <w:trHeight w:val="330"/>
        </w:trPr>
        <w:tc>
          <w:tcPr>
            <w:tcW w:w="13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117" w:rsidRPr="00402AB2" w:rsidRDefault="00D74117" w:rsidP="00B25230">
            <w:pPr>
              <w:ind w:right="14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117" w:rsidRPr="00402AB2" w:rsidRDefault="00D74117" w:rsidP="00B25230">
            <w:pPr>
              <w:ind w:right="14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4117" w:rsidRPr="00402AB2" w:rsidRDefault="00D74117" w:rsidP="00B25230">
            <w:pPr>
              <w:ind w:right="14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117" w:rsidRPr="00402AB2" w:rsidRDefault="00D74117" w:rsidP="00B25230">
            <w:pPr>
              <w:ind w:right="14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117" w:rsidRPr="00402AB2" w:rsidRDefault="00D74117" w:rsidP="00B25230">
            <w:pPr>
              <w:ind w:right="14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02AB2">
              <w:rPr>
                <w:color w:val="000000"/>
                <w:sz w:val="22"/>
                <w:szCs w:val="22"/>
                <w:lang w:eastAsia="lt-LT"/>
              </w:rPr>
              <w:t>išlaidoms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117" w:rsidRPr="00402AB2" w:rsidRDefault="00D74117" w:rsidP="00B25230">
            <w:pPr>
              <w:ind w:right="14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02AB2">
              <w:rPr>
                <w:color w:val="000000"/>
                <w:sz w:val="22"/>
                <w:szCs w:val="22"/>
                <w:lang w:eastAsia="lt-LT"/>
              </w:rPr>
              <w:t>iš jų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117" w:rsidRPr="00402AB2" w:rsidRDefault="00D74117" w:rsidP="00B25230">
            <w:pPr>
              <w:ind w:right="14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02AB2">
              <w:rPr>
                <w:color w:val="000000"/>
                <w:sz w:val="22"/>
                <w:szCs w:val="22"/>
                <w:lang w:eastAsia="lt-LT"/>
              </w:rPr>
              <w:t>turtui įsigyti</w:t>
            </w:r>
          </w:p>
        </w:tc>
      </w:tr>
      <w:tr w:rsidR="00D74117" w:rsidRPr="00402AB2" w:rsidTr="00B25230">
        <w:trPr>
          <w:trHeight w:val="461"/>
        </w:trPr>
        <w:tc>
          <w:tcPr>
            <w:tcW w:w="13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4117" w:rsidRPr="00402AB2" w:rsidRDefault="00D74117" w:rsidP="00B25230">
            <w:pPr>
              <w:ind w:right="14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4117" w:rsidRPr="00402AB2" w:rsidRDefault="00D74117" w:rsidP="00B25230">
            <w:pPr>
              <w:ind w:right="14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4117" w:rsidRPr="00402AB2" w:rsidRDefault="00D74117" w:rsidP="00B25230">
            <w:pPr>
              <w:ind w:right="14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117" w:rsidRPr="00402AB2" w:rsidRDefault="00D74117" w:rsidP="00B25230">
            <w:pPr>
              <w:ind w:right="14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117" w:rsidRPr="00402AB2" w:rsidRDefault="00D74117" w:rsidP="00B25230">
            <w:pPr>
              <w:ind w:right="14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117" w:rsidRPr="00402AB2" w:rsidRDefault="00D74117" w:rsidP="00B25230">
            <w:pPr>
              <w:ind w:right="14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02AB2">
              <w:rPr>
                <w:color w:val="000000"/>
                <w:sz w:val="22"/>
                <w:szCs w:val="22"/>
                <w:lang w:eastAsia="lt-LT"/>
              </w:rPr>
              <w:t>darbo užmokesčiui</w:t>
            </w:r>
          </w:p>
        </w:tc>
        <w:tc>
          <w:tcPr>
            <w:tcW w:w="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117" w:rsidRPr="00402AB2" w:rsidRDefault="00D74117" w:rsidP="00B25230">
            <w:pPr>
              <w:ind w:right="140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C03B6F" w:rsidRPr="00402AB2" w:rsidTr="00B25230">
        <w:trPr>
          <w:trHeight w:val="313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6F" w:rsidRPr="00402AB2" w:rsidRDefault="00C03B6F" w:rsidP="00B25230">
            <w:pPr>
              <w:ind w:right="14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02AB2">
              <w:rPr>
                <w:color w:val="000000"/>
                <w:sz w:val="22"/>
                <w:szCs w:val="22"/>
                <w:lang w:eastAsia="lt-LT"/>
              </w:rPr>
              <w:t>01 10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6F" w:rsidRPr="00402AB2" w:rsidRDefault="00C03B6F" w:rsidP="00B25230">
            <w:pPr>
              <w:ind w:right="14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02AB2">
              <w:rPr>
                <w:color w:val="000000"/>
                <w:sz w:val="22"/>
                <w:szCs w:val="22"/>
                <w:lang w:eastAsia="lt-LT"/>
              </w:rPr>
              <w:t>Visuomenės sveikatos stiprinimas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3" w:rsidRDefault="00FA38A3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</w:p>
          <w:p w:rsidR="00C03B6F" w:rsidRPr="00FA38A3" w:rsidRDefault="00FA38A3" w:rsidP="00B25230">
            <w:pPr>
              <w:ind w:right="14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FA38A3">
              <w:rPr>
                <w:sz w:val="22"/>
                <w:szCs w:val="22"/>
                <w:lang w:eastAsia="lt-LT"/>
              </w:rPr>
              <w:t>07.04.01.02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B6F" w:rsidRPr="009F67EC" w:rsidRDefault="00B25230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  <w:r w:rsidRPr="009F67EC">
              <w:rPr>
                <w:sz w:val="22"/>
                <w:szCs w:val="22"/>
                <w:lang w:eastAsia="lt-LT"/>
              </w:rPr>
              <w:t>-33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B6F" w:rsidRPr="009F67EC" w:rsidRDefault="00B25230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  <w:r w:rsidRPr="009F67EC">
              <w:rPr>
                <w:sz w:val="22"/>
                <w:szCs w:val="22"/>
                <w:lang w:eastAsia="lt-LT"/>
              </w:rPr>
              <w:t>-33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B6F" w:rsidRPr="009F67EC" w:rsidRDefault="00B25230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  <w:r w:rsidRPr="009F67EC">
              <w:rPr>
                <w:sz w:val="22"/>
                <w:szCs w:val="22"/>
                <w:lang w:eastAsia="lt-LT"/>
              </w:rPr>
              <w:t>-32</w:t>
            </w: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3B6F" w:rsidRPr="009F67EC" w:rsidRDefault="00C03B6F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3B49AD" w:rsidRPr="00402AB2" w:rsidTr="00B25230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AD" w:rsidRPr="00402AB2" w:rsidRDefault="003B49AD" w:rsidP="00B25230">
            <w:pPr>
              <w:ind w:right="14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02AB2">
              <w:rPr>
                <w:color w:val="000000"/>
                <w:sz w:val="22"/>
                <w:szCs w:val="22"/>
                <w:lang w:eastAsia="lt-LT"/>
              </w:rPr>
              <w:t>02 2</w:t>
            </w:r>
            <w:r w:rsidR="00F64D6C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AD" w:rsidRPr="00402AB2" w:rsidRDefault="00FA38A3" w:rsidP="00B25230">
            <w:pPr>
              <w:ind w:right="14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Asmens sveikatos priežiūros kokybės užtikrinimas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3" w:rsidRDefault="00FA38A3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</w:p>
          <w:p w:rsidR="00B25230" w:rsidRDefault="00B25230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</w:p>
          <w:p w:rsidR="003B49AD" w:rsidRPr="003B49AD" w:rsidRDefault="003B49AD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07.06.01.02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9AD" w:rsidRPr="009F67EC" w:rsidRDefault="009F67EC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+</w:t>
            </w:r>
            <w:r w:rsidR="00B25230" w:rsidRPr="009F67EC">
              <w:rPr>
                <w:sz w:val="22"/>
                <w:szCs w:val="22"/>
                <w:lang w:eastAsia="lt-LT"/>
              </w:rPr>
              <w:t>33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9AD" w:rsidRPr="009F67EC" w:rsidRDefault="009F67EC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+</w:t>
            </w:r>
            <w:r w:rsidR="00B25230" w:rsidRPr="009F67EC">
              <w:rPr>
                <w:sz w:val="22"/>
                <w:szCs w:val="22"/>
                <w:lang w:eastAsia="lt-LT"/>
              </w:rPr>
              <w:t>33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9AD" w:rsidRPr="009F67EC" w:rsidRDefault="009F67EC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+</w:t>
            </w:r>
            <w:r w:rsidR="00B25230" w:rsidRPr="009F67EC">
              <w:rPr>
                <w:sz w:val="22"/>
                <w:szCs w:val="22"/>
                <w:lang w:eastAsia="lt-LT"/>
              </w:rPr>
              <w:t>32</w:t>
            </w: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9AD" w:rsidRPr="009F67EC" w:rsidRDefault="003B49AD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FA38A3" w:rsidRPr="00402AB2" w:rsidTr="00B25230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A3" w:rsidRPr="00402AB2" w:rsidRDefault="00FA38A3" w:rsidP="00B25230">
            <w:pPr>
              <w:ind w:right="14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38A3" w:rsidRPr="00402AB2" w:rsidRDefault="00FA38A3" w:rsidP="00B25230">
            <w:pPr>
              <w:ind w:right="14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3" w:rsidRDefault="00FA38A3" w:rsidP="00B25230">
            <w:pPr>
              <w:ind w:right="14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A3" w:rsidRPr="009F67EC" w:rsidRDefault="00B25230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  <w:r w:rsidRPr="009F67EC"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A3" w:rsidRPr="009F67EC" w:rsidRDefault="00B25230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  <w:r w:rsidRPr="009F67EC"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A3" w:rsidRPr="009F67EC" w:rsidRDefault="00B25230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  <w:r w:rsidRPr="009F67EC"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A3" w:rsidRPr="009F67EC" w:rsidRDefault="00B25230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  <w:r w:rsidRPr="009F67EC">
              <w:rPr>
                <w:sz w:val="22"/>
                <w:szCs w:val="22"/>
                <w:lang w:eastAsia="lt-LT"/>
              </w:rPr>
              <w:t>0</w:t>
            </w:r>
          </w:p>
        </w:tc>
      </w:tr>
    </w:tbl>
    <w:p w:rsidR="00B25230" w:rsidRDefault="00B25230" w:rsidP="00B25230">
      <w:pPr>
        <w:tabs>
          <w:tab w:val="left" w:pos="709"/>
        </w:tabs>
        <w:ind w:right="140" w:firstLine="567"/>
        <w:jc w:val="both"/>
      </w:pPr>
    </w:p>
    <w:p w:rsidR="004731C3" w:rsidRDefault="009708E7" w:rsidP="00B25230">
      <w:pPr>
        <w:tabs>
          <w:tab w:val="left" w:pos="709"/>
        </w:tabs>
        <w:ind w:right="140" w:firstLine="567"/>
        <w:jc w:val="both"/>
      </w:pPr>
      <w:r>
        <w:t>Informuojame, kad Ministerija kreipėsi į Finansų ministeriją dėl papildomų valstybės asignavimų skyrimo gydytojų odontologų ir burnos specialistų bei  odontologijos priežiūros (pagalbos) įstaigų licencijavimui vykdyti įgyvendinant 2019 m. gruodžio 10 d.</w:t>
      </w:r>
      <w:r w:rsidRPr="009708E7">
        <w:t xml:space="preserve"> </w:t>
      </w:r>
      <w:r>
        <w:t xml:space="preserve">Lietuvos Respublikos odontologijos praktikos įstatymo Nr. I-1246 pakeitimo įstatymo Nr. XIII-2641 ir Odontologų rūmų įstatymo Nr. IX-1929 </w:t>
      </w:r>
      <w:r w:rsidR="0068409B">
        <w:t xml:space="preserve">(toliau – Įstatymai) </w:t>
      </w:r>
      <w:r>
        <w:t xml:space="preserve">pripažinimo netekusiu galios įstatymo nuostatas. Finansų ministerija informavo, kad skirti papildomų lėšų finansinės galimybės neturi. </w:t>
      </w:r>
    </w:p>
    <w:p w:rsidR="009708E7" w:rsidRDefault="009708E7" w:rsidP="00B25230">
      <w:pPr>
        <w:tabs>
          <w:tab w:val="left" w:pos="709"/>
        </w:tabs>
        <w:ind w:right="140" w:firstLine="567"/>
        <w:jc w:val="both"/>
      </w:pPr>
      <w:r>
        <w:t>Atsižvel</w:t>
      </w:r>
      <w:r w:rsidR="0068409B">
        <w:t xml:space="preserve">gdama į </w:t>
      </w:r>
      <w:r w:rsidR="002677C0">
        <w:t>šių</w:t>
      </w:r>
      <w:r w:rsidR="0068409B">
        <w:t xml:space="preserve"> funkcijų svarbą, Ministerija numato iš </w:t>
      </w:r>
      <w:r w:rsidR="002677C0">
        <w:t>v</w:t>
      </w:r>
      <w:r w:rsidR="0068409B">
        <w:t>isuomenės sveikatos įstaigų reorganizacijai numatytų lėšų, skirti Valstybinei akreditavimo sveikatos priežiūros tarnybai prie Sveikatos apsaugos ministerijos 33</w:t>
      </w:r>
      <w:r w:rsidR="00B25230">
        <w:t>,0</w:t>
      </w:r>
      <w:r w:rsidR="0068409B">
        <w:t xml:space="preserve"> tūkst. eurų, iš jų 32,0 tūkst. eurų darbo užmokesčiui dviejų pareigybių </w:t>
      </w:r>
      <w:r w:rsidR="0068409B">
        <w:rPr>
          <w:color w:val="000000"/>
        </w:rPr>
        <w:t>išlaikymui</w:t>
      </w:r>
      <w:r w:rsidR="0068409B">
        <w:t xml:space="preserve"> nuo 2020 m. gegužės 1 d.</w:t>
      </w:r>
      <w:r w:rsidR="002677C0">
        <w:t>, kadangi įstaiga neturi finansinių galimybių.</w:t>
      </w:r>
      <w:r w:rsidR="0068409B">
        <w:t xml:space="preserve"> </w:t>
      </w:r>
    </w:p>
    <w:p w:rsidR="004731C3" w:rsidRDefault="004731C3" w:rsidP="00B25230">
      <w:pPr>
        <w:pStyle w:val="statymopavad"/>
        <w:spacing w:line="240" w:lineRule="auto"/>
        <w:ind w:right="140" w:firstLine="567"/>
        <w:jc w:val="both"/>
        <w:rPr>
          <w:rFonts w:ascii="Times New Roman" w:hAnsi="Times New Roman" w:cs="Times New Roman"/>
          <w:caps w:val="0"/>
        </w:rPr>
      </w:pPr>
      <w:r>
        <w:rPr>
          <w:rFonts w:ascii="Times New Roman" w:hAnsi="Times New Roman" w:cs="Times New Roman"/>
          <w:caps w:val="0"/>
        </w:rPr>
        <w:t xml:space="preserve">Pažymime, kad Įstatymų Aiškinamajame rašte buvo nurodyta, kad </w:t>
      </w:r>
      <w:r w:rsidRPr="00555EAC">
        <w:rPr>
          <w:rFonts w:ascii="Times New Roman" w:hAnsi="Times New Roman" w:cs="Times New Roman"/>
          <w:caps w:val="0"/>
        </w:rPr>
        <w:t>odontologų ir burnos priežiūros specialistų bei</w:t>
      </w:r>
      <w:r w:rsidRPr="00555EAC">
        <w:rPr>
          <w:rFonts w:ascii="Times New Roman" w:hAnsi="Times New Roman" w:cs="Times New Roman"/>
          <w:caps w:val="0"/>
          <w:lang w:eastAsia="lt-LT"/>
        </w:rPr>
        <w:t xml:space="preserve"> odontologinės priežiūros (pagalbos) įstaigų </w:t>
      </w:r>
      <w:r w:rsidRPr="00555EAC">
        <w:rPr>
          <w:rFonts w:ascii="Times New Roman" w:hAnsi="Times New Roman" w:cs="Times New Roman"/>
          <w:caps w:val="0"/>
          <w:color w:val="000000"/>
        </w:rPr>
        <w:t>licencijavim</w:t>
      </w:r>
      <w:r>
        <w:rPr>
          <w:rFonts w:ascii="Times New Roman" w:hAnsi="Times New Roman" w:cs="Times New Roman"/>
          <w:caps w:val="0"/>
          <w:color w:val="000000"/>
        </w:rPr>
        <w:t>o vykdymui</w:t>
      </w:r>
      <w:r w:rsidRPr="00555EAC">
        <w:rPr>
          <w:rFonts w:ascii="Times New Roman" w:hAnsi="Times New Roman" w:cs="Times New Roman"/>
          <w:caps w:val="0"/>
          <w:color w:val="000000"/>
        </w:rPr>
        <w:t xml:space="preserve"> reikės skirti </w:t>
      </w:r>
      <w:r>
        <w:rPr>
          <w:rFonts w:ascii="Times New Roman" w:hAnsi="Times New Roman" w:cs="Times New Roman"/>
          <w:caps w:val="0"/>
          <w:color w:val="000000"/>
        </w:rPr>
        <w:t xml:space="preserve">52,7 tūkst. eurų dviejų papildomų pareigybių, iš jų 5,0 tūkst. eurų jų </w:t>
      </w:r>
      <w:r w:rsidRPr="00555EAC">
        <w:rPr>
          <w:rFonts w:ascii="Times New Roman" w:hAnsi="Times New Roman" w:cs="Times New Roman"/>
          <w:caps w:val="0"/>
        </w:rPr>
        <w:t>darbo vietoms paruošti</w:t>
      </w:r>
      <w:r>
        <w:rPr>
          <w:rFonts w:ascii="Times New Roman" w:hAnsi="Times New Roman" w:cs="Times New Roman"/>
          <w:caps w:val="0"/>
        </w:rPr>
        <w:t>, tačiau Įstatymų įgyvendinimui papildomų valstybės biudžeto asignavimų Sveikatos apsaugos ministerijai 2020 m. neskirta.</w:t>
      </w:r>
    </w:p>
    <w:p w:rsidR="00B25230" w:rsidRDefault="00B25230" w:rsidP="00B25230">
      <w:pPr>
        <w:pStyle w:val="statymopavad"/>
        <w:spacing w:line="240" w:lineRule="auto"/>
        <w:ind w:right="140" w:firstLine="567"/>
        <w:jc w:val="both"/>
        <w:rPr>
          <w:rFonts w:ascii="Times New Roman" w:hAnsi="Times New Roman" w:cs="Times New Roman"/>
          <w:caps w:val="0"/>
        </w:rPr>
      </w:pPr>
      <w:r>
        <w:rPr>
          <w:rFonts w:ascii="Times New Roman" w:hAnsi="Times New Roman" w:cs="Times New Roman"/>
          <w:caps w:val="0"/>
        </w:rPr>
        <w:lastRenderedPageBreak/>
        <w:t>Taip pat Ministerija numato kreiptis į Lietuvos Respublikos Vyriausybę ir Finansų ministeriją dėl 2021-2023 m. papildomų lėšų skyrimo naujoms funkcijoms užtikrinti.</w:t>
      </w:r>
    </w:p>
    <w:p w:rsidR="0068409B" w:rsidRPr="00555EAC" w:rsidRDefault="0068409B" w:rsidP="00B25230">
      <w:pPr>
        <w:pStyle w:val="statymopavad"/>
        <w:spacing w:line="240" w:lineRule="auto"/>
        <w:ind w:right="-2" w:firstLine="0"/>
        <w:jc w:val="both"/>
        <w:rPr>
          <w:rFonts w:ascii="Times New Roman" w:hAnsi="Times New Roman" w:cs="Times New Roman"/>
          <w:caps w:val="0"/>
          <w:color w:val="000000"/>
        </w:rPr>
      </w:pPr>
    </w:p>
    <w:p w:rsidR="00B25230" w:rsidRDefault="00B25230" w:rsidP="00B25230"/>
    <w:p w:rsidR="00B25230" w:rsidRDefault="00B25230" w:rsidP="00B25230"/>
    <w:p w:rsidR="00B25230" w:rsidRDefault="00B25230" w:rsidP="00B25230">
      <w:r>
        <w:t xml:space="preserve">Asmens departamento direktorė, </w:t>
      </w:r>
    </w:p>
    <w:p w:rsidR="00B25230" w:rsidRDefault="00B25230" w:rsidP="00B25230">
      <w:pPr>
        <w:rPr>
          <w:rFonts w:ascii="Arial" w:hAnsi="Arial" w:cs="Arial"/>
        </w:rPr>
      </w:pPr>
      <w:r>
        <w:t xml:space="preserve">laikinai vykdanti ministerijos kanclerio funkcijas </w:t>
      </w:r>
      <w:r>
        <w:tab/>
      </w:r>
      <w:r>
        <w:tab/>
        <w:t xml:space="preserve">                       Odeta Vitkūnienė</w:t>
      </w:r>
    </w:p>
    <w:sectPr w:rsidR="00B25230" w:rsidSect="0042112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567" w:bottom="1134" w:left="1701" w:header="737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90B7C" w:rsidRDefault="00390B7C" w:rsidP="00377C8F">
      <w:r>
        <w:separator/>
      </w:r>
    </w:p>
  </w:endnote>
  <w:endnote w:type="continuationSeparator" w:id="0">
    <w:p w:rsidR="00390B7C" w:rsidRDefault="00390B7C" w:rsidP="003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5230" w:rsidRDefault="00B25230" w:rsidP="00B25230">
    <w:pPr>
      <w:tabs>
        <w:tab w:val="left" w:pos="9356"/>
        <w:tab w:val="right" w:pos="9498"/>
      </w:tabs>
      <w:rPr>
        <w:noProof/>
        <w:lang w:eastAsia="lt-LT"/>
      </w:rPr>
    </w:pPr>
    <w:r>
      <w:t xml:space="preserve">Irena Vaitaitienė, tel. (8 5) 266 1456, el. p. </w:t>
    </w:r>
    <w:hyperlink r:id="rId1" w:history="1">
      <w:r w:rsidRPr="00CF265A">
        <w:rPr>
          <w:rStyle w:val="Hipersaitas"/>
        </w:rPr>
        <w:t>irena.vaitaitiene@sam.lt</w:t>
      </w:r>
    </w:hyperlink>
    <w:r>
      <w:rPr>
        <w:rStyle w:val="Hipersaitas"/>
        <w:sz w:val="22"/>
        <w:szCs w:val="22"/>
      </w:rPr>
      <w:t xml:space="preserve">                                     </w:t>
    </w:r>
    <w:r>
      <w:rPr>
        <w:noProof/>
      </w:rPr>
      <w:drawing>
        <wp:inline distT="0" distB="0" distL="0" distR="0" wp14:anchorId="2B3B93C1" wp14:editId="27A0216A">
          <wp:extent cx="638175" cy="542925"/>
          <wp:effectExtent l="0" t="0" r="9525" b="9525"/>
          <wp:docPr id="1" name="Paveikslėlis 1" descr="C:\Users\gurskis\Desktop\ISO 9001 s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2" descr="C:\Users\gurskis\Desktop\ISO 9001 sp.jpg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lt-LT"/>
      </w:rPr>
      <w:t xml:space="preserve">                             </w:t>
    </w:r>
  </w:p>
  <w:p w:rsidR="00EA3F91" w:rsidRPr="00EA3F91" w:rsidRDefault="00EA3F91" w:rsidP="00EA3F91">
    <w:pPr>
      <w:pStyle w:val="Porat"/>
    </w:pPr>
    <w:r>
      <w:rPr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2CFA" w:rsidRDefault="00A72CFA" w:rsidP="009F5883">
    <w:pPr>
      <w:tabs>
        <w:tab w:val="left" w:pos="9356"/>
        <w:tab w:val="right" w:pos="949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90B7C" w:rsidRDefault="00390B7C" w:rsidP="00377C8F">
      <w:r>
        <w:separator/>
      </w:r>
    </w:p>
  </w:footnote>
  <w:footnote w:type="continuationSeparator" w:id="0">
    <w:p w:rsidR="00390B7C" w:rsidRDefault="00390B7C" w:rsidP="00377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2CFA" w:rsidRDefault="00940B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72CFA" w:rsidRDefault="00A72CF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2CFA" w:rsidRDefault="00940B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112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72CFA" w:rsidRDefault="00A72CF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2CFA" w:rsidRDefault="00A72CFA">
    <w:pPr>
      <w:pStyle w:val="Antrats"/>
      <w:jc w:val="center"/>
      <w:rPr>
        <w:noProof/>
      </w:rPr>
    </w:pPr>
    <w:r>
      <w:rPr>
        <w:noProof/>
      </w:rPr>
      <w:object w:dxaOrig="811" w:dyaOrig="9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pt" fillcolor="window">
          <v:imagedata r:id="rId1" o:title=""/>
        </v:shape>
        <o:OLEObject Type="Embed" ProgID="Word.Picture.8" ShapeID="_x0000_i1025" DrawAspect="Content" ObjectID="_1648908611" r:id="rId2"/>
      </w:object>
    </w:r>
  </w:p>
  <w:p w:rsidR="00A72CFA" w:rsidRDefault="00A72CFA">
    <w:pPr>
      <w:pStyle w:val="Antrats"/>
      <w:jc w:val="center"/>
      <w:rPr>
        <w:sz w:val="20"/>
        <w:szCs w:val="20"/>
      </w:rPr>
    </w:pPr>
  </w:p>
  <w:p w:rsidR="00A72CFA" w:rsidRPr="001E5D3A" w:rsidRDefault="00A72CFA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:rsidR="00A72CFA" w:rsidRDefault="00A72CFA">
    <w:pPr>
      <w:pStyle w:val="Antrats"/>
      <w:jc w:val="center"/>
      <w:rPr>
        <w:sz w:val="16"/>
        <w:szCs w:val="16"/>
      </w:rPr>
    </w:pPr>
  </w:p>
  <w:p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r w:rsidRPr="00A60EDB">
      <w:rPr>
        <w:rStyle w:val="Hipersaitas"/>
        <w:sz w:val="18"/>
        <w:szCs w:val="18"/>
      </w:rPr>
      <w:t>ministerija@sam.lt</w:t>
    </w:r>
    <w:r>
      <w:rPr>
        <w:sz w:val="18"/>
        <w:szCs w:val="18"/>
      </w:rPr>
      <w:t>, http://</w:t>
    </w:r>
    <w:hyperlink r:id="rId3" w:history="1">
      <w:r w:rsidRPr="007D183E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3665B4"/>
    <w:multiLevelType w:val="hybridMultilevel"/>
    <w:tmpl w:val="054C82E2"/>
    <w:lvl w:ilvl="0" w:tplc="A480540C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08E5BA7"/>
    <w:multiLevelType w:val="hybridMultilevel"/>
    <w:tmpl w:val="AE64A4FC"/>
    <w:lvl w:ilvl="0" w:tplc="6AD608EC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74" w:hanging="360"/>
      </w:pPr>
    </w:lvl>
    <w:lvl w:ilvl="2" w:tplc="0427001B" w:tentative="1">
      <w:start w:val="1"/>
      <w:numFmt w:val="lowerRoman"/>
      <w:lvlText w:val="%3."/>
      <w:lvlJc w:val="right"/>
      <w:pPr>
        <w:ind w:left="4494" w:hanging="180"/>
      </w:pPr>
    </w:lvl>
    <w:lvl w:ilvl="3" w:tplc="0427000F" w:tentative="1">
      <w:start w:val="1"/>
      <w:numFmt w:val="decimal"/>
      <w:lvlText w:val="%4."/>
      <w:lvlJc w:val="left"/>
      <w:pPr>
        <w:ind w:left="5214" w:hanging="360"/>
      </w:pPr>
    </w:lvl>
    <w:lvl w:ilvl="4" w:tplc="04270019" w:tentative="1">
      <w:start w:val="1"/>
      <w:numFmt w:val="lowerLetter"/>
      <w:lvlText w:val="%5."/>
      <w:lvlJc w:val="left"/>
      <w:pPr>
        <w:ind w:left="5934" w:hanging="360"/>
      </w:pPr>
    </w:lvl>
    <w:lvl w:ilvl="5" w:tplc="0427001B" w:tentative="1">
      <w:start w:val="1"/>
      <w:numFmt w:val="lowerRoman"/>
      <w:lvlText w:val="%6."/>
      <w:lvlJc w:val="right"/>
      <w:pPr>
        <w:ind w:left="6654" w:hanging="180"/>
      </w:pPr>
    </w:lvl>
    <w:lvl w:ilvl="6" w:tplc="0427000F" w:tentative="1">
      <w:start w:val="1"/>
      <w:numFmt w:val="decimal"/>
      <w:lvlText w:val="%7."/>
      <w:lvlJc w:val="left"/>
      <w:pPr>
        <w:ind w:left="7374" w:hanging="360"/>
      </w:pPr>
    </w:lvl>
    <w:lvl w:ilvl="7" w:tplc="04270019" w:tentative="1">
      <w:start w:val="1"/>
      <w:numFmt w:val="lowerLetter"/>
      <w:lvlText w:val="%8."/>
      <w:lvlJc w:val="left"/>
      <w:pPr>
        <w:ind w:left="8094" w:hanging="360"/>
      </w:pPr>
    </w:lvl>
    <w:lvl w:ilvl="8" w:tplc="0427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defaultTabStop w:val="1296"/>
  <w:hyphenationZone w:val="396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A3"/>
    <w:rsid w:val="00010E93"/>
    <w:rsid w:val="00051DBF"/>
    <w:rsid w:val="00081B7F"/>
    <w:rsid w:val="0008701D"/>
    <w:rsid w:val="0011348D"/>
    <w:rsid w:val="00124311"/>
    <w:rsid w:val="00153381"/>
    <w:rsid w:val="00163719"/>
    <w:rsid w:val="00197701"/>
    <w:rsid w:val="001A1E39"/>
    <w:rsid w:val="001B763A"/>
    <w:rsid w:val="001D08D9"/>
    <w:rsid w:val="001D6BC6"/>
    <w:rsid w:val="001D6F1F"/>
    <w:rsid w:val="001E28A9"/>
    <w:rsid w:val="001E5D3A"/>
    <w:rsid w:val="00213189"/>
    <w:rsid w:val="00221C91"/>
    <w:rsid w:val="00227FF3"/>
    <w:rsid w:val="002668A3"/>
    <w:rsid w:val="002677C0"/>
    <w:rsid w:val="002964F8"/>
    <w:rsid w:val="002B5D8A"/>
    <w:rsid w:val="002E79F9"/>
    <w:rsid w:val="003372AD"/>
    <w:rsid w:val="00377C8F"/>
    <w:rsid w:val="00387C25"/>
    <w:rsid w:val="00390B7C"/>
    <w:rsid w:val="003B49AD"/>
    <w:rsid w:val="003C4F43"/>
    <w:rsid w:val="003F487C"/>
    <w:rsid w:val="0040551A"/>
    <w:rsid w:val="00410BE7"/>
    <w:rsid w:val="0041740D"/>
    <w:rsid w:val="0042112C"/>
    <w:rsid w:val="0043216A"/>
    <w:rsid w:val="004326A8"/>
    <w:rsid w:val="004332B4"/>
    <w:rsid w:val="0043369D"/>
    <w:rsid w:val="00440B48"/>
    <w:rsid w:val="00462AD9"/>
    <w:rsid w:val="0046448D"/>
    <w:rsid w:val="00464B88"/>
    <w:rsid w:val="004731C3"/>
    <w:rsid w:val="00475C6D"/>
    <w:rsid w:val="00475F65"/>
    <w:rsid w:val="00486D2B"/>
    <w:rsid w:val="004D3191"/>
    <w:rsid w:val="00532CFA"/>
    <w:rsid w:val="00544E70"/>
    <w:rsid w:val="005571EE"/>
    <w:rsid w:val="0056130D"/>
    <w:rsid w:val="00597382"/>
    <w:rsid w:val="005A6470"/>
    <w:rsid w:val="005B197A"/>
    <w:rsid w:val="005D34A5"/>
    <w:rsid w:val="005F1C01"/>
    <w:rsid w:val="0061059A"/>
    <w:rsid w:val="00645B08"/>
    <w:rsid w:val="00646C46"/>
    <w:rsid w:val="0066017A"/>
    <w:rsid w:val="0067385C"/>
    <w:rsid w:val="0068409B"/>
    <w:rsid w:val="006842D8"/>
    <w:rsid w:val="00687682"/>
    <w:rsid w:val="006A383C"/>
    <w:rsid w:val="006C659D"/>
    <w:rsid w:val="006E4E40"/>
    <w:rsid w:val="00712F42"/>
    <w:rsid w:val="00717F82"/>
    <w:rsid w:val="007221B7"/>
    <w:rsid w:val="007553E1"/>
    <w:rsid w:val="007657A0"/>
    <w:rsid w:val="007661AD"/>
    <w:rsid w:val="00790F7B"/>
    <w:rsid w:val="00792707"/>
    <w:rsid w:val="007930FB"/>
    <w:rsid w:val="007932CC"/>
    <w:rsid w:val="007A05B2"/>
    <w:rsid w:val="007B4A09"/>
    <w:rsid w:val="007B7798"/>
    <w:rsid w:val="007C7309"/>
    <w:rsid w:val="007D00AF"/>
    <w:rsid w:val="007D183E"/>
    <w:rsid w:val="007D613A"/>
    <w:rsid w:val="007E2385"/>
    <w:rsid w:val="007F3C85"/>
    <w:rsid w:val="007F53CB"/>
    <w:rsid w:val="00827FCC"/>
    <w:rsid w:val="008404A6"/>
    <w:rsid w:val="00844948"/>
    <w:rsid w:val="008606D0"/>
    <w:rsid w:val="00870DA3"/>
    <w:rsid w:val="00873D1A"/>
    <w:rsid w:val="00882893"/>
    <w:rsid w:val="008C703F"/>
    <w:rsid w:val="00901F40"/>
    <w:rsid w:val="009165FD"/>
    <w:rsid w:val="00920A40"/>
    <w:rsid w:val="00926A03"/>
    <w:rsid w:val="00940B47"/>
    <w:rsid w:val="0095551B"/>
    <w:rsid w:val="009708E7"/>
    <w:rsid w:val="00973941"/>
    <w:rsid w:val="0098431C"/>
    <w:rsid w:val="009F5883"/>
    <w:rsid w:val="009F67EC"/>
    <w:rsid w:val="00A05F5C"/>
    <w:rsid w:val="00A22297"/>
    <w:rsid w:val="00A57127"/>
    <w:rsid w:val="00A60EDB"/>
    <w:rsid w:val="00A72CFA"/>
    <w:rsid w:val="00A93D86"/>
    <w:rsid w:val="00A962D5"/>
    <w:rsid w:val="00AA44C6"/>
    <w:rsid w:val="00AB7F40"/>
    <w:rsid w:val="00AD0E34"/>
    <w:rsid w:val="00AE31F5"/>
    <w:rsid w:val="00AE4CDF"/>
    <w:rsid w:val="00AF0F9B"/>
    <w:rsid w:val="00B25230"/>
    <w:rsid w:val="00B5463F"/>
    <w:rsid w:val="00B747D6"/>
    <w:rsid w:val="00B83DB9"/>
    <w:rsid w:val="00BA43F1"/>
    <w:rsid w:val="00BB3EFF"/>
    <w:rsid w:val="00BC3822"/>
    <w:rsid w:val="00BF6FB3"/>
    <w:rsid w:val="00C03B6F"/>
    <w:rsid w:val="00C1430A"/>
    <w:rsid w:val="00C215DC"/>
    <w:rsid w:val="00C34D00"/>
    <w:rsid w:val="00CC3246"/>
    <w:rsid w:val="00CE2920"/>
    <w:rsid w:val="00CE3BC4"/>
    <w:rsid w:val="00D10DFE"/>
    <w:rsid w:val="00D2284D"/>
    <w:rsid w:val="00D37E20"/>
    <w:rsid w:val="00D413EF"/>
    <w:rsid w:val="00D4597A"/>
    <w:rsid w:val="00D74117"/>
    <w:rsid w:val="00D978C1"/>
    <w:rsid w:val="00DB5ACF"/>
    <w:rsid w:val="00DC7A60"/>
    <w:rsid w:val="00DD29F5"/>
    <w:rsid w:val="00DD70F7"/>
    <w:rsid w:val="00DE2ED2"/>
    <w:rsid w:val="00DE3760"/>
    <w:rsid w:val="00DE5C7E"/>
    <w:rsid w:val="00DE69A3"/>
    <w:rsid w:val="00DE7945"/>
    <w:rsid w:val="00E12D21"/>
    <w:rsid w:val="00E32F56"/>
    <w:rsid w:val="00E32FC9"/>
    <w:rsid w:val="00E357C6"/>
    <w:rsid w:val="00E54CF8"/>
    <w:rsid w:val="00E910CB"/>
    <w:rsid w:val="00E9503C"/>
    <w:rsid w:val="00EA3F91"/>
    <w:rsid w:val="00ED6C85"/>
    <w:rsid w:val="00EF08D7"/>
    <w:rsid w:val="00F026B9"/>
    <w:rsid w:val="00F07FFC"/>
    <w:rsid w:val="00F16E89"/>
    <w:rsid w:val="00F44C61"/>
    <w:rsid w:val="00F64A94"/>
    <w:rsid w:val="00F64D6C"/>
    <w:rsid w:val="00F67330"/>
    <w:rsid w:val="00F9209C"/>
    <w:rsid w:val="00FA38A3"/>
    <w:rsid w:val="00FB301F"/>
    <w:rsid w:val="00FD30B8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7E9580"/>
  <w15:docId w15:val="{FFB84A43-5E7C-48B1-A9B3-8C692DE8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semiHidden/>
    <w:rsid w:val="00AE4C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5551B"/>
    <w:rPr>
      <w:color w:val="605E5C"/>
      <w:shd w:val="clear" w:color="auto" w:fill="E1DFDD"/>
    </w:rPr>
  </w:style>
  <w:style w:type="paragraph" w:styleId="Pagrindinistekstas3">
    <w:name w:val="Body Text 3"/>
    <w:basedOn w:val="prastasis"/>
    <w:link w:val="Pagrindinistekstas3Diagrama"/>
    <w:uiPriority w:val="99"/>
    <w:rsid w:val="00D74117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74117"/>
    <w:rPr>
      <w:rFonts w:ascii="Times New Roman" w:eastAsia="Times New Roman" w:hAnsi="Times New Roman"/>
      <w:sz w:val="16"/>
      <w:szCs w:val="16"/>
      <w:lang w:eastAsia="en-US"/>
    </w:rPr>
  </w:style>
  <w:style w:type="paragraph" w:customStyle="1" w:styleId="CharChar">
    <w:name w:val="Char Char"/>
    <w:basedOn w:val="prastasis"/>
    <w:rsid w:val="00AD0E3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3C4F43"/>
    <w:pPr>
      <w:ind w:left="720"/>
      <w:contextualSpacing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F6FB3"/>
    <w:rPr>
      <w:rFonts w:eastAsiaTheme="minorHAnsi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F6FB3"/>
    <w:rPr>
      <w:rFonts w:ascii="Times New Roman" w:eastAsiaTheme="minorHAnsi" w:hAnsi="Times New Roman"/>
      <w:sz w:val="20"/>
      <w:szCs w:val="20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F6FB3"/>
    <w:rPr>
      <w:vertAlign w:val="superscript"/>
    </w:rPr>
  </w:style>
  <w:style w:type="paragraph" w:customStyle="1" w:styleId="statymopavad">
    <w:name w:val="Įstatymo pavad."/>
    <w:basedOn w:val="prastasis"/>
    <w:rsid w:val="004731C3"/>
    <w:pPr>
      <w:spacing w:line="360" w:lineRule="auto"/>
      <w:ind w:firstLine="720"/>
      <w:jc w:val="center"/>
    </w:pPr>
    <w:rPr>
      <w:rFonts w:ascii="TimesLT" w:hAnsi="TimesLT" w:cs="TimesLT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irena.vaitaitiene@sam.l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SAM_blankas_viet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45CC1-2C8B-4060-A24E-84D777160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</Template>
  <TotalTime>292</TotalTime>
  <Pages>2</Pages>
  <Words>1706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Sveikatos apsaugos ministerija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Loginovič</dc:creator>
  <cp:lastModifiedBy>Irena Vaitaitienė</cp:lastModifiedBy>
  <cp:revision>10</cp:revision>
  <cp:lastPrinted>2020-04-20T14:06:00Z</cp:lastPrinted>
  <dcterms:created xsi:type="dcterms:W3CDTF">2020-03-10T08:30:00Z</dcterms:created>
  <dcterms:modified xsi:type="dcterms:W3CDTF">2020-04-20T14:24:00Z</dcterms:modified>
</cp:coreProperties>
</file>