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3" Target="docProps/app.xml"
                 Type="http://schemas.openxmlformats.org/officeDocument/2006/relationships/extended-properties"/>
   <Relationship Id="rId4" Target="docProps/core.xml"
                 Type="http://schemas.openxmlformats.org/package/2006/relationships/metadata/core-properties"/>
</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taisx="http://lrs.lt/TAIS/DocPartXmlMarks" mc:Ignorable="w14 wp14">
  <w:body>
    <w:sdt>
      <w:sdtPr>
        <w:alias w:val="pagrindine"/>
        <w:tag w:val="part_197dc6bee2c2430f852a3e9458dae5b5"/>
        <w:lock w:val="sdtLocked"/>
        <w:richText/>
      </w:sdtPr>
      <w:sdtContent>
        <w:p>
          <w:pPr>
            <w:tabs>
              <w:tab w:val="center" w:pos="4819"/>
              <w:tab w:val="right" w:pos="9638"/>
            </w:tabs>
            <w:spacing w:line="276" w:lineRule="auto"/>
            <w:rPr>
              <w:rFonts w:ascii="Calibri" w:eastAsia="Calibri" w:hAnsi="Calibri"/>
              <w:sz w:val="22"/>
              <w:szCs w:val="22"/>
            </w:rPr>
          </w:pPr>
        </w:p>
        <w:p>
          <w:pPr>
            <w:rPr>
              <w:sz w:val="18"/>
              <w:szCs w:val="18"/>
            </w:rPr>
          </w:pPr>
        </w:p>
        <w:p>
          <w:pPr>
            <w:ind w:left="6480" w:firstLine="720"/>
            <w:jc w:val="right"/>
            <w:rPr>
              <w:b/>
              <w:lang w:eastAsia="lt-LT"/>
            </w:rPr>
          </w:pPr>
          <w:r>
            <w:rPr>
              <w:b/>
              <w:lang w:eastAsia="lt-LT"/>
            </w:rPr>
            <w:t>Projektas</w:t>
          </w:r>
        </w:p>
        <w:p>
          <w:pPr>
            <w:keepNext/>
            <w:jc w:val="center"/>
            <w:rPr>
              <w:b/>
              <w:lang w:eastAsia="lt-LT"/>
            </w:rPr>
          </w:pPr>
        </w:p>
        <w:p>
          <w:pPr>
            <w:keepNext/>
            <w:jc w:val="center"/>
            <w:rPr>
              <w:b/>
              <w:lang w:eastAsia="lt-LT"/>
            </w:rPr>
          </w:pPr>
          <w:r>
            <w:rPr>
              <w:b/>
              <w:lang w:eastAsia="lt-LT"/>
            </w:rPr>
            <w:t>LIETUVOS RESPUBLIKOS VYRIAUSYBĖ</w:t>
          </w:r>
        </w:p>
        <w:p>
          <w:pPr>
            <w:keepNext/>
            <w:jc w:val="center"/>
            <w:rPr>
              <w:b/>
              <w:lang w:eastAsia="lt-LT"/>
            </w:rPr>
          </w:pPr>
        </w:p>
        <w:p>
          <w:pPr>
            <w:keepNext/>
            <w:jc w:val="center"/>
            <w:outlineLvl w:val="2"/>
            <w:rPr>
              <w:b/>
              <w:lang w:eastAsia="lt-LT"/>
            </w:rPr>
          </w:pPr>
          <w:r>
            <w:rPr>
              <w:b/>
              <w:lang w:eastAsia="lt-LT"/>
            </w:rPr>
            <w:t>NUTARIMAS</w:t>
          </w:r>
        </w:p>
        <w:p>
          <w:pPr>
            <w:jc w:val="center"/>
            <w:rPr>
              <w:b/>
              <w:lang w:eastAsia="lt-LT"/>
            </w:rPr>
          </w:pPr>
          <w:r>
            <w:rPr>
              <w:b/>
              <w:lang w:eastAsia="lt-LT"/>
            </w:rPr>
            <w:t>DĖL LĖŠŲ SKYRIMO</w:t>
          </w:r>
        </w:p>
        <w:p>
          <w:pPr>
            <w:jc w:val="center"/>
            <w:rPr>
              <w:lang w:eastAsia="lt-LT"/>
            </w:rPr>
          </w:pPr>
        </w:p>
        <w:p>
          <w:pPr>
            <w:jc w:val="center"/>
            <w:rPr>
              <w:lang w:eastAsia="lt-LT"/>
            </w:rPr>
          </w:pPr>
          <w:r>
            <w:rPr>
              <w:lang w:eastAsia="lt-LT"/>
            </w:rPr>
            <w:t xml:space="preserve">2020 m.                 d. Nr.</w:t>
          </w:r>
        </w:p>
        <w:p>
          <w:pPr>
            <w:keepNext/>
            <w:jc w:val="center"/>
            <w:rPr>
              <w:lang w:eastAsia="lt-LT"/>
            </w:rPr>
          </w:pPr>
          <w:r>
            <w:rPr>
              <w:lang w:eastAsia="lt-LT"/>
            </w:rPr>
            <w:t>Vilnius</w:t>
          </w:r>
        </w:p>
        <w:p>
          <w:pPr>
            <w:spacing w:line="360" w:lineRule="auto"/>
            <w:jc w:val="both"/>
            <w:rPr>
              <w:lang w:eastAsia="lt-LT"/>
            </w:rPr>
          </w:pPr>
        </w:p>
        <w:sdt>
          <w:sdtPr>
            <w:alias w:val="preambule"/>
            <w:tag w:val="part_004504d8727a4eb2bb47c2277c10f609"/>
            <w:lock w:val="sdtLocked"/>
            <w:richText/>
          </w:sdtPr>
          <w:sdtContent>
            <w:p>
              <w:pPr>
                <w:spacing w:line="360" w:lineRule="atLeast"/>
                <w:ind w:firstLine="720"/>
                <w:jc w:val="both"/>
                <w:rPr>
                  <w:rFonts w:eastAsia="Calibri"/>
                  <w:color w:val="000000"/>
                  <w:szCs w:val="24"/>
                  <w:lang w:eastAsia="lt-LT"/>
                </w:rPr>
              </w:pPr>
              <w:r>
                <w:rPr>
                  <w:rFonts w:eastAsia="Calibri"/>
                  <w:szCs w:val="24"/>
                  <w:lang w:eastAsia="lt-LT"/>
                </w:rPr>
                <w:t xml:space="preserve">Vadovaudamasi </w:t>
              </w:r>
              <w:r>
                <w:rPr>
                  <w:rFonts w:eastAsia="Calibri"/>
                  <w:color w:val="000000"/>
                  <w:szCs w:val="24"/>
                  <w:lang w:eastAsia="lt-LT"/>
                </w:rPr>
                <w:t xml:space="preserve">Lietuvos Respublikos 2020 metų valstybės biudžeto ir savivaldybių biudžetų finansinių rodiklių patvirtinimo įstatymo 13 straipsnio 1 dalies 5 punktu, Lietuvos Respublikos civilinės saugos įstatymo 31 straipsnio 3 dalimi, įgyvendindama Valstybės paramos už žalą, patirtą dėl ekstremaliosios situacijos, teikimo tvarkos aprašą, patvirtintą Lietuvos Respublikos Vyriausybės 2010 m. liepos 21 d. nutarimu Nr. 1107 „Dėl Materialinių išteklių teikimo ir kompensavimo už jų teikimą tvarkos aprašo ir Valstybės paramos už žalą, patirtą dėl ekstremaliosios situacijos, teikimo tvarkos aprašo patvirtinimo“, ir atsižvelgdama į Lietuvos Respublikos Vyriausybės 2020 m. vasario 26 d. nutarimą Nr. 152 „Dėl valstybės lygio ekstremaliosios situacijos paskelbimo“, Lietuvos Respublikos Vyriausybė </w:t>
              </w:r>
              <w:r>
                <w:rPr>
                  <w:rFonts w:eastAsia="Calibri"/>
                  <w:color w:val="000000"/>
                  <w:spacing w:val="50"/>
                  <w:szCs w:val="24"/>
                  <w:lang w:eastAsia="lt-LT"/>
                </w:rPr>
                <w:t>nutari</w:t>
              </w:r>
              <w:r>
                <w:rPr>
                  <w:rFonts w:eastAsia="Calibri"/>
                  <w:color w:val="000000"/>
                  <w:szCs w:val="24"/>
                  <w:lang w:eastAsia="lt-LT"/>
                </w:rPr>
                <w:t>a:</w:t>
              </w:r>
            </w:p>
          </w:sdtContent>
        </w:sdt>
        <w:sdt>
          <w:sdtPr>
            <w:alias w:val="pastraipa"/>
            <w:tag w:val="part_514b238a29a24f37bb04f739043254be"/>
            <w:lock w:val="sdtLocked"/>
            <w:richText/>
          </w:sdtPr>
          <w:sdtContent>
            <w:p>
              <w:pPr>
                <w:spacing w:line="360" w:lineRule="atLeast"/>
                <w:ind w:firstLine="720"/>
                <w:jc w:val="both"/>
                <w:rPr>
                  <w:rFonts w:eastAsia="Calibri"/>
                  <w:color w:val="000000"/>
                  <w:szCs w:val="24"/>
                  <w:lang w:eastAsia="lt-LT"/>
                </w:rPr>
              </w:pPr>
              <w:r>
                <w:rPr>
                  <w:rFonts w:eastAsia="Calibri"/>
                  <w:color w:val="000000"/>
                  <w:szCs w:val="24"/>
                  <w:lang w:eastAsia="lt-LT"/>
                </w:rPr>
                <w:t>Skirti iš valstybės vardu pasiskolintų lėšų:</w:t>
              </w:r>
            </w:p>
          </w:sdtContent>
        </w:sdt>
        <w:sdt>
          <w:sdtPr>
            <w:alias w:val="1 p."/>
            <w:tag w:val="part_ff3d3dce79884e1bbedee2ca57f06622"/>
            <w:lock w:val="sdtLocked"/>
            <w:richText/>
          </w:sdtPr>
          <w:sdtContent>
            <w:p>
              <w:pPr>
                <w:spacing w:line="360" w:lineRule="atLeast"/>
                <w:ind w:firstLine="720"/>
                <w:jc w:val="both"/>
                <w:rPr>
                  <w:rFonts w:eastAsia="Calibri"/>
                  <w:color w:val="000000"/>
                  <w:szCs w:val="24"/>
                  <w:lang w:eastAsia="lt-LT"/>
                </w:rPr>
              </w:pPr>
              <w:sdt>
                <w:sdtPr>
                  <w:alias w:val="Numeris"/>
                  <w:tag w:val="nr_ff3d3dce79884e1bbedee2ca57f06622"/>
                  <w:lock w:val="sdtLocked"/>
                  <w:richText/>
                </w:sdtPr>
                <w:sdtContent>
                  <w:r>
                    <w:rPr>
                      <w:rFonts w:eastAsia="Calibri"/>
                      <w:color w:val="000000"/>
                      <w:szCs w:val="24"/>
                      <w:lang w:eastAsia="lt-LT"/>
                    </w:rPr>
                    <w:t>1</w:t>
                  </w:r>
                </w:sdtContent>
              </w:sdt>
              <w:r>
                <w:rPr>
                  <w:rFonts w:eastAsia="Calibri"/>
                  <w:color w:val="000000"/>
                  <w:szCs w:val="24"/>
                  <w:lang w:eastAsia="lt-LT"/>
                </w:rPr>
                <w:t xml:space="preserve">. Įgyvendinant Ekonomikos skatinimo ir koronaviruso (COVID-19) plitimo sukeltų pasekmių mažinimo priemonių plano, kuriam pritarta Lietuvos Respublikos Vyriausybės 2020 m. kovo 16 d. pasitarime (pasitarimo protokolas Nr. 14) ir kurio naujai redakcijai pritarta Lietuvos Respublikos Vyriausybės 2020 m. birželio 22 d. pasitarime (pasitarimo protokolas Nr. 30) </w:t>
              </w:r>
              <w:r>
                <w:rPr>
                  <w:rFonts w:eastAsia="Calibri"/>
                  <w:szCs w:val="24"/>
                  <w:lang w:eastAsia="lt-LT"/>
                </w:rPr>
                <w:t xml:space="preserve">(toliau – Priemonių planas), </w:t>
              </w:r>
              <w:r>
                <w:rPr>
                  <w:rFonts w:eastAsia="Calibri"/>
                  <w:color w:val="000000"/>
                  <w:szCs w:val="24"/>
                  <w:lang w:eastAsia="lt-LT"/>
                </w:rPr>
                <w:t>1 tikslo „Užtikrinti išteklius, kurių reikia sveikatos ir visuomenės apsaugos sistemoms efektyviai veikti“ priemonę „Užtikrinti ekstremaliosios situacijos valdyme dalyvaujančių valstybės institucijų papildomų išlaidų, įskaitant darbuotojų atlyginimų priedus, finansavimą“:</w:t>
              </w:r>
            </w:p>
            <w:sdt>
              <w:sdtPr>
                <w:alias w:val="1.1 pp."/>
                <w:tag w:val="part_7783c752d22d4ab08eee0fd10ae745f0"/>
                <w:lock w:val="sdtLocked"/>
                <w:richText/>
              </w:sdtPr>
              <w:sdtContent>
                <w:p>
                  <w:pPr>
                    <w:spacing w:line="360" w:lineRule="atLeast"/>
                    <w:ind w:firstLine="720"/>
                    <w:jc w:val="both"/>
                    <w:rPr>
                      <w:rFonts w:eastAsia="Calibri"/>
                      <w:color w:val="000000"/>
                      <w:szCs w:val="24"/>
                      <w:lang w:eastAsia="lt-LT"/>
                    </w:rPr>
                  </w:pPr>
                  <w:sdt>
                    <w:sdtPr>
                      <w:alias w:val="Numeris"/>
                      <w:tag w:val="nr_7783c752d22d4ab08eee0fd10ae745f0"/>
                      <w:lock w:val="sdtLocked"/>
                      <w:richText/>
                    </w:sdtPr>
                    <w:sdtContent>
                      <w:r>
                        <w:rPr>
                          <w:rFonts w:eastAsia="Calibri"/>
                          <w:color w:val="000000"/>
                          <w:szCs w:val="24"/>
                          <w:lang w:eastAsia="lt-LT"/>
                        </w:rPr>
                        <w:t>1.1</w:t>
                      </w:r>
                    </w:sdtContent>
                  </w:sdt>
                  <w:r>
                    <w:rPr>
                      <w:rFonts w:eastAsia="Calibri"/>
                      <w:color w:val="000000"/>
                      <w:szCs w:val="24"/>
                      <w:lang w:eastAsia="lt-LT"/>
                    </w:rPr>
                    <w:t>. Lietuvos Respublikos finansų ministerijai ‒ 76</w:t>
                  </w:r>
                  <w:r>
                    <w:rPr>
                      <w:rFonts w:ascii="Calibri" w:eastAsia="Calibri" w:hAnsi="Calibri"/>
                      <w:sz w:val="22"/>
                      <w:szCs w:val="24"/>
                    </w:rPr>
                    <w:t> </w:t>
                  </w:r>
                  <w:r>
                    <w:rPr>
                      <w:rFonts w:eastAsia="Calibri"/>
                      <w:color w:val="000000"/>
                      <w:szCs w:val="24"/>
                      <w:lang w:eastAsia="lt-LT"/>
                    </w:rPr>
                    <w:t>100 (septyniasdešimt šeši tūkstančiai vienas šimtas) eurų Muitinės departamento prie Lietuvos Respublikos finansų ministerijos pareigūnams, kurių darbas tiesiogiai susijęs su ekstremaliosios situacijos suvaldymu, skirtoms priemokoms už įprastą darbo krūvį viršijančią veiklą 2020 metų gegužės mėnesį kompensuoti;</w:t>
                  </w:r>
                </w:p>
              </w:sdtContent>
            </w:sdt>
            <w:sdt>
              <w:sdtPr>
                <w:alias w:val="1.2 pp."/>
                <w:tag w:val="part_7f2bd5f19f304b129d45ff132519ae4b"/>
                <w:lock w:val="sdtLocked"/>
                <w:richText/>
              </w:sdtPr>
              <w:sdtContent>
                <w:p>
                  <w:pPr>
                    <w:spacing w:line="360" w:lineRule="atLeast"/>
                    <w:ind w:firstLine="720"/>
                    <w:jc w:val="both"/>
                    <w:rPr>
                      <w:rFonts w:eastAsia="Calibri"/>
                      <w:color w:val="000000"/>
                      <w:szCs w:val="24"/>
                      <w:lang w:eastAsia="lt-LT"/>
                    </w:rPr>
                  </w:pPr>
                  <w:sdt>
                    <w:sdtPr>
                      <w:alias w:val="Numeris"/>
                      <w:tag w:val="nr_7f2bd5f19f304b129d45ff132519ae4b"/>
                      <w:lock w:val="sdtLocked"/>
                      <w:richText/>
                    </w:sdtPr>
                    <w:sdtContent>
                      <w:r>
                        <w:rPr>
                          <w:rFonts w:eastAsia="Calibri"/>
                          <w:color w:val="000000"/>
                          <w:szCs w:val="24"/>
                          <w:lang w:eastAsia="lt-LT"/>
                        </w:rPr>
                        <w:t>1.2</w:t>
                      </w:r>
                    </w:sdtContent>
                  </w:sdt>
                  <w:r>
                    <w:rPr>
                      <w:rFonts w:eastAsia="Calibri"/>
                      <w:color w:val="000000"/>
                      <w:szCs w:val="24"/>
                      <w:lang w:eastAsia="lt-LT"/>
                    </w:rPr>
                    <w:t>. Lietuvos Respublikos teisingumo ministerijai – 454 300 (keturi šimtai penkiasdešimt keturi tūkstančiai trys šimtai) eurų bausmių vykdymo sistemos pareigūnams ir bausmių vykdymo sistemoje dirbantiems medicinos darbuotojams, kurių darbas tiesiogiai susijęs su ekstremaliosios situacijos suvaldymu, skirtoms priemokoms už darbą kenksmingomis, labai kenksmingomis ir pavojingomis darbo sąlygomis ir už viršvalandinį darbą 2020 metų II ketvirtį kompensuoti;</w:t>
                  </w:r>
                </w:p>
              </w:sdtContent>
            </w:sdt>
            <w:sdt>
              <w:sdtPr>
                <w:alias w:val="1.3 pp."/>
                <w:tag w:val="part_430d8c75e604419aac8428b69c17d5dd"/>
                <w:lock w:val="sdtLocked"/>
                <w:richText/>
              </w:sdtPr>
              <w:sdtContent>
                <w:p>
                  <w:pPr>
                    <w:spacing w:line="360" w:lineRule="atLeast"/>
                    <w:ind w:firstLine="720"/>
                    <w:jc w:val="both"/>
                    <w:rPr>
                      <w:rFonts w:eastAsia="Calibri"/>
                      <w:color w:val="000000"/>
                      <w:szCs w:val="24"/>
                      <w:lang w:eastAsia="lt-LT"/>
                    </w:rPr>
                  </w:pPr>
                  <w:sdt>
                    <w:sdtPr>
                      <w:alias w:val="Numeris"/>
                      <w:tag w:val="nr_430d8c75e604419aac8428b69c17d5dd"/>
                      <w:lock w:val="sdtLocked"/>
                      <w:richText/>
                    </w:sdtPr>
                    <w:sdtContent>
                      <w:r>
                        <w:rPr>
                          <w:rFonts w:eastAsia="Calibri"/>
                          <w:color w:val="000000"/>
                          <w:szCs w:val="24"/>
                          <w:lang w:eastAsia="lt-LT"/>
                        </w:rPr>
                        <w:t>1.3</w:t>
                      </w:r>
                    </w:sdtContent>
                  </w:sdt>
                  <w:r>
                    <w:rPr>
                      <w:rFonts w:eastAsia="Calibri"/>
                      <w:color w:val="000000"/>
                      <w:szCs w:val="24"/>
                      <w:lang w:eastAsia="lt-LT"/>
                    </w:rPr>
                    <w:t>. Lietuvos Respublikos vidaus reikalų ministerijai ‒ 1</w:t>
                  </w:r>
                  <w:r>
                    <w:rPr>
                      <w:rFonts w:ascii="Calibri" w:eastAsia="Calibri" w:hAnsi="Calibri"/>
                      <w:sz w:val="22"/>
                      <w:szCs w:val="24"/>
                    </w:rPr>
                    <w:t> </w:t>
                  </w:r>
                  <w:r>
                    <w:rPr>
                      <w:rFonts w:eastAsia="Calibri"/>
                      <w:color w:val="000000"/>
                      <w:szCs w:val="24"/>
                      <w:lang w:eastAsia="lt-LT"/>
                    </w:rPr>
                    <w:t>338</w:t>
                  </w:r>
                  <w:r>
                    <w:rPr>
                      <w:rFonts w:ascii="Calibri" w:eastAsia="Calibri" w:hAnsi="Calibri"/>
                      <w:sz w:val="22"/>
                      <w:szCs w:val="24"/>
                    </w:rPr>
                    <w:t> </w:t>
                  </w:r>
                  <w:r>
                    <w:rPr>
                      <w:rFonts w:eastAsia="Calibri"/>
                      <w:color w:val="000000"/>
                      <w:szCs w:val="24"/>
                      <w:lang w:eastAsia="lt-LT"/>
                    </w:rPr>
                    <w:t xml:space="preserve">000 (vienas milijonas trys šimtai trisdešimt aštuoni tūkstančiai) eurų pareigūnams ir kitiems darbuotojams, kurių darbas tiesiogiai susijęs su ekstremaliosios situacijos suvaldymu, skirtoms priemokoms už įprastą darbo krūvį viršijančią veiklą, papildomų užduočių atlikimą, darbą švenčių dienomis ir viršvalandinį darbą 2020 m. birželio 1–16 d. kompensuoti; </w:t>
                  </w:r>
                </w:p>
              </w:sdtContent>
            </w:sdt>
            <w:sdt>
              <w:sdtPr>
                <w:alias w:val="1.4 pp."/>
                <w:tag w:val="part_bc56bfe598ce43779a9d62e70f4c66ea"/>
                <w:lock w:val="sdtLocked"/>
                <w:richText/>
              </w:sdtPr>
              <w:sdtContent>
                <w:p>
                  <w:pPr>
                    <w:spacing w:line="360" w:lineRule="atLeast"/>
                    <w:ind w:firstLine="720"/>
                    <w:jc w:val="both"/>
                    <w:rPr>
                      <w:rFonts w:eastAsia="Calibri"/>
                      <w:color w:val="000000"/>
                      <w:szCs w:val="24"/>
                      <w:lang w:eastAsia="lt-LT"/>
                    </w:rPr>
                  </w:pPr>
                  <w:sdt>
                    <w:sdtPr>
                      <w:alias w:val="Numeris"/>
                      <w:tag w:val="nr_bc56bfe598ce43779a9d62e70f4c66ea"/>
                      <w:lock w:val="sdtLocked"/>
                      <w:richText/>
                    </w:sdtPr>
                    <w:sdtContent>
                      <w:r>
                        <w:rPr>
                          <w:rFonts w:eastAsia="Calibri"/>
                          <w:color w:val="000000"/>
                          <w:szCs w:val="24"/>
                          <w:lang w:eastAsia="lt-LT"/>
                        </w:rPr>
                        <w:t>1.4</w:t>
                      </w:r>
                    </w:sdtContent>
                  </w:sdt>
                  <w:r>
                    <w:rPr>
                      <w:rFonts w:eastAsia="Calibri"/>
                      <w:color w:val="000000"/>
                      <w:szCs w:val="24"/>
                      <w:lang w:eastAsia="lt-LT"/>
                    </w:rPr>
                    <w:t>. Lietuvos Respublikos vadovybės apsaugos tarnybai – 42</w:t>
                  </w:r>
                  <w:r>
                    <w:rPr>
                      <w:rFonts w:ascii="Calibri" w:eastAsia="Calibri" w:hAnsi="Calibri"/>
                      <w:sz w:val="22"/>
                      <w:szCs w:val="24"/>
                    </w:rPr>
                    <w:t> </w:t>
                  </w:r>
                  <w:r>
                    <w:rPr>
                      <w:rFonts w:eastAsia="Calibri"/>
                      <w:color w:val="000000"/>
                      <w:szCs w:val="24"/>
                      <w:lang w:eastAsia="lt-LT"/>
                    </w:rPr>
                    <w:t>000 (keturiasdešimt du tūkstančiai) eurų pareigūnams, kurių darbas tiesiogiai susijęs su ekstremaliosios situacijos suvaldymu, skirtoms priemokoms už darbą kenksmingomis, labai kenksmingomis ir pavojingomis darbo sąlygomis 2020 m. birželio 1–16 d. kompensuoti.</w:t>
                  </w:r>
                </w:p>
              </w:sdtContent>
            </w:sdt>
          </w:sdtContent>
        </w:sdt>
        <w:sdt>
          <w:sdtPr>
            <w:alias w:val="2 p."/>
            <w:tag w:val="part_8eee894d9b8e4c6a9179f7bd5dacb954"/>
            <w:lock w:val="sdtLocked"/>
            <w:richText/>
          </w:sdtPr>
          <w:sdtContent>
            <w:p>
              <w:pPr>
                <w:spacing w:line="360" w:lineRule="atLeast"/>
                <w:ind w:firstLine="720"/>
                <w:jc w:val="both"/>
                <w:rPr>
                  <w:rFonts w:eastAsia="Calibri"/>
                  <w:szCs w:val="24"/>
                  <w:lang w:eastAsia="lt-LT"/>
                </w:rPr>
              </w:pPr>
              <w:sdt>
                <w:sdtPr>
                  <w:alias w:val="Numeris"/>
                  <w:tag w:val="nr_8eee894d9b8e4c6a9179f7bd5dacb954"/>
                  <w:lock w:val="sdtLocked"/>
                  <w:richText/>
                </w:sdtPr>
                <w:sdtContent>
                  <w:r>
                    <w:rPr>
                      <w:rFonts w:eastAsia="Calibri"/>
                      <w:szCs w:val="24"/>
                      <w:lang w:eastAsia="lt-LT"/>
                    </w:rPr>
                    <w:t>2</w:t>
                  </w:r>
                </w:sdtContent>
              </w:sdt>
              <w:r>
                <w:rPr>
                  <w:rFonts w:eastAsia="Calibri"/>
                  <w:szCs w:val="24"/>
                  <w:lang w:eastAsia="lt-LT"/>
                </w:rPr>
                <w:t>. Lietuvos Respublikos švietimo, mokslo ir sporto ministerijai – 4</w:t>
              </w:r>
              <w:r>
                <w:rPr>
                  <w:rFonts w:ascii="Calibri" w:eastAsia="Calibri" w:hAnsi="Calibri"/>
                  <w:sz w:val="22"/>
                  <w:szCs w:val="24"/>
                </w:rPr>
                <w:t> </w:t>
              </w:r>
              <w:r>
                <w:rPr>
                  <w:rFonts w:eastAsia="Calibri"/>
                  <w:szCs w:val="24"/>
                  <w:lang w:eastAsia="lt-LT"/>
                </w:rPr>
                <w:t>300</w:t>
              </w:r>
              <w:r>
                <w:rPr>
                  <w:rFonts w:ascii="Calibri" w:eastAsia="Calibri" w:hAnsi="Calibri"/>
                  <w:sz w:val="22"/>
                  <w:szCs w:val="24"/>
                </w:rPr>
                <w:t> </w:t>
              </w:r>
              <w:r>
                <w:rPr>
                  <w:rFonts w:eastAsia="Calibri"/>
                  <w:szCs w:val="24"/>
                  <w:lang w:eastAsia="lt-LT"/>
                </w:rPr>
                <w:t>000 (keturi milijonai trys šimtai tūkstančių) eurų Priemonių plano 4 tikslo „Skatinti ekonomiką“ priemonės „Įgyvendinti Ateities ekonomikos DNR planą (6,3 mlrd. eurų)“ Ateities ekonomikos DNR plano, kuriam pritarta Lietuvos Respublikos Vyriausybės 2020 m. birželio 10 d. pasitarime (pasitarimo protokolas Nr. 28), veiksmo „Švietimo inovacijos ir STEAM sričių plėtra bendrajame ugdyme, įskaitant mokytojų kaitą, kompetencijų gerinimą ir papildomo kvalifikacinio laipsnio įgijimą, skaitmeninio turinio rengimą ir skaitmeninių kompetencijų ugdymą ir STEAM atviros prieigos centrų veiklų plėtrą“ daliai, susijusiai su mokytojų kaita, įgyvendinti.</w:t>
              </w:r>
            </w:p>
          </w:sdtContent>
        </w:sdt>
        <w:sdt>
          <w:sdtPr>
            <w:alias w:val="3 p."/>
            <w:tag w:val="part_21d8140719ed41a385b406ed3c2d97ec"/>
            <w:lock w:val="sdtLocked"/>
            <w:richText/>
          </w:sdtPr>
          <w:sdtContent>
            <w:p>
              <w:pPr>
                <w:spacing w:line="360" w:lineRule="atLeast"/>
                <w:ind w:firstLine="720"/>
                <w:jc w:val="both"/>
                <w:rPr>
                  <w:szCs w:val="24"/>
                  <w:lang w:eastAsia="lt-LT"/>
                </w:rPr>
              </w:pPr>
              <w:sdt>
                <w:sdtPr>
                  <w:alias w:val="Numeris"/>
                  <w:tag w:val="nr_21d8140719ed41a385b406ed3c2d97ec"/>
                  <w:lock w:val="sdtLocked"/>
                  <w:richText/>
                </w:sdtPr>
                <w:sdtContent>
                  <w:r>
                    <w:rPr>
                      <w:szCs w:val="24"/>
                    </w:rPr>
                    <w:t>3</w:t>
                  </w:r>
                </w:sdtContent>
              </w:sdt>
              <w:r>
                <w:rPr>
                  <w:szCs w:val="24"/>
                </w:rPr>
                <w:t xml:space="preserve">. </w:t>
              </w:r>
              <w:r>
                <w:rPr>
                  <w:rFonts w:eastAsia="Calibri"/>
                  <w:szCs w:val="24"/>
                </w:rPr>
                <w:t>Lietuvos Respublikos žemės ūkio ministerijai – 7</w:t>
              </w:r>
              <w:r>
                <w:rPr>
                  <w:rFonts w:ascii="Calibri" w:eastAsia="Calibri" w:hAnsi="Calibri"/>
                  <w:sz w:val="22"/>
                  <w:szCs w:val="24"/>
                </w:rPr>
                <w:t> </w:t>
              </w:r>
              <w:r>
                <w:rPr>
                  <w:rFonts w:eastAsia="Calibri"/>
                  <w:szCs w:val="24"/>
                </w:rPr>
                <w:t>986</w:t>
              </w:r>
              <w:r>
                <w:rPr>
                  <w:rFonts w:ascii="Calibri" w:eastAsia="Calibri" w:hAnsi="Calibri"/>
                  <w:sz w:val="22"/>
                  <w:szCs w:val="24"/>
                </w:rPr>
                <w:t> </w:t>
              </w:r>
              <w:r>
                <w:rPr>
                  <w:rFonts w:eastAsia="Calibri"/>
                  <w:szCs w:val="24"/>
                </w:rPr>
                <w:t>000 (septyni milijonai devyni šimtai aštuoniasdešimt šeši tūkstančiai) eurų</w:t>
              </w:r>
              <w:r>
                <w:rPr>
                  <w:rFonts w:eastAsia="Calibri"/>
                  <w:szCs w:val="24"/>
                  <w:lang w:eastAsia="lt-LT"/>
                </w:rPr>
                <w:t xml:space="preserve"> Priemonių plano</w:t>
              </w:r>
              <w:r>
                <w:rPr>
                  <w:rFonts w:eastAsia="Calibri"/>
                  <w:szCs w:val="24"/>
                </w:rPr>
                <w:t xml:space="preserve"> </w:t>
              </w:r>
              <w:r>
                <w:rPr>
                  <w:rFonts w:eastAsia="Calibri"/>
                  <w:szCs w:val="24"/>
                  <w:lang w:eastAsia="lt-LT"/>
                </w:rPr>
                <w:t>3 tikslo „Padėti verslui išsaugoti likvidumą“ priemonei „Sudaryti sąlygas išsaugoti žemės ūkio sektoriaus gamybos potencialą ir tvarią maisto tiekimo grandinę (teikti laikinąją valstybės pagalbą pieno gamintojams, galvijų, kiaulių laikytojams ir daržovių augintojams; užtikrinti paramos mokėjimą įmonėms, vykdančioms žemės ūkio produktų perdirbimo veiklą pieno, galvijienos, paukštienos ir kiaušinių sektoriuose ir patyrusioms nuostolių dėl COVID-19 epideminės situacijos)“ įgyvendinti.</w:t>
              </w:r>
            </w:p>
          </w:sdtContent>
        </w:sdt>
        <w:sdt>
          <w:sdtPr>
            <w:alias w:val="4 p."/>
            <w:tag w:val="part_ec97205105da45c2bb214066dc55ec57"/>
            <w:lock w:val="sdtLocked"/>
            <w:richText/>
          </w:sdtPr>
          <w:sdtContent>
            <w:p>
              <w:pPr>
                <w:spacing w:line="360" w:lineRule="atLeast"/>
                <w:ind w:firstLine="720"/>
                <w:jc w:val="both"/>
                <w:rPr>
                  <w:szCs w:val="24"/>
                </w:rPr>
              </w:pPr>
              <w:sdt>
                <w:sdtPr>
                  <w:alias w:val="Numeris"/>
                  <w:tag w:val="nr_ec97205105da45c2bb214066dc55ec57"/>
                  <w:lock w:val="sdtLocked"/>
                  <w:richText/>
                </w:sdtPr>
                <w:sdtContent>
                  <w:r>
                    <w:rPr>
                      <w:szCs w:val="24"/>
                    </w:rPr>
                    <w:t>4</w:t>
                  </w:r>
                </w:sdtContent>
              </w:sdt>
              <w:r>
                <w:rPr>
                  <w:szCs w:val="24"/>
                </w:rPr>
                <w:t>. Lietuvos Respublikos finansų ministerijai – 17</w:t>
              </w:r>
              <w:r>
                <w:rPr>
                  <w:rFonts w:ascii="Calibri" w:eastAsia="Calibri" w:hAnsi="Calibri"/>
                  <w:sz w:val="22"/>
                  <w:szCs w:val="24"/>
                </w:rPr>
                <w:t> </w:t>
              </w:r>
              <w:r>
                <w:rPr>
                  <w:szCs w:val="24"/>
                </w:rPr>
                <w:t>719 (septyniolika tūkstančių septyni šimtai devyniolika) eurų, iš jų 1</w:t>
              </w:r>
              <w:r>
                <w:rPr>
                  <w:rFonts w:ascii="Calibri" w:eastAsia="Calibri" w:hAnsi="Calibri"/>
                  <w:sz w:val="22"/>
                  <w:szCs w:val="24"/>
                </w:rPr>
                <w:t> </w:t>
              </w:r>
              <w:r>
                <w:rPr>
                  <w:szCs w:val="24"/>
                </w:rPr>
                <w:t>026 (vienas tūkstantis dvidešimt šeši) eurus – Alytaus miesto savivaldybės administracijai UAB „Dzūkijos vandenys“ atliktų dumblo utilizavimo darbų išlaidoms padengti kaip valstybės paramą žalai, patirtai dėl ekstremaliosios situacijos, paskelbtos Alytaus miesto savivaldybės ir Alytaus rajono savivaldybės teritorijose, kilus gaisrui Alytaus miesto padangų perdirbimo įmonėje UAB „Ekologistika“ (toliau – ekstremalioji situacija), 7</w:t>
              </w:r>
              <w:r>
                <w:rPr>
                  <w:rFonts w:ascii="Calibri" w:eastAsia="Calibri" w:hAnsi="Calibri"/>
                  <w:sz w:val="22"/>
                  <w:szCs w:val="24"/>
                </w:rPr>
                <w:t> </w:t>
              </w:r>
              <w:r>
                <w:rPr>
                  <w:szCs w:val="24"/>
                </w:rPr>
                <w:t>636 (septyni tūkstančiai šeši šimtai trisdešimt šeši) eurus – Alytaus rajono savivaldybės administracijai kaip valstybės paramą žalai, patirtai dėl ekstremaliosios situacijos, atlyginti, iš jų 1</w:t>
              </w:r>
              <w:r>
                <w:rPr>
                  <w:rFonts w:ascii="Calibri" w:eastAsia="Calibri" w:hAnsi="Calibri"/>
                  <w:sz w:val="22"/>
                  <w:szCs w:val="24"/>
                </w:rPr>
                <w:t> </w:t>
              </w:r>
              <w:r>
                <w:rPr>
                  <w:szCs w:val="24"/>
                </w:rPr>
                <w:t>042 (vienas tūkstantis keturiasdešimt du) eurus – „Biovela-Utenos mėsa“, UAB, supirktų mėsinių galvijų skerdimo išlaidoms ir 6</w:t>
              </w:r>
              <w:r>
                <w:rPr>
                  <w:rFonts w:ascii="Calibri" w:eastAsia="Calibri" w:hAnsi="Calibri"/>
                  <w:sz w:val="22"/>
                  <w:szCs w:val="24"/>
                </w:rPr>
                <w:t> </w:t>
              </w:r>
              <w:r>
                <w:rPr>
                  <w:szCs w:val="24"/>
                </w:rPr>
                <w:t>594 (šeši tūkstančiai penki šimtai devyniasdešimt keturi) eurus – Alytaus rajono savivaldybės administracijos atliktų laboratorinių tyrimų išlaidoms padengti, 9</w:t>
              </w:r>
              <w:r>
                <w:rPr>
                  <w:rFonts w:ascii="Calibri" w:eastAsia="Calibri" w:hAnsi="Calibri"/>
                  <w:sz w:val="22"/>
                  <w:szCs w:val="24"/>
                </w:rPr>
                <w:t> </w:t>
              </w:r>
              <w:r>
                <w:rPr>
                  <w:szCs w:val="24"/>
                </w:rPr>
                <w:t>057 (devyni tūkstančiai penkiasdešimt septyni) eurus – Molėtų rajono savivaldybės administracijai uždarosios akcinės bendrovės „Alantos agroservisas“ patirtoms išlaidoms iš dalies padengti kaip valstybės paramą žalai, patirtai dėl ekstremaliosios situacijos, paskelbtos Molėtų rajono savivaldybės teritorijoje, nustačius afrikinį kiaulių marą uždarosios akcinės bendrovės „Takažolė“ kiaulių komplekse Molėtų r., Toliejų k., Aukštakalnio g. 5.</w:t>
              </w:r>
            </w:p>
            <w:p>
              <w:pPr>
                <w:spacing w:line="360" w:lineRule="atLeast"/>
                <w:ind w:firstLine="709"/>
                <w:jc w:val="both"/>
                <w:rPr>
                  <w:szCs w:val="24"/>
                  <w:lang w:eastAsia="lt-LT"/>
                </w:rPr>
              </w:pPr>
            </w:p>
          </w:sdtContent>
        </w:sdt>
        <w:sdt>
          <w:sdtPr>
            <w:alias w:val="signatura"/>
            <w:tag w:val="part_b9e28a8379be4f9eab860903e6b89b59"/>
            <w:lock w:val="sdtLocked"/>
            <w:richText/>
          </w:sdtPr>
          <w:sdtContent>
            <w:p>
              <w:pPr>
                <w:spacing w:line="360" w:lineRule="atLeast"/>
                <w:jc w:val="both"/>
                <w:rPr>
                  <w:szCs w:val="24"/>
                  <w:lang w:eastAsia="lt-LT"/>
                </w:rPr>
              </w:pPr>
              <w:r>
                <w:rPr>
                  <w:rFonts w:eastAsia="Calibri"/>
                  <w:szCs w:val="24"/>
                  <w:lang w:eastAsia="lt-LT"/>
                </w:rPr>
                <w:t>Ministras Pirmininkas</w:t>
              </w:r>
            </w:p>
            <w:p>
              <w:pPr>
                <w:spacing w:line="360" w:lineRule="atLeast"/>
                <w:jc w:val="both"/>
                <w:rPr>
                  <w:szCs w:val="24"/>
                  <w:lang w:eastAsia="lt-LT"/>
                </w:rPr>
              </w:pPr>
            </w:p>
            <w:p>
              <w:pPr>
                <w:spacing w:line="360" w:lineRule="atLeast"/>
                <w:jc w:val="both"/>
                <w:rPr>
                  <w:szCs w:val="24"/>
                  <w:lang w:eastAsia="lt-LT"/>
                </w:rPr>
              </w:pPr>
              <w:r>
                <w:rPr>
                  <w:rFonts w:eastAsia="Calibri"/>
                  <w:szCs w:val="24"/>
                  <w:lang w:eastAsia="lt-LT"/>
                </w:rPr>
                <w:t>Finansų ministras</w:t>
              </w:r>
            </w:p>
          </w:sdtContent>
        </w:sdt>
      </w:sdtContent>
    </w:sdt>
    <w:sectPr>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701" w:header="567" w:footer="567" w:gutter="0"/>
      <w:pgNumType w:start="1"/>
      <w:cols w:space="1296"/>
      <w:titlePg/>
      <w:docGrid w:linePitch="360"/>
    </w:sectPr>
  </w:body>
</w:document>
</file>

<file path=word/endnotes.xml><?xml version="1.0" encoding="utf-8"?>
<w:end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rPr>
          <w:rFonts w:ascii="Calibri" w:eastAsia="Calibri" w:hAnsi="Calibri"/>
          <w:sz w:val="22"/>
          <w:szCs w:val="22"/>
        </w:rPr>
      </w:pPr>
      <w:r>
        <w:rPr>
          <w:rFonts w:ascii="Calibri" w:eastAsia="Calibri" w:hAnsi="Calibri"/>
          <w:sz w:val="22"/>
          <w:szCs w:val="22"/>
        </w:rPr>
        <w:separator/>
      </w:r>
    </w:p>
  </w:endnote>
  <w:endnote w:type="continuationSeparator" w:id="0">
    <w:p>
      <w:pPr>
        <w:rPr>
          <w:rFonts w:ascii="Calibri" w:eastAsia="Calibri" w:hAnsi="Calibri"/>
          <w:sz w:val="22"/>
          <w:szCs w:val="22"/>
        </w:rPr>
      </w:pPr>
      <w:r>
        <w:rPr>
          <w:rFonts w:ascii="Calibri" w:eastAsia="Calibri" w:hAnsi="Calibri"/>
          <w:sz w:val="22"/>
          <w:szCs w:val="22"/>
        </w:rPr>
        <w:continuationSeparator/>
      </w:r>
    </w:p>
  </w:endnote>
</w:endnotes>
</file>

<file path=word/fontTable.xml><?xml version="1.0" encoding="utf-8"?>
<w:fonts xmlns:w="http://schemas.openxmlformats.org/wordprocessingml/2006/main" xmlns:mc="http://schemas.openxmlformats.org/markup-compatibility/2006" xmlns:r="http://schemas.openxmlformats.org/officeDocument/2006/relationships"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rPr>
        <w:rFonts w:ascii="Calibri" w:eastAsia="Calibri" w:hAnsi="Calibri"/>
        <w:sz w:val="22"/>
        <w:szCs w:val="22"/>
      </w:rP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jc w:val="center"/>
      <w:rPr>
        <w:rFonts w:ascii="Calibri" w:eastAsia="Calibri" w:hAnsi="Calibri"/>
        <w:sz w:val="22"/>
        <w:szCs w:val="22"/>
      </w:rPr>
    </w:pPr>
  </w:p>
  <w:p>
    <w:pPr>
      <w:tabs>
        <w:tab w:val="center" w:pos="4819"/>
        <w:tab w:val="right" w:pos="9638"/>
      </w:tabs>
      <w:spacing w:after="200" w:line="276" w:lineRule="auto"/>
      <w:rPr>
        <w:rFonts w:ascii="Calibri" w:eastAsia="Calibri" w:hAnsi="Calibri"/>
        <w:sz w:val="22"/>
        <w:szCs w:val="22"/>
      </w:rP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rPr>
        <w:rFonts w:ascii="Calibri" w:eastAsia="Calibri" w:hAnsi="Calibri"/>
        <w:sz w:val="22"/>
        <w:szCs w:val="22"/>
      </w:rPr>
    </w:pPr>
  </w:p>
</w:ftr>
</file>

<file path=word/footnotes.xml><?xml version="1.0" encoding="utf-8"?>
<w:footnot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rPr>
          <w:rFonts w:ascii="Calibri" w:eastAsia="Calibri" w:hAnsi="Calibri"/>
          <w:sz w:val="22"/>
          <w:szCs w:val="22"/>
        </w:rPr>
      </w:pPr>
      <w:r>
        <w:rPr>
          <w:rFonts w:ascii="Calibri" w:eastAsia="Calibri" w:hAnsi="Calibri"/>
          <w:sz w:val="22"/>
          <w:szCs w:val="22"/>
        </w:rPr>
        <w:separator/>
      </w:r>
    </w:p>
  </w:footnote>
  <w:footnote w:type="continuationSeparator" w:id="0">
    <w:p>
      <w:pPr>
        <w:rPr>
          <w:rFonts w:ascii="Calibri" w:eastAsia="Calibri" w:hAnsi="Calibri"/>
          <w:sz w:val="22"/>
          <w:szCs w:val="22"/>
        </w:rPr>
      </w:pPr>
      <w:r>
        <w:rPr>
          <w:rFonts w:ascii="Calibri" w:eastAsia="Calibri" w:hAnsi="Calibri"/>
          <w:sz w:val="22"/>
          <w:szCs w:val="22"/>
        </w:rPr>
        <w:continuationSeparator/>
      </w:r>
    </w:p>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rPr>
        <w:rFonts w:ascii="Calibri" w:eastAsia="Calibri" w:hAnsi="Calibri"/>
        <w:sz w:val="22"/>
        <w:szCs w:val="22"/>
      </w:rPr>
    </w:pP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jc w:val="center"/>
      <w:rPr>
        <w:rFonts w:eastAsia="Calibri"/>
        <w:szCs w:val="24"/>
      </w:rPr>
    </w:pPr>
    <w:r>
      <w:rPr>
        <w:rFonts w:eastAsia="Calibri"/>
        <w:szCs w:val="24"/>
      </w:rPr>
      <w:fldChar w:fldCharType="begin"/>
    </w:r>
    <w:r>
      <w:rPr>
        <w:rFonts w:eastAsia="Calibri"/>
        <w:szCs w:val="24"/>
      </w:rPr>
      <w:instrText>PAGE   \* MERGEFORMAT</w:instrText>
    </w:r>
    <w:r>
      <w:rPr>
        <w:rFonts w:eastAsia="Calibri"/>
        <w:szCs w:val="24"/>
      </w:rPr>
      <w:fldChar w:fldCharType="separate"/>
    </w:r>
    <w:r>
      <w:rPr>
        <w:rFonts w:eastAsia="Calibri"/>
        <w:szCs w:val="24"/>
      </w:rPr>
      <w:t>3</w:t>
    </w:r>
    <w:r>
      <w:rPr>
        <w:rFonts w:eastAsia="Calibri"/>
        <w:szCs w:val="24"/>
      </w:rPr>
      <w:fldChar w:fldCharType="end"/>
    </w:r>
  </w:p>
  <w:p>
    <w:pPr>
      <w:tabs>
        <w:tab w:val="center" w:pos="4819"/>
        <w:tab w:val="right" w:pos="9638"/>
      </w:tabs>
      <w:spacing w:after="200" w:line="276" w:lineRule="auto"/>
      <w:rPr>
        <w:rFonts w:ascii="Calibri" w:eastAsia="Calibri" w:hAnsi="Calibri"/>
        <w:sz w:val="22"/>
        <w:szCs w:val="22"/>
      </w:rPr>
    </w:pP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tabs>
        <w:tab w:val="center" w:pos="4819"/>
        <w:tab w:val="right" w:pos="9638"/>
      </w:tabs>
      <w:spacing w:after="200" w:line="276" w:lineRule="auto"/>
      <w:rPr>
        <w:rFonts w:ascii="Calibri" w:eastAsia="Calibri" w:hAnsi="Calibri"/>
        <w:sz w:val="22"/>
        <w:szCs w:val="22"/>
      </w:rPr>
    </w:pPr>
  </w:p>
</w:hdr>
</file>

<file path=word/settings.xml><?xml version="1.0" encoding="utf-8"?>
<w:settings xmlns:w="http://schemas.openxmlformats.org/wordprocessingml/2006/main"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mc:Ignorable="w14">
  <w:view w:val="normal"/>
  <w:zoom w:percent="100"/>
  <w:defaultTabStop w:val="1298"/>
  <w:hyphenationZone w:val="396"/>
  <w:doNotHyphenateCap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180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w="http://schemas.openxmlformats.org/wordprocessingml/2006/main" xmlns:mc="http://schemas.openxmlformats.org/markup-compatibility/2006" xmlns:r="http://schemas.openxmlformats.org/officeDocument/2006/relationships" xmlns:w14="http://schemas.microsoft.com/office/word/2010/wordml" mc:Ignorable="w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267"/>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w="http://schemas.openxmlformats.org/wordprocessingml/2006/main" xmlns:mc="http://schemas.openxmlformats.org/markup-compatibility/2006" xmlns:r="http://schemas.openxmlformats.org/officeDocument/2006/relationships" xmlns:w14="http://schemas.microsoft.com/office/word/2010/wordml" mc:Ignorable="w14">
  <w:divs>
    <w:div w:id="281423171">
      <w:bodyDiv w:val="1"/>
      <w:marLeft w:val="0"/>
      <w:marRight w:val="0"/>
      <w:marTop w:val="0"/>
      <w:marBottom w:val="0"/>
      <w:divBdr>
        <w:top w:val="none" w:sz="0" w:space="0" w:color="auto"/>
        <w:left w:val="none" w:sz="0" w:space="0" w:color="auto"/>
        <w:bottom w:val="none" w:sz="0" w:space="0" w:color="auto"/>
        <w:right w:val="none" w:sz="0" w:space="0" w:color="auto"/>
      </w:divBdr>
    </w:div>
    <w:div w:id="383483115">
      <w:bodyDiv w:val="1"/>
      <w:marLeft w:val="0"/>
      <w:marRight w:val="0"/>
      <w:marTop w:val="0"/>
      <w:marBottom w:val="0"/>
      <w:divBdr>
        <w:top w:val="none" w:sz="0" w:space="0" w:color="auto"/>
        <w:left w:val="none" w:sz="0" w:space="0" w:color="auto"/>
        <w:bottom w:val="none" w:sz="0" w:space="0" w:color="auto"/>
        <w:right w:val="none" w:sz="0" w:space="0" w:color="auto"/>
      </w:divBdr>
    </w:div>
    <w:div w:id="467283727">
      <w:bodyDiv w:val="1"/>
      <w:marLeft w:val="0"/>
      <w:marRight w:val="0"/>
      <w:marTop w:val="0"/>
      <w:marBottom w:val="0"/>
      <w:divBdr>
        <w:top w:val="none" w:sz="0" w:space="0" w:color="auto"/>
        <w:left w:val="none" w:sz="0" w:space="0" w:color="auto"/>
        <w:bottom w:val="none" w:sz="0" w:space="0" w:color="auto"/>
        <w:right w:val="none" w:sz="0" w:space="0" w:color="auto"/>
      </w:divBdr>
    </w:div>
    <w:div w:id="584996338">
      <w:bodyDiv w:val="1"/>
      <w:marLeft w:val="0"/>
      <w:marRight w:val="0"/>
      <w:marTop w:val="0"/>
      <w:marBottom w:val="0"/>
      <w:divBdr>
        <w:top w:val="none" w:sz="0" w:space="0" w:color="auto"/>
        <w:left w:val="none" w:sz="0" w:space="0" w:color="auto"/>
        <w:bottom w:val="none" w:sz="0" w:space="0" w:color="auto"/>
        <w:right w:val="none" w:sz="0" w:space="0" w:color="auto"/>
      </w:divBdr>
    </w:div>
    <w:div w:id="1051853388">
      <w:bodyDiv w:val="1"/>
      <w:marLeft w:val="0"/>
      <w:marRight w:val="0"/>
      <w:marTop w:val="0"/>
      <w:marBottom w:val="0"/>
      <w:divBdr>
        <w:top w:val="none" w:sz="0" w:space="0" w:color="auto"/>
        <w:left w:val="none" w:sz="0" w:space="0" w:color="auto"/>
        <w:bottom w:val="none" w:sz="0" w:space="0" w:color="auto"/>
        <w:right w:val="none" w:sz="0" w:space="0" w:color="auto"/>
      </w:divBdr>
    </w:div>
    <w:div w:id="1136870041">
      <w:bodyDiv w:val="1"/>
      <w:marLeft w:val="0"/>
      <w:marRight w:val="0"/>
      <w:marTop w:val="0"/>
      <w:marBottom w:val="0"/>
      <w:divBdr>
        <w:top w:val="none" w:sz="0" w:space="0" w:color="auto"/>
        <w:left w:val="none" w:sz="0" w:space="0" w:color="auto"/>
        <w:bottom w:val="none" w:sz="0" w:space="0" w:color="auto"/>
        <w:right w:val="none" w:sz="0" w:space="0" w:color="auto"/>
      </w:divBdr>
    </w:div>
    <w:div w:id="1148402140">
      <w:bodyDiv w:val="1"/>
      <w:marLeft w:val="0"/>
      <w:marRight w:val="0"/>
      <w:marTop w:val="0"/>
      <w:marBottom w:val="0"/>
      <w:divBdr>
        <w:top w:val="none" w:sz="0" w:space="0" w:color="auto"/>
        <w:left w:val="none" w:sz="0" w:space="0" w:color="auto"/>
        <w:bottom w:val="none" w:sz="0" w:space="0" w:color="auto"/>
        <w:right w:val="none" w:sz="0" w:space="0" w:color="auto"/>
      </w:divBdr>
    </w:div>
    <w:div w:id="1209955321">
      <w:bodyDiv w:val="1"/>
      <w:marLeft w:val="0"/>
      <w:marRight w:val="0"/>
      <w:marTop w:val="0"/>
      <w:marBottom w:val="0"/>
      <w:divBdr>
        <w:top w:val="none" w:sz="0" w:space="0" w:color="auto"/>
        <w:left w:val="none" w:sz="0" w:space="0" w:color="auto"/>
        <w:bottom w:val="none" w:sz="0" w:space="0" w:color="auto"/>
        <w:right w:val="none" w:sz="0" w:space="0" w:color="auto"/>
      </w:divBdr>
    </w:div>
    <w:div w:id="1272591805">
      <w:bodyDiv w:val="1"/>
      <w:marLeft w:val="0"/>
      <w:marRight w:val="0"/>
      <w:marTop w:val="0"/>
      <w:marBottom w:val="0"/>
      <w:divBdr>
        <w:top w:val="none" w:sz="0" w:space="0" w:color="auto"/>
        <w:left w:val="none" w:sz="0" w:space="0" w:color="auto"/>
        <w:bottom w:val="none" w:sz="0" w:space="0" w:color="auto"/>
        <w:right w:val="none" w:sz="0" w:space="0" w:color="auto"/>
      </w:divBdr>
    </w:div>
    <w:div w:id="1276862913">
      <w:bodyDiv w:val="1"/>
      <w:marLeft w:val="0"/>
      <w:marRight w:val="0"/>
      <w:marTop w:val="0"/>
      <w:marBottom w:val="0"/>
      <w:divBdr>
        <w:top w:val="none" w:sz="0" w:space="0" w:color="auto"/>
        <w:left w:val="none" w:sz="0" w:space="0" w:color="auto"/>
        <w:bottom w:val="none" w:sz="0" w:space="0" w:color="auto"/>
        <w:right w:val="none" w:sz="0" w:space="0" w:color="auto"/>
      </w:divBdr>
    </w:div>
    <w:div w:id="1475753203">
      <w:bodyDiv w:val="1"/>
      <w:marLeft w:val="0"/>
      <w:marRight w:val="0"/>
      <w:marTop w:val="0"/>
      <w:marBottom w:val="0"/>
      <w:divBdr>
        <w:top w:val="none" w:sz="0" w:space="0" w:color="auto"/>
        <w:left w:val="none" w:sz="0" w:space="0" w:color="auto"/>
        <w:bottom w:val="none" w:sz="0" w:space="0" w:color="auto"/>
        <w:right w:val="none" w:sz="0" w:space="0" w:color="auto"/>
      </w:divBdr>
    </w:div>
    <w:div w:id="1618679077">
      <w:bodyDiv w:val="1"/>
      <w:marLeft w:val="0"/>
      <w:marRight w:val="0"/>
      <w:marTop w:val="0"/>
      <w:marBottom w:val="0"/>
      <w:divBdr>
        <w:top w:val="none" w:sz="0" w:space="0" w:color="auto"/>
        <w:left w:val="none" w:sz="0" w:space="0" w:color="auto"/>
        <w:bottom w:val="none" w:sz="0" w:space="0" w:color="auto"/>
        <w:right w:val="none" w:sz="0" w:space="0" w:color="auto"/>
      </w:divBdr>
    </w:div>
    <w:div w:id="1755779657">
      <w:bodyDiv w:val="1"/>
      <w:marLeft w:val="0"/>
      <w:marRight w:val="0"/>
      <w:marTop w:val="0"/>
      <w:marBottom w:val="0"/>
      <w:divBdr>
        <w:top w:val="none" w:sz="0" w:space="0" w:color="auto"/>
        <w:left w:val="none" w:sz="0" w:space="0" w:color="auto"/>
        <w:bottom w:val="none" w:sz="0" w:space="0" w:color="auto"/>
        <w:right w:val="none" w:sz="0" w:space="0" w:color="auto"/>
      </w:divBdr>
    </w:div>
    <w:div w:id="1789928297">
      <w:bodyDiv w:val="1"/>
      <w:marLeft w:val="0"/>
      <w:marRight w:val="0"/>
      <w:marTop w:val="0"/>
      <w:marBottom w:val="0"/>
      <w:divBdr>
        <w:top w:val="none" w:sz="0" w:space="0" w:color="auto"/>
        <w:left w:val="none" w:sz="0" w:space="0" w:color="auto"/>
        <w:bottom w:val="none" w:sz="0" w:space="0" w:color="auto"/>
        <w:right w:val="none" w:sz="0" w:space="0" w:color="auto"/>
      </w:divBdr>
    </w:div>
    <w:div w:id="1810051446">
      <w:bodyDiv w:val="1"/>
      <w:marLeft w:val="0"/>
      <w:marRight w:val="0"/>
      <w:marTop w:val="0"/>
      <w:marBottom w:val="0"/>
      <w:divBdr>
        <w:top w:val="none" w:sz="0" w:space="0" w:color="auto"/>
        <w:left w:val="none" w:sz="0" w:space="0" w:color="auto"/>
        <w:bottom w:val="none" w:sz="0" w:space="0" w:color="auto"/>
        <w:right w:val="none" w:sz="0" w:space="0" w:color="auto"/>
      </w:divBdr>
    </w:div>
    <w:div w:id="1879080415">
      <w:bodyDiv w:val="1"/>
      <w:marLeft w:val="0"/>
      <w:marRight w:val="0"/>
      <w:marTop w:val="0"/>
      <w:marBottom w:val="0"/>
      <w:divBdr>
        <w:top w:val="none" w:sz="0" w:space="0" w:color="auto"/>
        <w:left w:val="none" w:sz="0" w:space="0" w:color="auto"/>
        <w:bottom w:val="none" w:sz="0" w:space="0" w:color="auto"/>
        <w:right w:val="none" w:sz="0" w:space="0" w:color="auto"/>
      </w:divBdr>
    </w:div>
    <w:div w:id="1976134974">
      <w:bodyDiv w:val="1"/>
      <w:marLeft w:val="0"/>
      <w:marRight w:val="0"/>
      <w:marTop w:val="0"/>
      <w:marBottom w:val="0"/>
      <w:divBdr>
        <w:top w:val="none" w:sz="0" w:space="0" w:color="auto"/>
        <w:left w:val="none" w:sz="0" w:space="0" w:color="auto"/>
        <w:bottom w:val="none" w:sz="0" w:space="0" w:color="auto"/>
        <w:right w:val="none" w:sz="0" w:space="0" w:color="auto"/>
      </w:divBdr>
    </w:div>
    <w:div w:id="1982030611">
      <w:bodyDiv w:val="1"/>
      <w:marLeft w:val="0"/>
      <w:marRight w:val="0"/>
      <w:marTop w:val="0"/>
      <w:marBottom w:val="0"/>
      <w:divBdr>
        <w:top w:val="none" w:sz="0" w:space="0" w:color="auto"/>
        <w:left w:val="none" w:sz="0" w:space="0" w:color="auto"/>
        <w:bottom w:val="none" w:sz="0" w:space="0" w:color="auto"/>
        <w:right w:val="none" w:sz="0" w:space="0" w:color="auto"/>
      </w:divBdr>
    </w:div>
    <w:div w:id="2072118309">
      <w:bodyDiv w:val="1"/>
      <w:marLeft w:val="0"/>
      <w:marRight w:val="0"/>
      <w:marTop w:val="0"/>
      <w:marBottom w:val="0"/>
      <w:divBdr>
        <w:top w:val="none" w:sz="0" w:space="0" w:color="auto"/>
        <w:left w:val="none" w:sz="0" w:space="0" w:color="auto"/>
        <w:bottom w:val="none" w:sz="0" w:space="0" w:color="auto"/>
        <w:right w:val="none" w:sz="0" w:space="0" w:color="auto"/>
      </w:divBdr>
    </w:div>
    <w:div w:id="2114669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16" Target="../customXml/item2.xml"
                 Type="http://schemas.openxmlformats.org/officeDocument/2006/relationships/customXml"/>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arts xmlns="http://lrs.lt/TAIS/DocParts">
  <Part Type="pagrindine" DocPartId="1ac65998263545dabd4d69349ff2b6fd" PartId="197dc6bee2c2430f852a3e9458dae5b5">
    <Part Type="preambule" DocPartId="64c6d63dec434816920681378dad44c3" PartId="004504d8727a4eb2bb47c2277c10f609"/>
    <Part Type="pastraipa" DocPartId="9c7a4b0c28c24a62ab3642fbc53e1a41" PartId="514b238a29a24f37bb04f739043254be"/>
    <Part Type="punktas" Nr="1" Abbr="1 p." DocPartId="8b6322c05a7a4de3b8d26434f1336173" PartId="ff3d3dce79884e1bbedee2ca57f06622">
      <Part Type="papunktis" Nr="1.1" Abbr="1.1 pp." DocPartId="74de22cd8d38433bb31d2d83ead2468e" PartId="7783c752d22d4ab08eee0fd10ae745f0"/>
      <Part Type="papunktis" Nr="1.2" Abbr="1.2 pp." DocPartId="92f89adc358c42559409f57679939aa1" PartId="7f2bd5f19f304b129d45ff132519ae4b"/>
      <Part Type="papunktis" Nr="1.3" Abbr="1.3 pp." DocPartId="572eadf4603d4617b6d62477da1c7511" PartId="430d8c75e604419aac8428b69c17d5dd"/>
      <Part Type="papunktis" Nr="1.4" Abbr="1.4 pp." DocPartId="8db0c2c615ae4708bb089445c5e1ac15" PartId="bc56bfe598ce43779a9d62e70f4c66ea"/>
    </Part>
    <Part Type="punktas" Nr="2" Abbr="2 p." DocPartId="881a570dc1034b8ebf7f4516edd81685" PartId="8eee894d9b8e4c6a9179f7bd5dacb954"/>
    <Part Type="punktas" Nr="3" Abbr="3 p." DocPartId="3781465d3cc148478d3dea87b39ea210" PartId="21d8140719ed41a385b406ed3c2d97ec"/>
    <Part Type="punktas" Nr="4" Abbr="4 p." DocPartId="b5681a9b136e4713804fa766acacd2d5" PartId="ec97205105da45c2bb214066dc55ec57"/>
    <Part Type="signatura" DocPartId="b58e6041e4f74719bfd6e92d0cdc65cb" PartId="b9e28a8379be4f9eab860903e6b89b59"/>
  </Part>
</Parts>
</file>

<file path=customXml/itemProps1.xml><?xml version="1.0" encoding="utf-8"?>
<ds:datastoreItem xmlns:ds="http://schemas.openxmlformats.org/officeDocument/2006/customXml" ds:itemID="{8C8DF4E6-8CFA-4872-A58F-A6B159A11A05}">
  <ds:schemaRefs>
    <ds:schemaRef ds:uri="http://schemas.openxmlformats.org/officeDocument/2006/bibliography"/>
  </ds:schemaRefs>
</ds:datastoreItem>
</file>

<file path=customXml/itemProps2.xml><?xml version="1.0" encoding="utf-8"?>
<ds:datastoreItem xmlns:ds="http://schemas.openxmlformats.org/officeDocument/2006/customXml" ds:itemID="{79D6878A-9592-4805-8A48-0B8479891AEB}">
  <ds:schemaRefs>
    <ds:schemaRef ds:uri="http://lrs.lt/TAIS/DocPart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733</Words>
  <Characters>5328</Characters>
  <Application>Microsoft Office Word</Application>
  <DocSecurity>4</DocSecurity>
  <Lines>87</Lines>
  <Paragraphs>20</Paragraphs>
  <ScaleCrop>false</ScaleCrop>
  <HeadingPairs>
    <vt:vector size="2" baseType="variant">
      <vt:variant>
        <vt:lpstr>Pavadinimas</vt:lpstr>
      </vt:variant>
      <vt:variant>
        <vt:i4>1</vt:i4>
      </vt:variant>
    </vt:vector>
  </HeadingPairs>
  <TitlesOfParts>
    <vt:vector size="1" baseType="lpstr">
      <vt:lpstr>Projektas</vt:lpstr>
    </vt:vector>
  </TitlesOfParts>
  <Company>FM</Company>
  <LinksUpToDate>false</LinksUpToDate>
  <CharactersWithSpaces>6041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2020-07-29T05:57:00Z</dcterms:created>
  <dc:creator>Penikiene_G</dc:creator>
  <cp:lastModifiedBy>Asseco</cp:lastModifiedBy>
  <cp:lastPrinted>2020-07-28T11:20:00Z</cp:lastPrinted>
  <dcterms:modified xsi:type="dcterms:W3CDTF">2020-07-29T05:57:00Z</dcterms:modified>
  <cp:revision>2</cp:revision>
  <dc:title>Projektas</dc:title>
</cp:coreProperties>
</file>