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99703" w14:textId="77777777" w:rsidR="00EE66E6" w:rsidRDefault="00EE66E6" w:rsidP="00EE66E6">
      <w:pPr>
        <w:ind w:right="395"/>
        <w:jc w:val="center"/>
        <w:rPr>
          <w:b/>
          <w:bCs/>
          <w:sz w:val="24"/>
          <w:szCs w:val="24"/>
          <w:lang w:eastAsia="en-US"/>
        </w:rPr>
      </w:pPr>
      <w:bookmarkStart w:id="0" w:name="_GoBack"/>
      <w:bookmarkEnd w:id="0"/>
      <w:r w:rsidRPr="00EE66E6">
        <w:rPr>
          <w:b/>
          <w:bCs/>
          <w:sz w:val="24"/>
          <w:szCs w:val="24"/>
          <w:lang w:eastAsia="en-US"/>
        </w:rPr>
        <w:t>LIETUVOS RESPUBLIKOS VYRIAUSYBĖS NUTARIMO „DĖL LIETUVOS RESPUBLIKOS VYRIAUSYBĖS 2003 M. LAPKRIČIO 27 D. NUTARIMO NR. 1485 „DĖL OFICIALIŲ SVEČIŲ PRIĖMIMO LIETUVOS RESPUBLIKOJE TVARKOS PA</w:t>
      </w:r>
      <w:r>
        <w:rPr>
          <w:b/>
          <w:bCs/>
          <w:sz w:val="24"/>
          <w:szCs w:val="24"/>
          <w:lang w:eastAsia="en-US"/>
        </w:rPr>
        <w:t xml:space="preserve">TVIRTINIMO“ PAKEITIMO“ PROJEKTO </w:t>
      </w:r>
      <w:r w:rsidR="00287E76">
        <w:rPr>
          <w:b/>
          <w:bCs/>
          <w:sz w:val="24"/>
          <w:szCs w:val="24"/>
          <w:lang w:eastAsia="en-US"/>
        </w:rPr>
        <w:t>(toliau – Nutarimo projektas Nr. 1)</w:t>
      </w:r>
    </w:p>
    <w:p w14:paraId="06C99704" w14:textId="77777777" w:rsidR="00EE66E6" w:rsidRPr="00381E7B" w:rsidRDefault="00EE66E6" w:rsidP="00EE66E6">
      <w:pPr>
        <w:ind w:right="395"/>
        <w:jc w:val="center"/>
        <w:rPr>
          <w:b/>
          <w:sz w:val="24"/>
          <w:szCs w:val="24"/>
        </w:rPr>
      </w:pPr>
      <w:r w:rsidRPr="00381E7B">
        <w:rPr>
          <w:b/>
          <w:sz w:val="24"/>
          <w:szCs w:val="24"/>
        </w:rPr>
        <w:t>DERINIMO PAŽYMA</w:t>
      </w:r>
    </w:p>
    <w:p w14:paraId="06C99705" w14:textId="77777777" w:rsidR="00EE66E6" w:rsidRDefault="00EE66E6" w:rsidP="00EE66E6">
      <w:pPr>
        <w:jc w:val="center"/>
      </w:pPr>
    </w:p>
    <w:tbl>
      <w:tblPr>
        <w:tblStyle w:val="TableGrid"/>
        <w:tblW w:w="0" w:type="auto"/>
        <w:tblLook w:val="04A0" w:firstRow="1" w:lastRow="0" w:firstColumn="1" w:lastColumn="0" w:noHBand="0" w:noVBand="1"/>
      </w:tblPr>
      <w:tblGrid>
        <w:gridCol w:w="2515"/>
        <w:gridCol w:w="6217"/>
        <w:gridCol w:w="4578"/>
      </w:tblGrid>
      <w:tr w:rsidR="00EE66E6" w14:paraId="06C9970A" w14:textId="77777777" w:rsidTr="00930E11">
        <w:tc>
          <w:tcPr>
            <w:tcW w:w="2515" w:type="dxa"/>
          </w:tcPr>
          <w:p w14:paraId="06C99706" w14:textId="77777777" w:rsidR="00EE66E6" w:rsidRPr="00577969" w:rsidRDefault="00EE66E6" w:rsidP="007006E9">
            <w:pPr>
              <w:jc w:val="center"/>
              <w:rPr>
                <w:sz w:val="22"/>
                <w:szCs w:val="22"/>
              </w:rPr>
            </w:pPr>
            <w:r w:rsidRPr="00577969">
              <w:rPr>
                <w:sz w:val="22"/>
                <w:szCs w:val="22"/>
              </w:rPr>
              <w:t>Institucijos pavadinimas, rašto data ir numeris</w:t>
            </w:r>
          </w:p>
        </w:tc>
        <w:tc>
          <w:tcPr>
            <w:tcW w:w="6217" w:type="dxa"/>
          </w:tcPr>
          <w:p w14:paraId="06C99707" w14:textId="77777777" w:rsidR="00EE66E6" w:rsidRDefault="00EE66E6" w:rsidP="007006E9">
            <w:pPr>
              <w:jc w:val="center"/>
              <w:rPr>
                <w:sz w:val="22"/>
                <w:szCs w:val="22"/>
              </w:rPr>
            </w:pPr>
          </w:p>
          <w:p w14:paraId="06C99708" w14:textId="77777777" w:rsidR="00EE66E6" w:rsidRDefault="00EE66E6" w:rsidP="007006E9">
            <w:pPr>
              <w:jc w:val="center"/>
            </w:pPr>
            <w:r w:rsidRPr="00B87031">
              <w:rPr>
                <w:sz w:val="22"/>
                <w:szCs w:val="22"/>
              </w:rPr>
              <w:t>Pastabos ir pasiūlymai</w:t>
            </w:r>
          </w:p>
        </w:tc>
        <w:tc>
          <w:tcPr>
            <w:tcW w:w="4578" w:type="dxa"/>
          </w:tcPr>
          <w:p w14:paraId="06C99709" w14:textId="77777777" w:rsidR="00EE66E6" w:rsidRDefault="00EE66E6" w:rsidP="007006E9">
            <w:pPr>
              <w:jc w:val="center"/>
            </w:pPr>
            <w:r>
              <w:rPr>
                <w:sz w:val="22"/>
                <w:szCs w:val="22"/>
              </w:rPr>
              <w:t>Argumentai dėl</w:t>
            </w:r>
            <w:r w:rsidRPr="00B87031">
              <w:rPr>
                <w:sz w:val="22"/>
                <w:szCs w:val="22"/>
              </w:rPr>
              <w:t xml:space="preserve"> nepriimtų (nurodyti motyvai) pastabų ir pasiūlymų</w:t>
            </w:r>
          </w:p>
        </w:tc>
      </w:tr>
      <w:tr w:rsidR="00930E11" w14:paraId="06C99714" w14:textId="77777777" w:rsidTr="00930E11">
        <w:tc>
          <w:tcPr>
            <w:tcW w:w="2515" w:type="dxa"/>
            <w:vMerge w:val="restart"/>
          </w:tcPr>
          <w:p w14:paraId="06C9970B" w14:textId="77777777" w:rsidR="00BE3136" w:rsidRDefault="00930E11" w:rsidP="00930E11">
            <w:pPr>
              <w:jc w:val="center"/>
              <w:rPr>
                <w:sz w:val="22"/>
                <w:szCs w:val="22"/>
              </w:rPr>
            </w:pPr>
            <w:r>
              <w:rPr>
                <w:sz w:val="22"/>
                <w:szCs w:val="22"/>
              </w:rPr>
              <w:t xml:space="preserve">Policijos departamento prie Lietuvos Respublikos vidaus reikalų ministerijos </w:t>
            </w:r>
          </w:p>
          <w:p w14:paraId="06C9970C" w14:textId="77777777" w:rsidR="00BE3136" w:rsidRDefault="00930E11" w:rsidP="00930E11">
            <w:pPr>
              <w:jc w:val="center"/>
              <w:rPr>
                <w:sz w:val="22"/>
                <w:szCs w:val="22"/>
              </w:rPr>
            </w:pPr>
            <w:r>
              <w:rPr>
                <w:sz w:val="22"/>
                <w:szCs w:val="22"/>
              </w:rPr>
              <w:t xml:space="preserve">2020-06-08 raštas </w:t>
            </w:r>
          </w:p>
          <w:p w14:paraId="06C9970D" w14:textId="77777777" w:rsidR="00930E11" w:rsidRPr="00577969" w:rsidRDefault="00930E11" w:rsidP="00930E11">
            <w:pPr>
              <w:jc w:val="center"/>
              <w:rPr>
                <w:sz w:val="22"/>
                <w:szCs w:val="22"/>
              </w:rPr>
            </w:pPr>
            <w:r>
              <w:rPr>
                <w:sz w:val="22"/>
                <w:szCs w:val="22"/>
              </w:rPr>
              <w:t xml:space="preserve">Nr.  </w:t>
            </w:r>
            <w:r w:rsidRPr="00930E11">
              <w:rPr>
                <w:sz w:val="22"/>
                <w:szCs w:val="22"/>
              </w:rPr>
              <w:t>5-S-7228</w:t>
            </w:r>
          </w:p>
        </w:tc>
        <w:tc>
          <w:tcPr>
            <w:tcW w:w="6217" w:type="dxa"/>
          </w:tcPr>
          <w:p w14:paraId="06C9970E" w14:textId="77777777" w:rsidR="00930E11" w:rsidRDefault="00930E11" w:rsidP="00930E11">
            <w:pPr>
              <w:pStyle w:val="Standard"/>
              <w:numPr>
                <w:ilvl w:val="0"/>
                <w:numId w:val="1"/>
              </w:numPr>
              <w:tabs>
                <w:tab w:val="left" w:pos="1185"/>
              </w:tabs>
              <w:suppressAutoHyphens/>
              <w:ind w:left="0" w:firstLine="850"/>
              <w:jc w:val="both"/>
              <w:textAlignment w:val="top"/>
              <w:rPr>
                <w:rFonts w:ascii="Times New Roman" w:hAnsi="Times New Roman"/>
              </w:rPr>
            </w:pPr>
            <w:r>
              <w:rPr>
                <w:rFonts w:ascii="Times New Roman" w:hAnsi="Times New Roman"/>
                <w:sz w:val="24"/>
                <w:szCs w:val="24"/>
              </w:rPr>
              <w:t>Siūlome pakeisti Nutarimo projekto 3.1 papunktį ir jį išdėstyti taip:</w:t>
            </w:r>
          </w:p>
          <w:p w14:paraId="06C9970F" w14:textId="77777777" w:rsidR="00930E11" w:rsidRDefault="00930E11" w:rsidP="00930E11">
            <w:pPr>
              <w:pStyle w:val="Standard"/>
              <w:suppressAutoHyphens/>
              <w:ind w:firstLine="850"/>
              <w:jc w:val="both"/>
              <w:textAlignment w:val="top"/>
              <w:rPr>
                <w:rFonts w:ascii="Times New Roman" w:hAnsi="Times New Roman"/>
              </w:rPr>
            </w:pPr>
            <w:r>
              <w:rPr>
                <w:rFonts w:ascii="Times New Roman" w:hAnsi="Times New Roman"/>
                <w:sz w:val="24"/>
                <w:szCs w:val="24"/>
              </w:rPr>
              <w:t xml:space="preserve">„3.1. </w:t>
            </w:r>
            <w:r>
              <w:rPr>
                <w:rFonts w:ascii="Times New Roman" w:hAnsi="Times New Roman"/>
                <w:b/>
                <w:bCs/>
                <w:sz w:val="24"/>
                <w:szCs w:val="24"/>
              </w:rPr>
              <w:t>Eskortavimas</w:t>
            </w:r>
            <w:r>
              <w:rPr>
                <w:rFonts w:ascii="Times New Roman" w:hAnsi="Times New Roman"/>
                <w:sz w:val="24"/>
                <w:szCs w:val="24"/>
              </w:rPr>
              <w:t xml:space="preserve"> – veikla, kai skiriamaisiais ženklais pažymėtais motociklais su įrengtais specialiaisiais garso ir šviesos signalais, užtikrinamas lydimos transporto priemonės ir eismo saugumas, nestabdomas judėjimas.“</w:t>
            </w:r>
          </w:p>
          <w:p w14:paraId="06C99710" w14:textId="77777777" w:rsidR="00930E11" w:rsidRDefault="00930E11" w:rsidP="00287E76">
            <w:pPr>
              <w:pStyle w:val="Standard"/>
              <w:suppressAutoHyphens/>
              <w:ind w:firstLine="850"/>
              <w:jc w:val="both"/>
              <w:textAlignment w:val="top"/>
              <w:rPr>
                <w:sz w:val="22"/>
                <w:szCs w:val="22"/>
              </w:rPr>
            </w:pPr>
            <w:r>
              <w:rPr>
                <w:rFonts w:ascii="Times New Roman" w:hAnsi="Times New Roman"/>
                <w:sz w:val="24"/>
                <w:szCs w:val="24"/>
              </w:rPr>
              <w:t xml:space="preserve">Šią sąvoką tikslinga pakeisti atsižvelgiant į vyraujančią eskortavimo praktiką, kai oficialių asmenų eskortavimas vykdomas naudojant tam tikrą taktiką bei išsidėstymą. Vadovaujantis Lietuvos Respublikos saugaus eismo automobilių keliais įstatymo 19 straipsnio 2 dalimi ir Kelių eismo taisyklių 186 punkto nuostatomis bei atsižvelgiant į eismo saugumą, aptariamoje sąvokoje turi būti nustatytas imperatyvas eskortavimui naudoti tik motociklus su skiriamaisiais ženklais ir įrengtais specialiaisiais garso ir šviesos signalais. Taip pat atsižvelgdami į pasiūlymą, kurį teikiame šio rašto 2 punkte, aptartą sąvoką siūlome dėstyti be žodžio „iškilmingai“ arba atitinkamai ją tikslinti. Papildomai atkreiptinas dėmesys, kad tiek Nutarimo projekto </w:t>
            </w:r>
            <w:r w:rsidRPr="00E056EE">
              <w:rPr>
                <w:rFonts w:ascii="Times New Roman" w:hAnsi="Times New Roman"/>
                <w:sz w:val="24"/>
                <w:szCs w:val="24"/>
              </w:rPr>
              <w:t xml:space="preserve">3.1 </w:t>
            </w:r>
            <w:r>
              <w:rPr>
                <w:rFonts w:ascii="Times New Roman" w:hAnsi="Times New Roman"/>
                <w:sz w:val="24"/>
                <w:szCs w:val="24"/>
              </w:rPr>
              <w:t xml:space="preserve">papunktyje, tiek ir Nutarimo projekto </w:t>
            </w:r>
            <w:r w:rsidRPr="00E056EE">
              <w:rPr>
                <w:rFonts w:ascii="Times New Roman" w:hAnsi="Times New Roman"/>
                <w:sz w:val="24"/>
                <w:szCs w:val="24"/>
              </w:rPr>
              <w:t xml:space="preserve">9.1 </w:t>
            </w:r>
            <w:r>
              <w:rPr>
                <w:rFonts w:ascii="Times New Roman" w:hAnsi="Times New Roman"/>
                <w:sz w:val="24"/>
                <w:szCs w:val="24"/>
              </w:rPr>
              <w:t>ir</w:t>
            </w:r>
            <w:r w:rsidRPr="00E056EE">
              <w:rPr>
                <w:rFonts w:ascii="Times New Roman" w:hAnsi="Times New Roman"/>
                <w:sz w:val="24"/>
                <w:szCs w:val="24"/>
              </w:rPr>
              <w:t xml:space="preserve"> 31.4 </w:t>
            </w:r>
            <w:r>
              <w:rPr>
                <w:rFonts w:ascii="Times New Roman" w:hAnsi="Times New Roman"/>
                <w:sz w:val="24"/>
                <w:szCs w:val="24"/>
              </w:rPr>
              <w:t>papunkčiuose vartojama sąvoka „apsaugos motociklai“, tačiau nėra aiškinama, kokie konkrečiai motociklai čia turimi omenyje. Pažymėtina, kad policijoje nėra motociklų, kuriais vykdomos apsaugos funkcijos, ar šias funkcijas vykdyti priskirtų motociklų. Atsižvelgdami į tai, siūlome aptartuose Nutarimo projekto papunkčiuose išbraukti žodį „apsaugos“ arba atitinkamai tikslinti aptartą motociklų apibūdinimą, jeigu Nutarimo projekte turima omenyje kitų institucijų ar įstaigų vykdoma apsauga motociklais.</w:t>
            </w:r>
          </w:p>
        </w:tc>
        <w:tc>
          <w:tcPr>
            <w:tcW w:w="4578" w:type="dxa"/>
          </w:tcPr>
          <w:p w14:paraId="06C99711" w14:textId="77777777" w:rsidR="00287E76" w:rsidRDefault="002A4170" w:rsidP="00287E76">
            <w:pPr>
              <w:jc w:val="both"/>
              <w:rPr>
                <w:sz w:val="22"/>
                <w:szCs w:val="22"/>
              </w:rPr>
            </w:pPr>
            <w:r w:rsidRPr="00E056EE">
              <w:rPr>
                <w:b/>
                <w:bCs/>
                <w:sz w:val="22"/>
                <w:szCs w:val="22"/>
              </w:rPr>
              <w:t>Neatsižvelgta</w:t>
            </w:r>
            <w:r>
              <w:rPr>
                <w:sz w:val="22"/>
                <w:szCs w:val="22"/>
              </w:rPr>
              <w:t xml:space="preserve">. </w:t>
            </w:r>
            <w:r w:rsidR="0075352F">
              <w:rPr>
                <w:sz w:val="22"/>
                <w:szCs w:val="22"/>
              </w:rPr>
              <w:t>Nuspręsta atsisakyti šios sąvokos apibrėžimo Nutarimo projekte Nr. 1,</w:t>
            </w:r>
            <w:r w:rsidR="00287E76">
              <w:rPr>
                <w:sz w:val="22"/>
                <w:szCs w:val="22"/>
              </w:rPr>
              <w:t xml:space="preserve"> </w:t>
            </w:r>
            <w:r w:rsidR="00236244">
              <w:rPr>
                <w:sz w:val="22"/>
                <w:szCs w:val="22"/>
              </w:rPr>
              <w:t>nes</w:t>
            </w:r>
            <w:r w:rsidR="0075352F">
              <w:rPr>
                <w:sz w:val="22"/>
                <w:szCs w:val="22"/>
              </w:rPr>
              <w:t>: 1)</w:t>
            </w:r>
            <w:r w:rsidR="00236244">
              <w:rPr>
                <w:sz w:val="22"/>
                <w:szCs w:val="22"/>
              </w:rPr>
              <w:t xml:space="preserve"> pagal Saugaus eismo automobilių keliais įstatymą ši sąvoka yra susijusi su eismo saugumo užtikrinimu</w:t>
            </w:r>
            <w:r w:rsidR="000C6B92">
              <w:rPr>
                <w:sz w:val="22"/>
                <w:szCs w:val="22"/>
              </w:rPr>
              <w:t>, o tai nėra šio nutarimo reguliavimo sritis</w:t>
            </w:r>
            <w:r w:rsidR="0075352F">
              <w:rPr>
                <w:sz w:val="22"/>
                <w:szCs w:val="22"/>
              </w:rPr>
              <w:t xml:space="preserve">; 2) </w:t>
            </w:r>
            <w:r w:rsidR="000460EF">
              <w:rPr>
                <w:sz w:val="22"/>
                <w:szCs w:val="22"/>
              </w:rPr>
              <w:t xml:space="preserve">siūloma </w:t>
            </w:r>
            <w:r w:rsidR="0075352F">
              <w:rPr>
                <w:sz w:val="22"/>
                <w:szCs w:val="22"/>
              </w:rPr>
              <w:t xml:space="preserve">sąvoka yra </w:t>
            </w:r>
            <w:r w:rsidR="000C6B92">
              <w:rPr>
                <w:sz w:val="22"/>
                <w:szCs w:val="22"/>
              </w:rPr>
              <w:t xml:space="preserve">platesnio turinio ir </w:t>
            </w:r>
            <w:r w:rsidR="00236244">
              <w:rPr>
                <w:sz w:val="22"/>
                <w:szCs w:val="22"/>
              </w:rPr>
              <w:t xml:space="preserve"> apima ne tik oficialių svečių ir oficialių delegacijų, bet ir </w:t>
            </w:r>
            <w:r w:rsidR="0048410D">
              <w:rPr>
                <w:sz w:val="22"/>
                <w:szCs w:val="22"/>
              </w:rPr>
              <w:t xml:space="preserve">Lietuvos Respublikos </w:t>
            </w:r>
            <w:r w:rsidR="00236244">
              <w:rPr>
                <w:sz w:val="22"/>
                <w:szCs w:val="22"/>
              </w:rPr>
              <w:t>vadovybės eskortavimą (Saugaus eismo automobilių</w:t>
            </w:r>
            <w:r w:rsidR="000C6B92">
              <w:rPr>
                <w:sz w:val="22"/>
                <w:szCs w:val="22"/>
              </w:rPr>
              <w:t xml:space="preserve"> keliais įstatymo 10 straipsnio 9 dalies 10 punktas)</w:t>
            </w:r>
            <w:r w:rsidR="00287E76">
              <w:rPr>
                <w:sz w:val="22"/>
                <w:szCs w:val="22"/>
              </w:rPr>
              <w:t>, taigi, ši sąvoka tur</w:t>
            </w:r>
            <w:r w:rsidR="000C6B92">
              <w:rPr>
                <w:sz w:val="22"/>
                <w:szCs w:val="22"/>
              </w:rPr>
              <w:t>ėtų</w:t>
            </w:r>
            <w:r w:rsidR="00287E76">
              <w:rPr>
                <w:sz w:val="22"/>
                <w:szCs w:val="22"/>
              </w:rPr>
              <w:t xml:space="preserve"> būti apibrėžiama minėtame įstatyme. </w:t>
            </w:r>
          </w:p>
          <w:p w14:paraId="06C99712" w14:textId="77777777" w:rsidR="002A4170" w:rsidRDefault="00287E76" w:rsidP="00287E76">
            <w:pPr>
              <w:jc w:val="both"/>
              <w:rPr>
                <w:sz w:val="22"/>
                <w:szCs w:val="22"/>
              </w:rPr>
            </w:pPr>
            <w:r>
              <w:rPr>
                <w:sz w:val="22"/>
                <w:szCs w:val="22"/>
              </w:rPr>
              <w:t>Be to, siūloma sąvok</w:t>
            </w:r>
            <w:r w:rsidR="006C7CDF">
              <w:rPr>
                <w:sz w:val="22"/>
                <w:szCs w:val="22"/>
              </w:rPr>
              <w:t>a</w:t>
            </w:r>
            <w:r>
              <w:rPr>
                <w:sz w:val="22"/>
                <w:szCs w:val="22"/>
              </w:rPr>
              <w:t xml:space="preserve"> praplėstų galimus eskortavimo naudojimo atvejus ir gali sukelti papildomą lėšų poreikį eskortavimo funkcijoms užtikrinti. Užsienio reikalų ministerija, teikdama Nutarimo projektą Nr. 1., ne</w:t>
            </w:r>
            <w:r w:rsidR="002A4170">
              <w:rPr>
                <w:sz w:val="22"/>
                <w:szCs w:val="22"/>
              </w:rPr>
              <w:t xml:space="preserve">turi tikslo </w:t>
            </w:r>
            <w:r>
              <w:rPr>
                <w:sz w:val="22"/>
                <w:szCs w:val="22"/>
              </w:rPr>
              <w:t>praplėsti eskortavimo taikymo at</w:t>
            </w:r>
            <w:r w:rsidR="002A4170">
              <w:rPr>
                <w:sz w:val="22"/>
                <w:szCs w:val="22"/>
              </w:rPr>
              <w:t>vejus</w:t>
            </w:r>
            <w:r>
              <w:rPr>
                <w:sz w:val="22"/>
                <w:szCs w:val="22"/>
              </w:rPr>
              <w:t>.</w:t>
            </w:r>
          </w:p>
          <w:p w14:paraId="06C99713" w14:textId="77777777" w:rsidR="00930E11" w:rsidRDefault="002A4170" w:rsidP="002A4170">
            <w:pPr>
              <w:jc w:val="both"/>
              <w:rPr>
                <w:sz w:val="22"/>
                <w:szCs w:val="22"/>
              </w:rPr>
            </w:pPr>
            <w:r>
              <w:rPr>
                <w:sz w:val="22"/>
                <w:szCs w:val="22"/>
              </w:rPr>
              <w:t xml:space="preserve">Siūloma sąvoka nesuderinta Terminų banko įstatymo nustatyta tvarka. </w:t>
            </w:r>
            <w:r w:rsidR="00287E76">
              <w:rPr>
                <w:sz w:val="22"/>
                <w:szCs w:val="22"/>
              </w:rPr>
              <w:t xml:space="preserve">     </w:t>
            </w:r>
          </w:p>
        </w:tc>
      </w:tr>
      <w:tr w:rsidR="00287E76" w14:paraId="06C9971B" w14:textId="77777777" w:rsidTr="00930E11">
        <w:tc>
          <w:tcPr>
            <w:tcW w:w="2515" w:type="dxa"/>
            <w:vMerge/>
          </w:tcPr>
          <w:p w14:paraId="06C99715" w14:textId="77777777" w:rsidR="00287E76" w:rsidRDefault="00287E76" w:rsidP="00930E11">
            <w:pPr>
              <w:jc w:val="center"/>
              <w:rPr>
                <w:sz w:val="22"/>
                <w:szCs w:val="22"/>
              </w:rPr>
            </w:pPr>
          </w:p>
        </w:tc>
        <w:tc>
          <w:tcPr>
            <w:tcW w:w="6217" w:type="dxa"/>
          </w:tcPr>
          <w:p w14:paraId="06C99716" w14:textId="77777777" w:rsidR="00287E76" w:rsidRPr="00814EA1" w:rsidRDefault="00287E76" w:rsidP="00287E76">
            <w:pPr>
              <w:jc w:val="both"/>
              <w:rPr>
                <w:sz w:val="24"/>
                <w:szCs w:val="24"/>
              </w:rPr>
            </w:pPr>
            <w:r w:rsidRPr="00814EA1">
              <w:rPr>
                <w:sz w:val="24"/>
                <w:szCs w:val="24"/>
              </w:rPr>
              <w:t>3.</w:t>
            </w:r>
            <w:r w:rsidRPr="00814EA1">
              <w:rPr>
                <w:sz w:val="24"/>
                <w:szCs w:val="24"/>
              </w:rPr>
              <w:tab/>
              <w:t>Siūlome papildyti Nutarimo projekto 3 punktą nauju papunkčiu ir jį išdėstyti taip:</w:t>
            </w:r>
          </w:p>
          <w:p w14:paraId="06C99717" w14:textId="77777777" w:rsidR="00287E76" w:rsidRPr="00814EA1" w:rsidRDefault="00287E76" w:rsidP="00287E76">
            <w:pPr>
              <w:jc w:val="both"/>
              <w:rPr>
                <w:sz w:val="24"/>
                <w:szCs w:val="24"/>
              </w:rPr>
            </w:pPr>
            <w:r w:rsidRPr="00814EA1">
              <w:rPr>
                <w:sz w:val="24"/>
                <w:szCs w:val="24"/>
              </w:rPr>
              <w:t>„Lydėjimas – veikla, kai specialiosiomis transporto priemonėmis užtikrinamas lydimų transporto priemonių ir eismo saugumas, nestabdomas judėjimas.“</w:t>
            </w:r>
          </w:p>
          <w:p w14:paraId="06C99718" w14:textId="77777777" w:rsidR="00287E76" w:rsidRPr="00814EA1" w:rsidRDefault="00287E76" w:rsidP="00287E76">
            <w:pPr>
              <w:pStyle w:val="Standard"/>
              <w:tabs>
                <w:tab w:val="left" w:pos="1185"/>
              </w:tabs>
              <w:suppressAutoHyphens/>
              <w:jc w:val="both"/>
              <w:textAlignment w:val="top"/>
              <w:rPr>
                <w:rFonts w:ascii="Times New Roman" w:hAnsi="Times New Roman"/>
                <w:sz w:val="24"/>
                <w:szCs w:val="24"/>
              </w:rPr>
            </w:pPr>
            <w:r w:rsidRPr="00814EA1">
              <w:rPr>
                <w:rFonts w:ascii="Times New Roman" w:hAnsi="Times New Roman"/>
                <w:sz w:val="24"/>
                <w:szCs w:val="24"/>
              </w:rPr>
              <w:t>Pastebėtina, kad Nutarimo projekto 15.7, 30.4, 31.1 papunkčiuose kartu su sąvoka  „eskortavimas“ yra vartojama ir sąvoka „lydėjimas“, tačiau nei Nutarimo projekte, nei Nutarimo projekto 3.16 papunktyje paminėtuose teisės aktuose pastaroji sąvoka nėra apibrėžta. Paminėtina, kad aptartos sąvokos yra skirtingos, t. y. eskortavimas išskirtinai vykdomas motociklais, o lydėjimas – specialiosiomis transporto priemonės. Atsižvelgdami į tai ir siekdami, kad būtų išvengta netinkamo šių sąvokų traktavimo, siūlome Nutarimo projekte numatyti sąvoką „lydėjimas“.</w:t>
            </w:r>
          </w:p>
        </w:tc>
        <w:tc>
          <w:tcPr>
            <w:tcW w:w="4578" w:type="dxa"/>
          </w:tcPr>
          <w:p w14:paraId="06C99719" w14:textId="77777777" w:rsidR="00814EA1" w:rsidRDefault="007B157B" w:rsidP="00814EA1">
            <w:pPr>
              <w:jc w:val="both"/>
              <w:rPr>
                <w:sz w:val="22"/>
                <w:szCs w:val="22"/>
              </w:rPr>
            </w:pPr>
            <w:r w:rsidRPr="00DC25E6">
              <w:rPr>
                <w:b/>
                <w:bCs/>
                <w:sz w:val="22"/>
                <w:szCs w:val="22"/>
              </w:rPr>
              <w:t>Neatsižvelgta</w:t>
            </w:r>
            <w:r w:rsidR="000C6B92">
              <w:rPr>
                <w:b/>
                <w:bCs/>
                <w:sz w:val="22"/>
                <w:szCs w:val="22"/>
              </w:rPr>
              <w:t>.</w:t>
            </w:r>
            <w:r>
              <w:rPr>
                <w:sz w:val="22"/>
                <w:szCs w:val="22"/>
              </w:rPr>
              <w:t xml:space="preserve"> </w:t>
            </w:r>
            <w:r w:rsidR="00A9349B">
              <w:rPr>
                <w:sz w:val="22"/>
                <w:szCs w:val="22"/>
              </w:rPr>
              <w:t>Nutarimo projekte Nr. 1 nėra tikslinga apibrėžti šios sąvokos, nes</w:t>
            </w:r>
            <w:r w:rsidR="0048410D">
              <w:rPr>
                <w:sz w:val="22"/>
                <w:szCs w:val="22"/>
              </w:rPr>
              <w:t xml:space="preserve">, </w:t>
            </w:r>
            <w:r w:rsidR="00A9349B">
              <w:rPr>
                <w:sz w:val="22"/>
                <w:szCs w:val="22"/>
              </w:rPr>
              <w:t>viena vertus, s</w:t>
            </w:r>
            <w:r w:rsidR="00814EA1" w:rsidRPr="00814EA1">
              <w:rPr>
                <w:sz w:val="22"/>
                <w:szCs w:val="22"/>
              </w:rPr>
              <w:t>ąvoka „</w:t>
            </w:r>
            <w:r w:rsidR="00814EA1">
              <w:rPr>
                <w:sz w:val="22"/>
                <w:szCs w:val="22"/>
              </w:rPr>
              <w:t>Lydėjimas</w:t>
            </w:r>
            <w:r w:rsidR="00814EA1" w:rsidRPr="00814EA1">
              <w:rPr>
                <w:sz w:val="22"/>
                <w:szCs w:val="22"/>
              </w:rPr>
              <w:t>“</w:t>
            </w:r>
            <w:r w:rsidR="00A9349B">
              <w:rPr>
                <w:sz w:val="22"/>
                <w:szCs w:val="22"/>
              </w:rPr>
              <w:t xml:space="preserve"> nutarimo projekte Nr. 1  vartojama keliomis prasmėmis, t.</w:t>
            </w:r>
            <w:r w:rsidR="0048410D">
              <w:rPr>
                <w:sz w:val="22"/>
                <w:szCs w:val="22"/>
              </w:rPr>
              <w:t xml:space="preserve"> </w:t>
            </w:r>
            <w:r w:rsidR="00A9349B">
              <w:rPr>
                <w:sz w:val="22"/>
                <w:szCs w:val="22"/>
              </w:rPr>
              <w:t>y. apima</w:t>
            </w:r>
            <w:r w:rsidR="00814EA1" w:rsidRPr="00814EA1">
              <w:rPr>
                <w:sz w:val="22"/>
                <w:szCs w:val="22"/>
              </w:rPr>
              <w:t xml:space="preserve"> </w:t>
            </w:r>
            <w:r w:rsidR="002A4170">
              <w:rPr>
                <w:sz w:val="22"/>
                <w:szCs w:val="22"/>
              </w:rPr>
              <w:t xml:space="preserve">ne tik eismo ir oficialių svečių saugumą, bet ir </w:t>
            </w:r>
            <w:r w:rsidR="00814EA1">
              <w:rPr>
                <w:sz w:val="22"/>
                <w:szCs w:val="22"/>
              </w:rPr>
              <w:t xml:space="preserve">valstybinio ir diplomatinio protokolo elementus ir ceremonijas (pvz. A kategorijos svečią padėti vainiko valstybinės reikšmės memoriale </w:t>
            </w:r>
            <w:r w:rsidR="00814EA1" w:rsidRPr="00DC25E6">
              <w:rPr>
                <w:i/>
                <w:iCs/>
                <w:sz w:val="22"/>
                <w:szCs w:val="22"/>
              </w:rPr>
              <w:t>lydi</w:t>
            </w:r>
            <w:r w:rsidR="00814EA1">
              <w:rPr>
                <w:sz w:val="22"/>
                <w:szCs w:val="22"/>
              </w:rPr>
              <w:t xml:space="preserve"> Lietuvos Respublikos Vyriausybės narys, tačiau svečias ir Vyriausybės narys per kapines eina pėsčiomis, nevažiuoja transporto priemonėmis su specialiais garso ir šviesos signalais)</w:t>
            </w:r>
            <w:r w:rsidR="0048410D">
              <w:rPr>
                <w:sz w:val="22"/>
                <w:szCs w:val="22"/>
              </w:rPr>
              <w:t>;</w:t>
            </w:r>
            <w:r w:rsidR="00814EA1">
              <w:rPr>
                <w:sz w:val="22"/>
                <w:szCs w:val="22"/>
              </w:rPr>
              <w:t xml:space="preserve"> </w:t>
            </w:r>
            <w:r w:rsidR="00DC25E6">
              <w:rPr>
                <w:sz w:val="22"/>
                <w:szCs w:val="22"/>
              </w:rPr>
              <w:t>k</w:t>
            </w:r>
            <w:r w:rsidR="002A4170">
              <w:rPr>
                <w:sz w:val="22"/>
                <w:szCs w:val="22"/>
              </w:rPr>
              <w:t xml:space="preserve">ita vertus, </w:t>
            </w:r>
            <w:r w:rsidR="00814EA1" w:rsidRPr="00814EA1">
              <w:rPr>
                <w:sz w:val="22"/>
                <w:szCs w:val="22"/>
              </w:rPr>
              <w:t>Saugaus eismo automobilių keliais įstatym</w:t>
            </w:r>
            <w:r w:rsidR="00751B68">
              <w:rPr>
                <w:sz w:val="22"/>
                <w:szCs w:val="22"/>
              </w:rPr>
              <w:t xml:space="preserve">o </w:t>
            </w:r>
            <w:r w:rsidR="0048410D">
              <w:rPr>
                <w:sz w:val="22"/>
                <w:szCs w:val="22"/>
              </w:rPr>
              <w:t xml:space="preserve">10 </w:t>
            </w:r>
            <w:r w:rsidR="00751B68">
              <w:rPr>
                <w:sz w:val="22"/>
                <w:szCs w:val="22"/>
              </w:rPr>
              <w:t xml:space="preserve">straipsnio </w:t>
            </w:r>
            <w:r w:rsidR="0048410D">
              <w:rPr>
                <w:sz w:val="22"/>
                <w:szCs w:val="22"/>
              </w:rPr>
              <w:t xml:space="preserve">9 dalies </w:t>
            </w:r>
            <w:r w:rsidR="00751B68">
              <w:rPr>
                <w:sz w:val="22"/>
                <w:szCs w:val="22"/>
              </w:rPr>
              <w:t xml:space="preserve">10 punkte </w:t>
            </w:r>
            <w:r w:rsidR="00814EA1">
              <w:rPr>
                <w:sz w:val="22"/>
                <w:szCs w:val="22"/>
              </w:rPr>
              <w:t xml:space="preserve"> sąvoka „Lydėjimas“ naudojama </w:t>
            </w:r>
            <w:r w:rsidR="002A4170">
              <w:rPr>
                <w:sz w:val="22"/>
                <w:szCs w:val="22"/>
              </w:rPr>
              <w:t>platesniam atvejų skaiči</w:t>
            </w:r>
            <w:r>
              <w:rPr>
                <w:sz w:val="22"/>
                <w:szCs w:val="22"/>
              </w:rPr>
              <w:t>u</w:t>
            </w:r>
            <w:r w:rsidR="002A4170">
              <w:rPr>
                <w:sz w:val="22"/>
                <w:szCs w:val="22"/>
              </w:rPr>
              <w:t>i</w:t>
            </w:r>
            <w:r>
              <w:rPr>
                <w:sz w:val="22"/>
                <w:szCs w:val="22"/>
              </w:rPr>
              <w:t xml:space="preserve">, </w:t>
            </w:r>
            <w:r w:rsidR="0048410D">
              <w:rPr>
                <w:sz w:val="22"/>
                <w:szCs w:val="22"/>
              </w:rPr>
              <w:t xml:space="preserve">t. y. </w:t>
            </w:r>
            <w:r w:rsidR="00814EA1">
              <w:rPr>
                <w:sz w:val="22"/>
                <w:szCs w:val="22"/>
              </w:rPr>
              <w:t xml:space="preserve">ne tik nustatant oficialaus svečio lydėjimą policijos transporto priemonėmis su specialiais garso ir šviesos signalais, bet </w:t>
            </w:r>
            <w:r w:rsidR="0048410D">
              <w:rPr>
                <w:sz w:val="22"/>
                <w:szCs w:val="22"/>
              </w:rPr>
              <w:t xml:space="preserve">ir </w:t>
            </w:r>
            <w:r w:rsidR="002A4170">
              <w:rPr>
                <w:sz w:val="22"/>
                <w:szCs w:val="22"/>
              </w:rPr>
              <w:t xml:space="preserve">Lietuvos Respublikos vadovybės lydėjimą, tai pat </w:t>
            </w:r>
            <w:r w:rsidR="00814EA1">
              <w:rPr>
                <w:sz w:val="22"/>
                <w:szCs w:val="22"/>
              </w:rPr>
              <w:t xml:space="preserve"> </w:t>
            </w:r>
            <w:r w:rsidR="00751B68" w:rsidRPr="00751B68">
              <w:rPr>
                <w:sz w:val="22"/>
                <w:szCs w:val="22"/>
              </w:rPr>
              <w:t>didžiagabari</w:t>
            </w:r>
            <w:r w:rsidR="002A4170">
              <w:rPr>
                <w:sz w:val="22"/>
                <w:szCs w:val="22"/>
              </w:rPr>
              <w:t>čių transporto priemonių</w:t>
            </w:r>
            <w:r w:rsidR="00751B68" w:rsidRPr="00751B68">
              <w:rPr>
                <w:sz w:val="22"/>
                <w:szCs w:val="22"/>
              </w:rPr>
              <w:t xml:space="preserve">, kai jos gali kelti grėsmę eismo saugumui, </w:t>
            </w:r>
            <w:r w:rsidR="002A4170">
              <w:rPr>
                <w:sz w:val="22"/>
                <w:szCs w:val="22"/>
              </w:rPr>
              <w:t>ir transporto priemonių</w:t>
            </w:r>
            <w:r w:rsidR="00751B68" w:rsidRPr="00751B68">
              <w:rPr>
                <w:sz w:val="22"/>
                <w:szCs w:val="22"/>
              </w:rPr>
              <w:t>, kuriomis vežami keleiviai, masin</w:t>
            </w:r>
            <w:r w:rsidR="00751B68">
              <w:rPr>
                <w:sz w:val="22"/>
                <w:szCs w:val="22"/>
              </w:rPr>
              <w:t>ių i</w:t>
            </w:r>
            <w:r>
              <w:rPr>
                <w:sz w:val="22"/>
                <w:szCs w:val="22"/>
              </w:rPr>
              <w:t>r kitokių renginių dalyviai</w:t>
            </w:r>
            <w:r w:rsidR="002A4170">
              <w:rPr>
                <w:sz w:val="22"/>
                <w:szCs w:val="22"/>
              </w:rPr>
              <w:t xml:space="preserve">, lydėjimą. </w:t>
            </w:r>
          </w:p>
          <w:p w14:paraId="06C9971A" w14:textId="77777777" w:rsidR="00751B68" w:rsidRDefault="00751B68" w:rsidP="00DC25E6">
            <w:pPr>
              <w:jc w:val="both"/>
              <w:rPr>
                <w:sz w:val="22"/>
                <w:szCs w:val="22"/>
              </w:rPr>
            </w:pPr>
            <w:r>
              <w:rPr>
                <w:sz w:val="22"/>
                <w:szCs w:val="22"/>
              </w:rPr>
              <w:t>Todėl sąvoka „Lydėjimas“ tur</w:t>
            </w:r>
            <w:r w:rsidR="0048410D">
              <w:rPr>
                <w:sz w:val="22"/>
                <w:szCs w:val="22"/>
              </w:rPr>
              <w:t>ėtų</w:t>
            </w:r>
            <w:r>
              <w:rPr>
                <w:sz w:val="22"/>
                <w:szCs w:val="22"/>
              </w:rPr>
              <w:t xml:space="preserve"> būti apibrėžiama ne nutarimo projekte Nr. 1, bet </w:t>
            </w:r>
            <w:r w:rsidR="00814EA1" w:rsidRPr="00814EA1">
              <w:rPr>
                <w:sz w:val="22"/>
                <w:szCs w:val="22"/>
              </w:rPr>
              <w:t>Saugaus eismo automobilių keliais įstatym</w:t>
            </w:r>
            <w:r>
              <w:rPr>
                <w:sz w:val="22"/>
                <w:szCs w:val="22"/>
              </w:rPr>
              <w:t xml:space="preserve">e. </w:t>
            </w:r>
          </w:p>
        </w:tc>
      </w:tr>
      <w:tr w:rsidR="00930E11" w14:paraId="06C9971F" w14:textId="77777777" w:rsidTr="00930E11">
        <w:tc>
          <w:tcPr>
            <w:tcW w:w="2515" w:type="dxa"/>
            <w:vMerge/>
          </w:tcPr>
          <w:p w14:paraId="06C9971C" w14:textId="77777777" w:rsidR="00930E11" w:rsidRPr="00577969" w:rsidRDefault="00930E11" w:rsidP="007006E9">
            <w:pPr>
              <w:jc w:val="center"/>
              <w:rPr>
                <w:sz w:val="22"/>
                <w:szCs w:val="22"/>
              </w:rPr>
            </w:pPr>
          </w:p>
        </w:tc>
        <w:tc>
          <w:tcPr>
            <w:tcW w:w="6217" w:type="dxa"/>
          </w:tcPr>
          <w:p w14:paraId="06C9971D" w14:textId="77777777" w:rsidR="00287E76" w:rsidRDefault="00287E76" w:rsidP="007B157B">
            <w:pPr>
              <w:jc w:val="both"/>
              <w:rPr>
                <w:sz w:val="22"/>
                <w:szCs w:val="22"/>
              </w:rPr>
            </w:pPr>
            <w:r w:rsidRPr="00287E76">
              <w:rPr>
                <w:sz w:val="22"/>
                <w:szCs w:val="22"/>
              </w:rPr>
              <w:t>4.</w:t>
            </w:r>
            <w:r w:rsidRPr="00287E76">
              <w:rPr>
                <w:sz w:val="22"/>
                <w:szCs w:val="22"/>
              </w:rPr>
              <w:tab/>
              <w:t>Nutarimo projekte atsisakoma sąvokų „Eismo ribojimas“, „Visiškas eismo ribojimas („žalia gatvė“)“, „Dalinis eismo ribojimas“ ir „Nestabdomas kortežo judėjimas“. Atkreiptinas dėmesys, kad šios sąvokos/priemonės nėra apibrėžtos nei viename teisės akte, todėl siūlome jas numatyti Nutarimo projekte arba teisės akte, reglamentuojančiame vizito saugumo užtikrinimo priemones (žiūrėti 8 punkte išdėstytą pasiūlymą).</w:t>
            </w:r>
          </w:p>
        </w:tc>
        <w:tc>
          <w:tcPr>
            <w:tcW w:w="4578" w:type="dxa"/>
          </w:tcPr>
          <w:p w14:paraId="06C9971E" w14:textId="77777777" w:rsidR="00930E11" w:rsidRDefault="002A4170" w:rsidP="002A4170">
            <w:pPr>
              <w:rPr>
                <w:sz w:val="22"/>
                <w:szCs w:val="22"/>
              </w:rPr>
            </w:pPr>
            <w:r w:rsidRPr="00DC25E6">
              <w:rPr>
                <w:b/>
                <w:bCs/>
                <w:sz w:val="22"/>
                <w:szCs w:val="22"/>
              </w:rPr>
              <w:t>Neatsižvelgta</w:t>
            </w:r>
            <w:r w:rsidR="0048410D">
              <w:rPr>
                <w:b/>
                <w:bCs/>
                <w:sz w:val="22"/>
                <w:szCs w:val="22"/>
              </w:rPr>
              <w:t>.</w:t>
            </w:r>
            <w:r>
              <w:rPr>
                <w:sz w:val="22"/>
                <w:szCs w:val="22"/>
              </w:rPr>
              <w:t xml:space="preserve"> (taip pat žr. į argumentus dėl 8 </w:t>
            </w:r>
            <w:r w:rsidR="0048410D">
              <w:rPr>
                <w:sz w:val="22"/>
                <w:szCs w:val="22"/>
              </w:rPr>
              <w:t>pastabos)</w:t>
            </w:r>
            <w:r>
              <w:rPr>
                <w:sz w:val="22"/>
                <w:szCs w:val="22"/>
              </w:rPr>
              <w:t xml:space="preserve">. </w:t>
            </w:r>
            <w:r w:rsidR="007B157B">
              <w:rPr>
                <w:sz w:val="22"/>
                <w:szCs w:val="22"/>
              </w:rPr>
              <w:t>Minimos sąvokos</w:t>
            </w:r>
            <w:r w:rsidR="0048410D">
              <w:rPr>
                <w:sz w:val="22"/>
                <w:szCs w:val="22"/>
              </w:rPr>
              <w:t xml:space="preserve"> yra susijusios su eismo saugumo užtikrinimu, todėl</w:t>
            </w:r>
            <w:r w:rsidR="007B157B">
              <w:rPr>
                <w:sz w:val="22"/>
                <w:szCs w:val="22"/>
              </w:rPr>
              <w:t xml:space="preserve"> tur</w:t>
            </w:r>
            <w:r w:rsidR="0048410D">
              <w:rPr>
                <w:sz w:val="22"/>
                <w:szCs w:val="22"/>
              </w:rPr>
              <w:t>ėtų</w:t>
            </w:r>
            <w:r w:rsidR="007B157B">
              <w:rPr>
                <w:sz w:val="22"/>
                <w:szCs w:val="22"/>
              </w:rPr>
              <w:t xml:space="preserve"> būti apibrėžiamos n</w:t>
            </w:r>
            <w:r w:rsidR="007B157B" w:rsidRPr="007B157B">
              <w:rPr>
                <w:sz w:val="22"/>
                <w:szCs w:val="22"/>
              </w:rPr>
              <w:t>e nutarimo projekte Nr. 1, bet Saugaus eis</w:t>
            </w:r>
            <w:r w:rsidR="007B157B">
              <w:rPr>
                <w:sz w:val="22"/>
                <w:szCs w:val="22"/>
              </w:rPr>
              <w:t xml:space="preserve">mo automobilių keliais įstatyme arba kitame eismo saugumą reglamentuojančiame teisės akte. </w:t>
            </w:r>
          </w:p>
        </w:tc>
      </w:tr>
      <w:tr w:rsidR="007B157B" w14:paraId="06C99724" w14:textId="77777777" w:rsidTr="00930E11">
        <w:tc>
          <w:tcPr>
            <w:tcW w:w="2515" w:type="dxa"/>
          </w:tcPr>
          <w:p w14:paraId="06C99720" w14:textId="77777777" w:rsidR="007B157B" w:rsidRPr="00577969" w:rsidRDefault="007B157B" w:rsidP="007006E9">
            <w:pPr>
              <w:jc w:val="center"/>
              <w:rPr>
                <w:sz w:val="22"/>
                <w:szCs w:val="22"/>
              </w:rPr>
            </w:pPr>
          </w:p>
        </w:tc>
        <w:tc>
          <w:tcPr>
            <w:tcW w:w="6217" w:type="dxa"/>
          </w:tcPr>
          <w:p w14:paraId="06C99721" w14:textId="77777777" w:rsidR="007B157B" w:rsidRPr="00287E76" w:rsidRDefault="007B157B" w:rsidP="007B157B">
            <w:pPr>
              <w:jc w:val="both"/>
              <w:rPr>
                <w:sz w:val="22"/>
                <w:szCs w:val="22"/>
              </w:rPr>
            </w:pPr>
            <w:r w:rsidRPr="00287E76">
              <w:rPr>
                <w:sz w:val="22"/>
                <w:szCs w:val="22"/>
              </w:rPr>
              <w:t>8.</w:t>
            </w:r>
            <w:r w:rsidRPr="00287E76">
              <w:rPr>
                <w:sz w:val="22"/>
                <w:szCs w:val="22"/>
              </w:rPr>
              <w:tab/>
              <w:t>Nutarimo projekto 32 punkte nurodyta, kad policija ir kitos vidaus reikalų sistemos statutinės institucijos vykdo vizito saugumą užtikrinančios institucijos nustatytas saugumo užtikrinimo priemones.</w:t>
            </w:r>
          </w:p>
          <w:p w14:paraId="06C99722" w14:textId="77777777" w:rsidR="007B157B" w:rsidRPr="00287E76" w:rsidRDefault="007B157B" w:rsidP="007B157B">
            <w:pPr>
              <w:jc w:val="both"/>
              <w:rPr>
                <w:sz w:val="22"/>
                <w:szCs w:val="22"/>
              </w:rPr>
            </w:pPr>
            <w:r w:rsidRPr="00287E76">
              <w:rPr>
                <w:sz w:val="22"/>
                <w:szCs w:val="22"/>
              </w:rPr>
              <w:t xml:space="preserve">Atkreiptinas dėmesys, kad vadovaujantis Oficialių svečių priėmimo Lietuvos Respublikoje tvarkos, patvirtintos Lietuvos Respublikos </w:t>
            </w:r>
            <w:r w:rsidRPr="00287E76">
              <w:rPr>
                <w:sz w:val="22"/>
                <w:szCs w:val="22"/>
              </w:rPr>
              <w:lastRenderedPageBreak/>
              <w:t>Vyriausybės 2003 m. lapkričio 27 d. nutarimu Nr. 1485 „Dėl Oficialių svečių priėmimo Lietuvos Respublikoje tvarkos patvirtinimo“, 135 punktu, vizito saugumą užtikrinančių priemonių sąrašus pagal saugumo užtikrinimo lygį ir oficialių svečių kategorijas tvirtina vidaus reikalų ministras (Vidaus reikalų ministro 2014 m. gruodžio 29 d. įsakymas Nr. 1-1RN-2(KF) „Dėl Vizito saugumą užtikrinančių apsaugos priemonių pagal saugumo užtikrinimo lygį sąrašo ir vizito saugumą užtikrinančių apsaugos priemonių pagal oficialių svečių kategorijas sąrašo patvirtinimo“). Atsižvelgdami į tai, kad Vadovybės apsaugos departamentas prie Vidaus reikalų ministerijos nuo 2020 m. liepos 1 d. nepriklausys Vidaus reikalų ministerijos valdymo sričiai, o užtikrinant vizito saugumą jis kartu su policija bei kitomis institucijomis ir toliau dalyvaus bei bus pagrindinė oficialių svečių vizito saugumą užtikrinanti institucija, tikslinga vizito saugumo užtikrinimo lygius bei būtinas vykdyti priemones nustatyti Lietuvos Respublikos Vyriausybės nutarimu.</w:t>
            </w:r>
          </w:p>
        </w:tc>
        <w:tc>
          <w:tcPr>
            <w:tcW w:w="4578" w:type="dxa"/>
          </w:tcPr>
          <w:p w14:paraId="06C99723" w14:textId="77777777" w:rsidR="007B157B" w:rsidRDefault="007B157B" w:rsidP="00DC25E6">
            <w:pPr>
              <w:jc w:val="both"/>
              <w:rPr>
                <w:sz w:val="22"/>
                <w:szCs w:val="22"/>
              </w:rPr>
            </w:pPr>
            <w:r w:rsidRPr="00DC25E6">
              <w:rPr>
                <w:b/>
                <w:bCs/>
                <w:sz w:val="22"/>
                <w:szCs w:val="22"/>
              </w:rPr>
              <w:lastRenderedPageBreak/>
              <w:t>Neatsižvelgta</w:t>
            </w:r>
            <w:r w:rsidR="002B6B3A">
              <w:rPr>
                <w:sz w:val="22"/>
                <w:szCs w:val="22"/>
              </w:rPr>
              <w:t>.</w:t>
            </w:r>
            <w:r>
              <w:rPr>
                <w:sz w:val="22"/>
                <w:szCs w:val="22"/>
              </w:rPr>
              <w:t xml:space="preserve"> </w:t>
            </w:r>
            <w:r w:rsidR="002B6B3A">
              <w:rPr>
                <w:sz w:val="22"/>
                <w:szCs w:val="22"/>
              </w:rPr>
              <w:t>P</w:t>
            </w:r>
            <w:r>
              <w:rPr>
                <w:sz w:val="22"/>
                <w:szCs w:val="22"/>
              </w:rPr>
              <w:t xml:space="preserve">asiūlymas prieštarauja </w:t>
            </w:r>
            <w:r w:rsidRPr="007B157B">
              <w:rPr>
                <w:sz w:val="22"/>
                <w:szCs w:val="22"/>
              </w:rPr>
              <w:t>Lietuvos Respublikos vadovybės apsaugos  įstatymo</w:t>
            </w:r>
            <w:r w:rsidR="002A4170">
              <w:rPr>
                <w:sz w:val="22"/>
                <w:szCs w:val="22"/>
              </w:rPr>
              <w:t xml:space="preserve"> Nr. IX-1183 pakeitimo įstatymo</w:t>
            </w:r>
            <w:r w:rsidRPr="007B157B">
              <w:rPr>
                <w:sz w:val="22"/>
                <w:szCs w:val="22"/>
              </w:rPr>
              <w:t xml:space="preserve"> Nr. XIII-2901</w:t>
            </w:r>
            <w:r>
              <w:rPr>
                <w:sz w:val="22"/>
                <w:szCs w:val="22"/>
              </w:rPr>
              <w:t xml:space="preserve"> 9 straipsnio 2 dali</w:t>
            </w:r>
            <w:r w:rsidR="000460EF">
              <w:rPr>
                <w:sz w:val="22"/>
                <w:szCs w:val="22"/>
              </w:rPr>
              <w:t xml:space="preserve">ai, pagal kurią </w:t>
            </w:r>
            <w:r w:rsidR="000460EF" w:rsidRPr="00DC25E6">
              <w:rPr>
                <w:color w:val="000000"/>
                <w:sz w:val="22"/>
                <w:szCs w:val="22"/>
              </w:rPr>
              <w:t xml:space="preserve">Saugomų asmenų ir saugomų objektų saugumo užtikrinimo lygius </w:t>
            </w:r>
            <w:r w:rsidR="000460EF" w:rsidRPr="00DC25E6">
              <w:rPr>
                <w:color w:val="000000"/>
                <w:sz w:val="22"/>
                <w:szCs w:val="22"/>
              </w:rPr>
              <w:lastRenderedPageBreak/>
              <w:t>tvirtina</w:t>
            </w:r>
            <w:r w:rsidR="00DC25E6">
              <w:rPr>
                <w:color w:val="000000"/>
                <w:sz w:val="22"/>
                <w:szCs w:val="22"/>
              </w:rPr>
              <w:t xml:space="preserve"> Vadovybės apsaugos tarnybos direktorius</w:t>
            </w:r>
            <w:r w:rsidR="000460EF" w:rsidRPr="00DC25E6">
              <w:rPr>
                <w:color w:val="000000"/>
                <w:sz w:val="22"/>
                <w:szCs w:val="22"/>
              </w:rPr>
              <w:t>.</w:t>
            </w:r>
            <w:r>
              <w:rPr>
                <w:sz w:val="22"/>
                <w:szCs w:val="22"/>
              </w:rPr>
              <w:t xml:space="preserve"> </w:t>
            </w:r>
          </w:p>
        </w:tc>
      </w:tr>
    </w:tbl>
    <w:p w14:paraId="06C99725" w14:textId="77777777" w:rsidR="003108C2" w:rsidRDefault="003108C2"/>
    <w:sectPr w:rsidR="003108C2" w:rsidSect="00EE66E6">
      <w:pgSz w:w="15840" w:h="12240" w:orient="landscape"/>
      <w:pgMar w:top="1701" w:right="990" w:bottom="567"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A62"/>
    <w:multiLevelType w:val="multilevel"/>
    <w:tmpl w:val="4BCAD642"/>
    <w:lvl w:ilvl="0">
      <w:start w:val="1"/>
      <w:numFmt w:val="decimal"/>
      <w:lvlText w:val="%1."/>
      <w:lvlJc w:val="left"/>
      <w:pPr>
        <w:ind w:left="720" w:hanging="360"/>
      </w:pPr>
      <w:rPr>
        <w:rFonts w:ascii="Times New Roman" w:hAnsi="Times New Roman"/>
        <w:sz w:val="24"/>
        <w:szCs w:val="24"/>
        <w:lang w:val="en-US"/>
      </w:rPr>
    </w:lvl>
    <w:lvl w:ilvl="1">
      <w:start w:val="1"/>
      <w:numFmt w:val="decimal"/>
      <w:lvlText w:val="%2."/>
      <w:lvlJc w:val="left"/>
      <w:pPr>
        <w:ind w:left="1080" w:hanging="360"/>
      </w:pPr>
      <w:rPr>
        <w:rFonts w:ascii="Times New Roman" w:hAnsi="Times New Roman"/>
        <w:sz w:val="24"/>
        <w:szCs w:val="24"/>
        <w:lang w:val="en-US"/>
      </w:rPr>
    </w:lvl>
    <w:lvl w:ilvl="2">
      <w:start w:val="1"/>
      <w:numFmt w:val="decimal"/>
      <w:lvlText w:val="%3."/>
      <w:lvlJc w:val="left"/>
      <w:pPr>
        <w:ind w:left="1440" w:hanging="360"/>
      </w:pPr>
      <w:rPr>
        <w:rFonts w:ascii="Times New Roman" w:hAnsi="Times New Roman"/>
        <w:sz w:val="24"/>
        <w:szCs w:val="24"/>
        <w:lang w:val="en-US"/>
      </w:rPr>
    </w:lvl>
    <w:lvl w:ilvl="3">
      <w:start w:val="1"/>
      <w:numFmt w:val="decimal"/>
      <w:lvlText w:val="%4."/>
      <w:lvlJc w:val="left"/>
      <w:pPr>
        <w:ind w:left="1800" w:hanging="360"/>
      </w:pPr>
      <w:rPr>
        <w:rFonts w:ascii="Times New Roman" w:hAnsi="Times New Roman"/>
        <w:sz w:val="24"/>
        <w:szCs w:val="24"/>
        <w:lang w:val="en-US"/>
      </w:rPr>
    </w:lvl>
    <w:lvl w:ilvl="4">
      <w:start w:val="1"/>
      <w:numFmt w:val="decimal"/>
      <w:lvlText w:val="%5."/>
      <w:lvlJc w:val="left"/>
      <w:pPr>
        <w:ind w:left="2160" w:hanging="360"/>
      </w:pPr>
      <w:rPr>
        <w:rFonts w:ascii="Times New Roman" w:hAnsi="Times New Roman"/>
        <w:sz w:val="24"/>
        <w:szCs w:val="24"/>
        <w:lang w:val="en-US"/>
      </w:rPr>
    </w:lvl>
    <w:lvl w:ilvl="5">
      <w:start w:val="1"/>
      <w:numFmt w:val="decimal"/>
      <w:lvlText w:val="%6."/>
      <w:lvlJc w:val="left"/>
      <w:pPr>
        <w:ind w:left="2520" w:hanging="360"/>
      </w:pPr>
      <w:rPr>
        <w:rFonts w:ascii="Times New Roman" w:hAnsi="Times New Roman"/>
        <w:sz w:val="24"/>
        <w:szCs w:val="24"/>
        <w:lang w:val="en-US"/>
      </w:rPr>
    </w:lvl>
    <w:lvl w:ilvl="6">
      <w:start w:val="1"/>
      <w:numFmt w:val="decimal"/>
      <w:lvlText w:val="%7."/>
      <w:lvlJc w:val="left"/>
      <w:pPr>
        <w:ind w:left="2880" w:hanging="360"/>
      </w:pPr>
      <w:rPr>
        <w:rFonts w:ascii="Times New Roman" w:hAnsi="Times New Roman"/>
        <w:sz w:val="24"/>
        <w:szCs w:val="24"/>
        <w:lang w:val="en-US"/>
      </w:rPr>
    </w:lvl>
    <w:lvl w:ilvl="7">
      <w:start w:val="1"/>
      <w:numFmt w:val="decimal"/>
      <w:lvlText w:val="%8."/>
      <w:lvlJc w:val="left"/>
      <w:pPr>
        <w:ind w:left="3240" w:hanging="360"/>
      </w:pPr>
      <w:rPr>
        <w:rFonts w:ascii="Times New Roman" w:hAnsi="Times New Roman"/>
        <w:sz w:val="24"/>
        <w:szCs w:val="24"/>
        <w:lang w:val="en-US"/>
      </w:rPr>
    </w:lvl>
    <w:lvl w:ilvl="8">
      <w:start w:val="1"/>
      <w:numFmt w:val="decimal"/>
      <w:lvlText w:val="%9."/>
      <w:lvlJc w:val="left"/>
      <w:pPr>
        <w:ind w:left="3600" w:hanging="360"/>
      </w:pPr>
      <w:rPr>
        <w:rFonts w:ascii="Times New Roman" w:hAnsi="Times New Roman"/>
        <w:sz w:val="24"/>
        <w:szCs w:val="24"/>
        <w:lang w:val="en-US"/>
      </w:rPr>
    </w:lvl>
  </w:abstractNum>
  <w:abstractNum w:abstractNumId="1" w15:restartNumberingAfterBreak="0">
    <w:nsid w:val="6B376532"/>
    <w:multiLevelType w:val="multilevel"/>
    <w:tmpl w:val="4BCAD642"/>
    <w:lvl w:ilvl="0">
      <w:start w:val="1"/>
      <w:numFmt w:val="decimal"/>
      <w:lvlText w:val="%1."/>
      <w:lvlJc w:val="left"/>
      <w:pPr>
        <w:ind w:left="720" w:hanging="360"/>
      </w:pPr>
      <w:rPr>
        <w:rFonts w:ascii="Times New Roman" w:hAnsi="Times New Roman"/>
        <w:sz w:val="24"/>
        <w:szCs w:val="24"/>
        <w:lang w:val="en-US"/>
      </w:rPr>
    </w:lvl>
    <w:lvl w:ilvl="1">
      <w:start w:val="1"/>
      <w:numFmt w:val="decimal"/>
      <w:lvlText w:val="%2."/>
      <w:lvlJc w:val="left"/>
      <w:pPr>
        <w:ind w:left="1080" w:hanging="360"/>
      </w:pPr>
      <w:rPr>
        <w:rFonts w:ascii="Times New Roman" w:hAnsi="Times New Roman"/>
        <w:sz w:val="24"/>
        <w:szCs w:val="24"/>
        <w:lang w:val="en-US"/>
      </w:rPr>
    </w:lvl>
    <w:lvl w:ilvl="2">
      <w:start w:val="1"/>
      <w:numFmt w:val="decimal"/>
      <w:lvlText w:val="%3."/>
      <w:lvlJc w:val="left"/>
      <w:pPr>
        <w:ind w:left="1440" w:hanging="360"/>
      </w:pPr>
      <w:rPr>
        <w:rFonts w:ascii="Times New Roman" w:hAnsi="Times New Roman"/>
        <w:sz w:val="24"/>
        <w:szCs w:val="24"/>
        <w:lang w:val="en-US"/>
      </w:rPr>
    </w:lvl>
    <w:lvl w:ilvl="3">
      <w:start w:val="1"/>
      <w:numFmt w:val="decimal"/>
      <w:lvlText w:val="%4."/>
      <w:lvlJc w:val="left"/>
      <w:pPr>
        <w:ind w:left="1800" w:hanging="360"/>
      </w:pPr>
      <w:rPr>
        <w:rFonts w:ascii="Times New Roman" w:hAnsi="Times New Roman"/>
        <w:sz w:val="24"/>
        <w:szCs w:val="24"/>
        <w:lang w:val="en-US"/>
      </w:rPr>
    </w:lvl>
    <w:lvl w:ilvl="4">
      <w:start w:val="1"/>
      <w:numFmt w:val="decimal"/>
      <w:lvlText w:val="%5."/>
      <w:lvlJc w:val="left"/>
      <w:pPr>
        <w:ind w:left="2160" w:hanging="360"/>
      </w:pPr>
      <w:rPr>
        <w:rFonts w:ascii="Times New Roman" w:hAnsi="Times New Roman"/>
        <w:sz w:val="24"/>
        <w:szCs w:val="24"/>
        <w:lang w:val="en-US"/>
      </w:rPr>
    </w:lvl>
    <w:lvl w:ilvl="5">
      <w:start w:val="1"/>
      <w:numFmt w:val="decimal"/>
      <w:lvlText w:val="%6."/>
      <w:lvlJc w:val="left"/>
      <w:pPr>
        <w:ind w:left="2520" w:hanging="360"/>
      </w:pPr>
      <w:rPr>
        <w:rFonts w:ascii="Times New Roman" w:hAnsi="Times New Roman"/>
        <w:sz w:val="24"/>
        <w:szCs w:val="24"/>
        <w:lang w:val="en-US"/>
      </w:rPr>
    </w:lvl>
    <w:lvl w:ilvl="6">
      <w:start w:val="1"/>
      <w:numFmt w:val="decimal"/>
      <w:lvlText w:val="%7."/>
      <w:lvlJc w:val="left"/>
      <w:pPr>
        <w:ind w:left="2880" w:hanging="360"/>
      </w:pPr>
      <w:rPr>
        <w:rFonts w:ascii="Times New Roman" w:hAnsi="Times New Roman"/>
        <w:sz w:val="24"/>
        <w:szCs w:val="24"/>
        <w:lang w:val="en-US"/>
      </w:rPr>
    </w:lvl>
    <w:lvl w:ilvl="7">
      <w:start w:val="1"/>
      <w:numFmt w:val="decimal"/>
      <w:lvlText w:val="%8."/>
      <w:lvlJc w:val="left"/>
      <w:pPr>
        <w:ind w:left="3240" w:hanging="360"/>
      </w:pPr>
      <w:rPr>
        <w:rFonts w:ascii="Times New Roman" w:hAnsi="Times New Roman"/>
        <w:sz w:val="24"/>
        <w:szCs w:val="24"/>
        <w:lang w:val="en-US"/>
      </w:rPr>
    </w:lvl>
    <w:lvl w:ilvl="8">
      <w:start w:val="1"/>
      <w:numFmt w:val="decimal"/>
      <w:lvlText w:val="%9."/>
      <w:lvlJc w:val="left"/>
      <w:pPr>
        <w:ind w:left="3600" w:hanging="360"/>
      </w:pPr>
      <w:rPr>
        <w:rFonts w:ascii="Times New Roman" w:hAnsi="Times New Roman"/>
        <w:sz w:val="24"/>
        <w:szCs w:val="24"/>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6E6"/>
    <w:rsid w:val="000460EF"/>
    <w:rsid w:val="000C6B92"/>
    <w:rsid w:val="00236244"/>
    <w:rsid w:val="00287E76"/>
    <w:rsid w:val="002A4170"/>
    <w:rsid w:val="002A5903"/>
    <w:rsid w:val="002B6B3A"/>
    <w:rsid w:val="003108C2"/>
    <w:rsid w:val="0043773E"/>
    <w:rsid w:val="0048410D"/>
    <w:rsid w:val="006C7CDF"/>
    <w:rsid w:val="00751B68"/>
    <w:rsid w:val="0075352F"/>
    <w:rsid w:val="007B157B"/>
    <w:rsid w:val="00814EA1"/>
    <w:rsid w:val="00930E11"/>
    <w:rsid w:val="00980C4C"/>
    <w:rsid w:val="00A9349B"/>
    <w:rsid w:val="00BE3136"/>
    <w:rsid w:val="00DB27F6"/>
    <w:rsid w:val="00DC25E6"/>
    <w:rsid w:val="00E056EE"/>
    <w:rsid w:val="00EE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9703"/>
  <w15:chartTrackingRefBased/>
  <w15:docId w15:val="{8103BAD9-51EA-43A5-A435-88D00F6A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6E6"/>
    <w:pPr>
      <w:spacing w:after="0" w:line="240" w:lineRule="auto"/>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6E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30E11"/>
    <w:pPr>
      <w:autoSpaceDN w:val="0"/>
      <w:spacing w:after="0" w:line="240" w:lineRule="auto"/>
      <w:textAlignment w:val="baseline"/>
    </w:pPr>
    <w:rPr>
      <w:rFonts w:ascii="Calibri" w:eastAsia="Calibri" w:hAnsi="Calibri" w:cs="Times New Roman"/>
      <w:sz w:val="20"/>
      <w:szCs w:val="20"/>
      <w:lang w:val="lt-LT" w:eastAsia="lt-LT"/>
    </w:rPr>
  </w:style>
  <w:style w:type="paragraph" w:styleId="BalloonText">
    <w:name w:val="Balloon Text"/>
    <w:basedOn w:val="Normal"/>
    <w:link w:val="BalloonTextChar"/>
    <w:uiPriority w:val="99"/>
    <w:semiHidden/>
    <w:unhideWhenUsed/>
    <w:rsid w:val="00E05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EE"/>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2020-06-17T08:33:00Z</dcterms:created>
  <dc:creator>Renata RINKAUSKIENĖ</dc:creator>
  <cp:lastModifiedBy>Ilona TRABUTYTĖ-PAKINA</cp:lastModifiedBy>
  <dcterms:modified xsi:type="dcterms:W3CDTF">2020-06-17T08:33:00Z</dcterms:modified>
  <cp:revision>2</cp:revision>
</cp:coreProperties>
</file>