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ACAC3" w14:textId="77777777" w:rsidR="006059C2" w:rsidRDefault="00C1633F">
      <w:pPr>
        <w:spacing w:after="0" w:line="240" w:lineRule="auto"/>
        <w:jc w:val="center"/>
        <w:rPr>
          <w:rFonts w:ascii="Times New Roman" w:eastAsia="Times New Roman" w:hAnsi="Times New Roman" w:cs="Times New Roman"/>
          <w:b/>
          <w:bCs/>
          <w:color w:val="000000"/>
          <w:sz w:val="24"/>
          <w:szCs w:val="24"/>
          <w:lang w:eastAsia="lt-LT"/>
        </w:rPr>
      </w:pPr>
      <w:bookmarkStart w:id="0" w:name="_GoBack"/>
      <w:bookmarkEnd w:id="0"/>
      <w:r>
        <w:rPr>
          <w:rFonts w:ascii="Times New Roman" w:eastAsia="Times New Roman" w:hAnsi="Times New Roman" w:cs="Times New Roman"/>
          <w:b/>
          <w:bCs/>
          <w:color w:val="000000"/>
          <w:sz w:val="24"/>
          <w:szCs w:val="24"/>
          <w:lang w:eastAsia="lt-LT"/>
        </w:rPr>
        <w:t xml:space="preserve">LIETUVOS RESPUBLIKOS </w:t>
      </w:r>
    </w:p>
    <w:p w14:paraId="62D16DB5" w14:textId="77777777" w:rsidR="006059C2" w:rsidRDefault="00C1633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ASMENS TAPATYBĖS KORTELĖS IR PASO ĮSTATYMO NR. XII-1519 </w:t>
      </w:r>
    </w:p>
    <w:p w14:paraId="176AB4EA" w14:textId="77777777" w:rsidR="006059C2" w:rsidRDefault="00C1633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PAKEITIMO ĮSTATYMO PROJEKTO </w:t>
      </w:r>
    </w:p>
    <w:p w14:paraId="73AB27A8" w14:textId="77777777" w:rsidR="006059C2" w:rsidRDefault="00C1633F">
      <w:pPr>
        <w:spacing w:after="0" w:line="240" w:lineRule="auto"/>
        <w:jc w:val="center"/>
        <w:rPr>
          <w:rFonts w:ascii="Calibri" w:eastAsia="Times New Roman" w:hAnsi="Calibri" w:cs="Times New Roman"/>
          <w:color w:val="000000"/>
          <w:lang w:eastAsia="lt-LT"/>
        </w:rPr>
      </w:pPr>
      <w:r>
        <w:rPr>
          <w:rFonts w:ascii="Times New Roman" w:eastAsia="Times New Roman" w:hAnsi="Times New Roman" w:cs="Times New Roman"/>
          <w:b/>
          <w:bCs/>
          <w:color w:val="000000"/>
          <w:sz w:val="24"/>
          <w:szCs w:val="24"/>
          <w:lang w:eastAsia="lt-LT"/>
        </w:rPr>
        <w:t>AIŠKINAMASIS RAŠTAS</w:t>
      </w:r>
    </w:p>
    <w:p w14:paraId="081D5025" w14:textId="77777777" w:rsidR="006059C2" w:rsidRDefault="006059C2">
      <w:pPr>
        <w:jc w:val="both"/>
      </w:pPr>
    </w:p>
    <w:p w14:paraId="67985582" w14:textId="77777777" w:rsidR="006059C2" w:rsidRDefault="00C1633F">
      <w:pPr>
        <w:pStyle w:val="Sraopastraipa"/>
        <w:spacing w:line="276" w:lineRule="auto"/>
        <w:ind w:left="0"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 Įstatymo projekto rengimą paskatinusios priežastys, parengto projekto tikslai ir uždaviniai</w:t>
      </w:r>
    </w:p>
    <w:p w14:paraId="5A1553A9"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Lietuvos Respublikos asmens tapatybės kortelės ir paso įstatymo Nr. XII-1519 pakeitimo įstatymo projektas (toliau – Įstatymo projektas) parengtas siekiant jo nuostatas suderinti su nauju Europos Sąjungos teisės reglamentavimu ir patobulinti asmens tapatybės kortelės ir paso (toliau – asmens dokumentai) išdavimo teisinį reguliavimą atsižvelgiant į praktinius aspektus. Taip pat, siekiant piliečiams teikiamas asmens dokumentų išdavimo paslaugas padaryti patogesnes, Įstatymo projekte siūloma nustatyti galimybę piliečio pageidavimu asmens dokumentus išsiųsti saugiu būdu.</w:t>
      </w:r>
    </w:p>
    <w:p w14:paraId="7F3768C3"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Įstatymo projekto uždaviniai:</w:t>
      </w:r>
    </w:p>
    <w:p w14:paraId="0BBAF009" w14:textId="33F4EEE2"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Suderinti Lietuvos Respublikos asmens tapatybės kortelės ir paso įstatymo (toliau – Įstatymas) nuostatas su Europos Parlamento ir Tarybos Reglament</w:t>
      </w:r>
      <w:r w:rsidR="00FD11D5">
        <w:rPr>
          <w:rFonts w:ascii="Times New Roman" w:hAnsi="Times New Roman" w:cs="Times New Roman"/>
          <w:bCs/>
          <w:color w:val="000000"/>
          <w:sz w:val="24"/>
          <w:szCs w:val="24"/>
        </w:rPr>
        <w:t>o</w:t>
      </w:r>
      <w:r>
        <w:rPr>
          <w:rFonts w:ascii="Times New Roman" w:hAnsi="Times New Roman" w:cs="Times New Roman"/>
          <w:bCs/>
          <w:color w:val="000000"/>
          <w:sz w:val="24"/>
          <w:szCs w:val="24"/>
        </w:rPr>
        <w:t xml:space="preserve"> (ES) Nr. 2019/1157 dėl Sąjungos piliečių tapatybės kortelių ir Sąjungos piliečiams bei jų šeimos nariams, kurie naudojasi laisvo judėjimo teise, išduodamų teisę gyventi šalyje patvirtinančių dokumentų saugumo didinimo (toliau – Reglamentas (ES) Nr. 2019/1157), nuostatomis.</w:t>
      </w:r>
    </w:p>
    <w:p w14:paraId="1D975207" w14:textId="77777777" w:rsidR="006059C2" w:rsidRDefault="00C1633F">
      <w:pPr>
        <w:spacing w:after="0" w:line="276" w:lineRule="auto"/>
        <w:ind w:firstLine="709"/>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rPr>
        <w:t xml:space="preserve">2. Nustatyti teisinį pagrindą alternatyviam išrašyto asmens dokumento įteikimui – </w:t>
      </w:r>
      <w:r w:rsidR="00FB3446">
        <w:rPr>
          <w:rFonts w:ascii="Times New Roman" w:hAnsi="Times New Roman" w:cs="Times New Roman"/>
          <w:bCs/>
          <w:color w:val="000000"/>
          <w:sz w:val="24"/>
          <w:szCs w:val="24"/>
        </w:rPr>
        <w:t xml:space="preserve">piliečio pageidavimu </w:t>
      </w:r>
      <w:r>
        <w:rPr>
          <w:rFonts w:ascii="Times New Roman" w:hAnsi="Times New Roman" w:cs="Times New Roman"/>
          <w:bCs/>
          <w:color w:val="000000"/>
          <w:sz w:val="24"/>
          <w:szCs w:val="24"/>
        </w:rPr>
        <w:t xml:space="preserve">išsiunčiant jį saugiu būdu į piliečio nurodytą vietą. </w:t>
      </w:r>
    </w:p>
    <w:p w14:paraId="51329854"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Nustatyti, kad pateikiant dokumentus dėl asmens tapatybės kortelės ar paso išdavimo ar keitimo vaikui iki dvejų metų jam atvykti į Migracijos departamentą prie Lietuvos Respublikos vidaus reikalų ministerijos (toliau – Migracijos departamentas) ar Lietuvos Respublikos konsulinę įstaigą neprivaloma. </w:t>
      </w:r>
    </w:p>
    <w:p w14:paraId="1D0ABACA" w14:textId="77777777" w:rsidR="006059C2" w:rsidRDefault="00C1633F">
      <w:pPr>
        <w:spacing w:after="0" w:line="276" w:lineRule="auto"/>
        <w:ind w:firstLine="709"/>
        <w:jc w:val="both"/>
        <w:rPr>
          <w:rFonts w:ascii="Times New Roman" w:hAnsi="Times New Roman" w:cs="Times New Roman"/>
          <w:bCs/>
          <w:sz w:val="24"/>
          <w:szCs w:val="24"/>
        </w:rPr>
      </w:pPr>
      <w:r>
        <w:rPr>
          <w:rFonts w:ascii="Times New Roman" w:hAnsi="Times New Roman" w:cs="Times New Roman"/>
          <w:bCs/>
          <w:color w:val="000000"/>
          <w:sz w:val="24"/>
          <w:szCs w:val="24"/>
        </w:rPr>
        <w:t xml:space="preserve">4. Įvertinus asmens dokumentų išdavimo praktikoje kylančias problemas, nustatyti draudimą išduoti asmens dokumentą, jei piliečiui paskirta Lietuvos Respublikos baudžiamojo proceso kodekse numatyta kardomoji priemonė – dokumentų paėmimas, arba kai užsienyje esantis pilietis yra ieškomas Lietuvos Respublikos teisėsaugos institucijų, taip pat </w:t>
      </w:r>
      <w:r>
        <w:rPr>
          <w:rFonts w:ascii="Times New Roman" w:hAnsi="Times New Roman" w:cs="Times New Roman"/>
          <w:bCs/>
          <w:sz w:val="24"/>
          <w:szCs w:val="24"/>
        </w:rPr>
        <w:t xml:space="preserve">išplėsti atvejų, kai užsienio valstybėje esančiam ir galiojančio asmens dokumento neturinčiam piliečiui gali būti išduotas dokumentas, suteikiantis teisę grįžti į Lietuvos Respubliką, sąrašą. </w:t>
      </w:r>
    </w:p>
    <w:p w14:paraId="3FAC9CEB" w14:textId="6BFE15C8"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 Nustatyti pareigą Lietuvos Respublikoje gyvenantiems piliečiams, kuriems Lietuvos Respublikos pilietybė atkurta, suteikta ar grąžinta, per 3 mėnesius nuo Lietuvos Respublikos pilietybės atkūrimo, suteikimo ar grąžinimo pateikti dokumentus dėl asmens tapatybės kortelės ar paso išdavimo.</w:t>
      </w:r>
    </w:p>
    <w:p w14:paraId="5C0CAC6D" w14:textId="77777777" w:rsidR="006059C2" w:rsidRDefault="00C1633F">
      <w:pPr>
        <w:spacing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 Atsisakyti procedūrinio pobūdžio nuostatų Įstatyme nustatymo, o jas dėstyti poįstatyminiuose teisės aktuose, taip pat tikslinti vartojamas sąvokas, išbraukti nebeaktualias nuostatas.</w:t>
      </w:r>
    </w:p>
    <w:p w14:paraId="6D3FAF41" w14:textId="77777777" w:rsidR="006059C2" w:rsidRDefault="006059C2">
      <w:pPr>
        <w:spacing w:line="276" w:lineRule="auto"/>
        <w:ind w:firstLine="709"/>
        <w:jc w:val="both"/>
        <w:rPr>
          <w:rFonts w:ascii="Times New Roman" w:hAnsi="Times New Roman" w:cs="Times New Roman"/>
          <w:bCs/>
          <w:color w:val="000000"/>
          <w:sz w:val="24"/>
          <w:szCs w:val="24"/>
        </w:rPr>
      </w:pPr>
    </w:p>
    <w:p w14:paraId="3F3352C4" w14:textId="77777777" w:rsidR="006059C2" w:rsidRDefault="00C1633F">
      <w:pPr>
        <w:spacing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 Įstatymo projekto iniciatoriai (institucija, asmenys ar piliečių įgalioti atstovai) ir rengėjai.</w:t>
      </w:r>
    </w:p>
    <w:p w14:paraId="2EFAF050" w14:textId="214A4BFA" w:rsidR="006059C2" w:rsidRDefault="00C1633F">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Įstatymo projektą parengė </w:t>
      </w:r>
      <w:r>
        <w:rPr>
          <w:rFonts w:ascii="Times New Roman" w:hAnsi="Times New Roman" w:cs="Times New Roman"/>
          <w:bCs/>
          <w:color w:val="000000"/>
          <w:sz w:val="24"/>
          <w:szCs w:val="24"/>
        </w:rPr>
        <w:t xml:space="preserve">Lietuvos Respublikos </w:t>
      </w:r>
      <w:r>
        <w:rPr>
          <w:rFonts w:ascii="Times New Roman" w:eastAsia="Times New Roman" w:hAnsi="Times New Roman" w:cs="Times New Roman"/>
          <w:sz w:val="24"/>
          <w:szCs w:val="24"/>
          <w:lang w:eastAsia="lt-LT"/>
        </w:rPr>
        <w:t>vidaus reikalų ministerij</w:t>
      </w:r>
      <w:r w:rsidR="00B70042">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w:t>
      </w:r>
    </w:p>
    <w:p w14:paraId="6BE1EEFF" w14:textId="77777777" w:rsidR="006059C2" w:rsidRDefault="006059C2">
      <w:pPr>
        <w:spacing w:after="0" w:line="276" w:lineRule="auto"/>
        <w:ind w:firstLine="709"/>
        <w:jc w:val="both"/>
        <w:rPr>
          <w:rFonts w:ascii="Times New Roman" w:eastAsia="Times New Roman" w:hAnsi="Times New Roman" w:cs="Times New Roman"/>
          <w:sz w:val="24"/>
          <w:szCs w:val="24"/>
          <w:lang w:eastAsia="lt-LT"/>
        </w:rPr>
      </w:pPr>
    </w:p>
    <w:p w14:paraId="559AA6D8" w14:textId="77777777" w:rsidR="006059C2" w:rsidRDefault="00C1633F">
      <w:pPr>
        <w:spacing w:after="0"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 Kaip šiuo metu yra reguliuojami Įstatymo projekte aptarti teisiniai santykiai</w:t>
      </w:r>
    </w:p>
    <w:p w14:paraId="28FF9033"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Įstatyme ir kituose teisės aktuose nenumatyta galimybė Lietuvos Respublikoje gyvenančiam piliečiui išrašytą asmens dokumentą išsiųsti saugiu būdu. Įstatymo 6 straipsnio 9 dalyje nustatyta, kad naują asmens tapatybės kortelę ar naują pasą atsiima pilietis arba jo įgaliotas asmuo, kitas teisėtas atstovas arba piliečio rašytiniame prašyme nurodytas kitas asmuo. </w:t>
      </w:r>
    </w:p>
    <w:p w14:paraId="6F4BC54C"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Įstatymo 3 straipsnio 5 dalyje nustatyta, kad Lietuvos Respublikoje gyvenantys piliečiai nuo 16 metų privalo turėti asmens tapatybės kortelę arba pasą. Pilietis, kuriam sukako 16 metų, dokumentus dėl asmens tapatybės kortelės ar paso išdavimo turi pateikti ne vėliau kaip per vieną mėnesį po to, kai sukako 16 metų. Įstatyme ir kituose teisės aktuose nėra nustatytas terminas, per kurį Lietuvos Respublikoje gyvenantis pilietis, kuriam Lietuvos Respublikos pilietybė suteikta, grąžinta ar atkurta, turi pateikti dokumentus dėl asmens tapatybės kortelės ar paso išdavimo.</w:t>
      </w:r>
    </w:p>
    <w:p w14:paraId="48DCED78" w14:textId="567D2C24"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bCs/>
          <w:color w:val="000000"/>
          <w:sz w:val="24"/>
          <w:szCs w:val="24"/>
        </w:rPr>
        <w:t xml:space="preserve">Įstatymo 4 straipsnio 1 dalies 1 punkte ir šio straipsnio 2 dalies 1 punkte nustatyta, kad piliečiui iki </w:t>
      </w:r>
      <w:r w:rsidR="00C46A0F">
        <w:rPr>
          <w:rFonts w:ascii="Times New Roman" w:hAnsi="Times New Roman" w:cs="Times New Roman"/>
          <w:bCs/>
          <w:color w:val="000000"/>
          <w:sz w:val="24"/>
          <w:szCs w:val="24"/>
        </w:rPr>
        <w:t>16</w:t>
      </w:r>
      <w:r>
        <w:rPr>
          <w:rFonts w:ascii="Times New Roman" w:hAnsi="Times New Roman" w:cs="Times New Roman"/>
          <w:bCs/>
          <w:color w:val="000000"/>
          <w:sz w:val="24"/>
          <w:szCs w:val="24"/>
        </w:rPr>
        <w:t xml:space="preserve"> metų amžiaus išduota asmens tapatybės kortelė ar pasas galioja ne ilgiau kaip 5 metus. </w:t>
      </w:r>
      <w:r>
        <w:rPr>
          <w:rFonts w:ascii="Times New Roman" w:hAnsi="Times New Roman" w:cs="Times New Roman"/>
          <w:color w:val="000000"/>
          <w:sz w:val="24"/>
          <w:szCs w:val="24"/>
        </w:rPr>
        <w:t xml:space="preserve">Asmens tapatybės kortelės ir paso išdavimo tvarkos aprašo, patvirtinto </w:t>
      </w:r>
      <w:r>
        <w:rPr>
          <w:rFonts w:ascii="Times New Roman" w:eastAsia="Times New Roman" w:hAnsi="Times New Roman" w:cs="Times New Roman"/>
          <w:color w:val="000000"/>
          <w:sz w:val="24"/>
          <w:szCs w:val="24"/>
          <w:lang w:eastAsia="lt-LT"/>
        </w:rPr>
        <w:t>Lietuvos Respublikos vidaus reikalų ministro ir Lietuvos Respublikos užsienio reikalų ministro 2015 m. kovo 19</w:t>
      </w:r>
      <w:r>
        <w:rPr>
          <w:rFonts w:ascii="Times New Roman" w:eastAsia="Times New Roman" w:hAnsi="Times New Roman" w:cs="Times New Roman"/>
          <w:b/>
          <w:bCs/>
          <w:color w:val="000000"/>
          <w:sz w:val="24"/>
          <w:szCs w:val="24"/>
          <w:lang w:eastAsia="lt-LT"/>
        </w:rPr>
        <w:t> </w:t>
      </w:r>
      <w:r>
        <w:rPr>
          <w:rFonts w:ascii="Times New Roman" w:eastAsia="Times New Roman" w:hAnsi="Times New Roman" w:cs="Times New Roman"/>
          <w:color w:val="000000"/>
          <w:sz w:val="24"/>
          <w:szCs w:val="24"/>
          <w:lang w:eastAsia="lt-LT"/>
        </w:rPr>
        <w:t xml:space="preserve">d. įsakymu Nr. 1V-200/V-62 „Dėl </w:t>
      </w:r>
      <w:r>
        <w:rPr>
          <w:rFonts w:ascii="Times New Roman" w:hAnsi="Times New Roman" w:cs="Times New Roman"/>
          <w:color w:val="000000"/>
          <w:sz w:val="24"/>
          <w:szCs w:val="24"/>
        </w:rPr>
        <w:t>Asmens tapatybės kortelės ir paso išdavimo tvarkos aprašo patvirtinimo“</w:t>
      </w:r>
      <w:r>
        <w:rPr>
          <w:rFonts w:ascii="Times New Roman" w:eastAsia="Times New Roman" w:hAnsi="Times New Roman" w:cs="Times New Roman"/>
          <w:color w:val="000000"/>
          <w:sz w:val="24"/>
          <w:szCs w:val="24"/>
          <w:lang w:eastAsia="lt-LT"/>
        </w:rPr>
        <w:t xml:space="preserve"> (toliau – Aprašas), 63.1 ir 64.1 papunkčiuose nustatyta, kad asmens tapatybės kortelė ir pasas galioja 2 metus, jei jie išduoti piliečiui iki 5 metų amžiaus</w:t>
      </w:r>
      <w:r w:rsidR="00C46A0F">
        <w:rPr>
          <w:rFonts w:ascii="Times New Roman" w:eastAsia="Times New Roman" w:hAnsi="Times New Roman" w:cs="Times New Roman"/>
          <w:color w:val="000000"/>
          <w:sz w:val="24"/>
          <w:szCs w:val="24"/>
          <w:lang w:eastAsia="lt-LT"/>
        </w:rPr>
        <w:t>, o Aprašo 63.2</w:t>
      </w:r>
      <w:r w:rsidR="00FD11D5">
        <w:rPr>
          <w:rFonts w:ascii="Times New Roman" w:eastAsia="Times New Roman" w:hAnsi="Times New Roman" w:cs="Times New Roman"/>
          <w:color w:val="000000"/>
          <w:sz w:val="24"/>
          <w:szCs w:val="24"/>
          <w:lang w:eastAsia="lt-LT"/>
        </w:rPr>
        <w:t>,</w:t>
      </w:r>
      <w:r w:rsidR="00C46A0F">
        <w:rPr>
          <w:rFonts w:ascii="Times New Roman" w:eastAsia="Times New Roman" w:hAnsi="Times New Roman" w:cs="Times New Roman"/>
          <w:color w:val="000000"/>
          <w:sz w:val="24"/>
          <w:szCs w:val="24"/>
          <w:lang w:eastAsia="lt-LT"/>
        </w:rPr>
        <w:t xml:space="preserve"> 64.2 papunkčiuose nustatyta, kad asmens tapatybės kortelė ir pasas galioja 5 metus, jeigu jie išduoti piliečiui nuo 5 iki 16 metų amžiaus. </w:t>
      </w:r>
      <w:r>
        <w:rPr>
          <w:rFonts w:ascii="Times New Roman" w:eastAsia="Times New Roman" w:hAnsi="Times New Roman" w:cs="Times New Roman"/>
          <w:color w:val="000000"/>
          <w:sz w:val="24"/>
          <w:szCs w:val="24"/>
          <w:lang w:eastAsia="lt-LT"/>
        </w:rPr>
        <w:t xml:space="preserve"> </w:t>
      </w:r>
    </w:p>
    <w:p w14:paraId="5E8EEDFB" w14:textId="1B134B54"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Įstatymo 4 straipsnio 1 dalies 2 punkte nustatyta, kad asmens tapatybės kortelė, išduota piliečiui nuo 16 metų iki 75 metų, galioja 10 metų, o šio straipsnio 1 dalies 3 punkte </w:t>
      </w:r>
      <w:r w:rsidR="00FD11D5">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kad asmens tapatybės kortelė, išduota piliečiui nuo 75 metų, galioja 20 metų. </w:t>
      </w:r>
    </w:p>
    <w:p w14:paraId="2C4CAAC6" w14:textId="4E3D9EB8" w:rsidR="006059C2" w:rsidRDefault="00C1633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2004 m. gruodžio 13 d. Tarybos reglamento (EB) Nr. 2252/2004 dėl valstybių narių išduodamų pasų ir kelionės dokumentų apsauginių savybių ir biometrikos standartų (OL 2004 L 385, p. 1) su paskutiniais pakeitimais, padarytais 2009 m. gegužės 28 d. Europos Parlamento ir Tarybos reglamentu (EB) Nr. 444/2009 (OL 2009 L 142, p. 1) (toliau – </w:t>
      </w:r>
      <w:r>
        <w:rPr>
          <w:rFonts w:ascii="Times New Roman" w:eastAsia="Times New Roman" w:hAnsi="Times New Roman" w:cs="Times New Roman"/>
          <w:color w:val="000000"/>
          <w:sz w:val="24"/>
          <w:szCs w:val="24"/>
          <w:lang w:eastAsia="lt-LT"/>
        </w:rPr>
        <w:t>Reglamentas (EB) Nr. 2252/2004) 1</w:t>
      </w:r>
      <w:r w:rsidR="00FD11D5">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 xml:space="preserve">straipsnio 3 dalyje nustatyta, </w:t>
      </w:r>
      <w:r>
        <w:rPr>
          <w:rFonts w:ascii="Times New Roman" w:eastAsia="Times New Roman" w:hAnsi="Times New Roman" w:cs="Times New Roman"/>
          <w:sz w:val="24"/>
          <w:szCs w:val="24"/>
          <w:lang w:eastAsia="lt-LT"/>
        </w:rPr>
        <w:t xml:space="preserve">kad </w:t>
      </w:r>
      <w:r>
        <w:rPr>
          <w:rFonts w:ascii="Times New Roman" w:hAnsi="Times New Roman" w:cs="Times New Roman"/>
          <w:sz w:val="24"/>
          <w:szCs w:val="24"/>
          <w:shd w:val="clear" w:color="auto" w:fill="FFFFFF"/>
        </w:rPr>
        <w:t xml:space="preserve">šis reglamentas taikomas valstybių narių išduodamiems pasams ir kelionės dokumentams. Jis netaikomas valstybių narių savo piliečiams išduodamoms asmens tapatybės kortelėms ar laikiniems pasams ir kelionės dokumentams, kurie galioja 12 mėnesių ar trumpiau. Reglamento </w:t>
      </w:r>
      <w:r>
        <w:rPr>
          <w:rFonts w:ascii="Times New Roman" w:eastAsia="Times New Roman" w:hAnsi="Times New Roman" w:cs="Times New Roman"/>
          <w:color w:val="000000"/>
          <w:sz w:val="24"/>
          <w:szCs w:val="24"/>
          <w:lang w:eastAsia="lt-LT"/>
        </w:rPr>
        <w:t>(EB) Nr. 2252/2004</w:t>
      </w:r>
      <w:r>
        <w:rPr>
          <w:rFonts w:ascii="Times New Roman" w:hAnsi="Times New Roman" w:cs="Times New Roman"/>
          <w:sz w:val="24"/>
          <w:szCs w:val="24"/>
          <w:shd w:val="clear" w:color="auto" w:fill="FFFFFF"/>
        </w:rPr>
        <w:t xml:space="preserve"> 1 straipsnio 2a dalyje nustatyta, kad reikalavimas duoti pirštų atspaudus netaikomas vaikams iki 12 metų ir asmenims, kurie fiziškai negali duoti pirštų atspaudų. Šio reglamento 1 straipsnio 2b dalyje nustatyta, kad tais atvejais, kai laikinai negalima paimti jokių pirštų atspaudų, valstybės narės gali išduoti laikiną 12 mėnesių ar mažiau galiojantį pasą.</w:t>
      </w:r>
    </w:p>
    <w:p w14:paraId="144039AF" w14:textId="2CFEE471" w:rsidR="006059C2" w:rsidRDefault="00C1633F">
      <w:pPr>
        <w:spacing w:after="0" w:line="276"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lt-LT"/>
        </w:rPr>
        <w:t xml:space="preserve">Atsižvelgiant į tai, kad Reglamento (EB) Nr. 2252/2004 nuostatos tiesiogiai netaikytinos piliečiams išduodamoms asmens tapatybės kortelėms, Įstatymo 5 straipsnio 9 dalyje nustatyta, kad asmens tapatybės kortelė ir pasas gali būti išduoti be juose elektroniniu būdu fiksuotų pirštų atspaudų Reglamente (EB) Nr. 2252/2004 nustatytais atvejais. </w:t>
      </w:r>
      <w:r>
        <w:rPr>
          <w:rFonts w:ascii="Times New Roman" w:hAnsi="Times New Roman" w:cs="Times New Roman"/>
          <w:color w:val="000000"/>
          <w:sz w:val="24"/>
          <w:szCs w:val="24"/>
        </w:rPr>
        <w:t>Aprašo 63.5</w:t>
      </w:r>
      <w:r w:rsidR="00FD11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64.4 papunkčiuose nustatyta, kad asmens tapatybės kortelė ir pasas galioja 12 mėnesių, kai laikinai negalima nuskaityti jokių piliečio pirštų atspaudų. Aprašo 25.5.10 papunktyje nustatyta, kad priimant dokumentus dėl asmens tapatybės kortelės ar paso išdavimo ar keitimo nuskaitomi piliečio nuo 12 metų pirštų atspaudai.</w:t>
      </w:r>
    </w:p>
    <w:p w14:paraId="7EF1BA8C" w14:textId="498E9698" w:rsidR="006059C2" w:rsidRDefault="00C1633F">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Aprašo 29 punkte nustatyta, kad </w:t>
      </w:r>
      <w:r>
        <w:rPr>
          <w:rFonts w:ascii="Times New Roman" w:hAnsi="Times New Roman" w:cs="Times New Roman"/>
          <w:color w:val="000000"/>
          <w:sz w:val="24"/>
          <w:szCs w:val="24"/>
        </w:rPr>
        <w:t xml:space="preserve">tais atvejais, kai asmens tapatybės kortelė ar pasas išduodamas vietoj prarasto asmens tapatybę ir pilietybę patvirtinančio dokumento, privaloma patikrinti, ar nėra informacijos apie asmeniui paskirtą kardomąją priemonę – dokumentų paėmimą. Aprašo 36 punkte nustatyta, kad tais atvejais, kai konsuliniam pareigūnui ar įgaliotam konsulinės įstaigos darbuotojui kyla įtarimų, kad asmeniui gali būti paskirta kardomoji priemonė – dokumentų paėmimas, konsulinis pareigūnas ar konsulinės įstaigos įgaliotas darbuotojas vykdo konsultacijas su Migracijos departamentu. Aprašo 100 punkte nustatyta, kad piliečiui, kuris yra praradęs asmens </w:t>
      </w:r>
      <w:r>
        <w:rPr>
          <w:rFonts w:ascii="Times New Roman" w:hAnsi="Times New Roman" w:cs="Times New Roman"/>
          <w:color w:val="000000"/>
          <w:sz w:val="24"/>
          <w:szCs w:val="24"/>
        </w:rPr>
        <w:lastRenderedPageBreak/>
        <w:t>tapatybę ir pilietybę patvirtinantį dokumentą, tačiau yra galimybė skubiai atlikti Aprašo 27 punkte nurodytą patikrinimą dėl asmens duomenų ir tapatybės i</w:t>
      </w:r>
      <w:r w:rsidR="00FD11D5">
        <w:rPr>
          <w:rFonts w:ascii="Times New Roman" w:hAnsi="Times New Roman" w:cs="Times New Roman"/>
          <w:color w:val="000000"/>
          <w:sz w:val="24"/>
          <w:szCs w:val="24"/>
        </w:rPr>
        <w:t>r</w:t>
      </w:r>
      <w:r>
        <w:rPr>
          <w:rFonts w:ascii="Times New Roman" w:hAnsi="Times New Roman" w:cs="Times New Roman"/>
          <w:color w:val="000000"/>
          <w:sz w:val="24"/>
          <w:szCs w:val="24"/>
        </w:rPr>
        <w:t xml:space="preserve"> įsitikinti, kad piliečiui nėra paskirta kardomoji priemonė – dokumentų paėmimas, nauja asmens tapatybės kortelės ar pasas gali būti išduoti skubos tvarka. Įstatyme ir kituose teisės aktuose nėra nustatytas draudimas išduoti asmens tapatybės kortelę ar pasą, jei piliečiui yra paskirta kardomoji priemonė – dokumentų paėmimas. Įstatyme ir kituose teisės aktuose nėra nustatytas draudimas Lietuvos Respublikos konsulinėse įstaigose išduoti asmens tapatybės kortelę ar pasą Lietuvos Respublikos teisėsaugos institucijų ieškomam piliečiui.</w:t>
      </w:r>
      <w:r>
        <w:rPr>
          <w:vanish/>
        </w:rPr>
        <w:commentReference w:id="1"/>
      </w:r>
    </w:p>
    <w:p w14:paraId="1A8E941C" w14:textId="77777777" w:rsidR="006059C2" w:rsidRDefault="00C1633F">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Įstatymo 6 straipsnio 5 dalyje nustatyta, kad pateikiant dokumentus dėl asmens tapatybės kortelės ar paso išdavimo ar keitimo vaikui iki vienų metų, jo atvykimas į Migracijos departamentą ar Lietuvos Respublikos konsulinę įstaigą nėra būtinas.</w:t>
      </w:r>
    </w:p>
    <w:p w14:paraId="6AD4A466" w14:textId="77777777" w:rsidR="006059C2" w:rsidRDefault="00C1633F">
      <w:pPr>
        <w:spacing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Įstatymo 6 straipsnio 12 dalyje nustatytas baigtinis sąrašas atvejų, kai užsienio valstybėje esančiam piliečiui Lietuvos Respublikos konsulinė įstaiga gali išduoti dokumentą, leidžiantį grįžti į Lietuvos Respubliką – kai asmens tapatybės kortelė ar pasas prarandami, tampa netinkami naudoti ar pasibaigia galiojimo laikas, ir pavedama užsienio reikalų ministrui nustatyti grįžimo dokumento formą bei išdavimo tvarką. Įstatyme ir kituose teisės aktuose nėra nustatyta galimybė užsienio valstybėje esančiam piliečiui išduoti dokumentą, leidžiantį grįžti į Lietuvos Respubliką, kai piliečiui paskirta Baudžiamojo proceso kodekse nustatyta kardomoji priemonė – dokumento paėmimas. Išduoto grįžimo dokumento duomenys nėra įrašomi į Asmens dokumentų išrašymo informacinę sistemą.</w:t>
      </w:r>
    </w:p>
    <w:p w14:paraId="7AB3E007" w14:textId="77777777" w:rsidR="006059C2" w:rsidRDefault="006059C2">
      <w:pPr>
        <w:spacing w:line="276" w:lineRule="auto"/>
        <w:ind w:firstLine="709"/>
        <w:jc w:val="both"/>
        <w:rPr>
          <w:rFonts w:ascii="Times New Roman" w:hAnsi="Times New Roman" w:cs="Times New Roman"/>
          <w:bCs/>
          <w:color w:val="000000"/>
          <w:sz w:val="24"/>
          <w:szCs w:val="24"/>
        </w:rPr>
      </w:pPr>
    </w:p>
    <w:p w14:paraId="61A659DD" w14:textId="77777777" w:rsidR="006059C2" w:rsidRDefault="00C1633F">
      <w:pPr>
        <w:spacing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 Kokios siūlomos naujos teisinio reguliavimo nuostatos ir kokių teigiamų rezultatų laukiama</w:t>
      </w:r>
    </w:p>
    <w:p w14:paraId="45D24DB9" w14:textId="46D13D3E" w:rsidR="006059C2" w:rsidRDefault="00C1633F">
      <w:pPr>
        <w:spacing w:after="0" w:line="276"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2014 m. liepos 23 d. Europos Parlamento ir Tarybos reglamente (ES) Nr. 910/2014 dėl elektroninės atpažinties ir elektroninių operacijų patikimumo užtikrinimo paslaugų vidaus rinkoje, kuriuo panaikinama Direktyva 1999/93/EB (OL 2014 L 257, p. 73)</w:t>
      </w:r>
      <w:r w:rsidR="00FD11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(toliau </w:t>
      </w:r>
      <w:r>
        <w:rPr>
          <w:rFonts w:ascii="Times New Roman" w:hAnsi="Times New Roman" w:cs="Times New Roman"/>
          <w:sz w:val="24"/>
          <w:szCs w:val="24"/>
        </w:rPr>
        <w:t>–</w:t>
      </w:r>
      <w:r>
        <w:rPr>
          <w:rFonts w:ascii="Times New Roman" w:hAnsi="Times New Roman" w:cs="Times New Roman"/>
          <w:b/>
          <w:color w:val="000000"/>
          <w:sz w:val="24"/>
          <w:szCs w:val="24"/>
        </w:rPr>
        <w:t xml:space="preserve"> </w:t>
      </w:r>
      <w:r>
        <w:rPr>
          <w:rFonts w:ascii="Times New Roman" w:hAnsi="Times New Roman" w:cs="Times New Roman"/>
          <w:sz w:val="24"/>
          <w:szCs w:val="24"/>
        </w:rPr>
        <w:t>Reglamentas (ES) Nr. 910/2014) apibrėžtos elektroninės atpažinties, elektroninio parašo, kvalifikuoto elektroninio parašo sertifikato sąvokos, o Įstatyme nurodytas Lietuvos Respublikos elektroninio parašo įstatymas nebegalioja nuo 2018 m. gegužės 9 d., todėl Įstatymo projekte siūloma suderinti sąvokas su Reglamente (ES) Nr. 910/2014 apibrėžtomis ir vartojamomis sąvokomis.</w:t>
      </w:r>
    </w:p>
    <w:p w14:paraId="2FFC9543" w14:textId="33A35113"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Paskutini</w:t>
      </w:r>
      <w:r w:rsidR="00FD11D5">
        <w:rPr>
          <w:rFonts w:ascii="Times New Roman" w:hAnsi="Times New Roman" w:cs="Times New Roman"/>
          <w:bCs/>
          <w:color w:val="000000"/>
          <w:sz w:val="24"/>
          <w:szCs w:val="24"/>
        </w:rPr>
        <w:t>ai</w:t>
      </w:r>
      <w:r>
        <w:rPr>
          <w:rFonts w:ascii="Times New Roman" w:hAnsi="Times New Roman" w:cs="Times New Roman"/>
          <w:bCs/>
          <w:color w:val="000000"/>
          <w:sz w:val="24"/>
          <w:szCs w:val="24"/>
        </w:rPr>
        <w:t xml:space="preserve"> Lietuvos Respublikos piliečio pasai baigė galioti 2018 m., o visose piliečių turimose galiojančiose asmens tapatybės kortelėse ir pasuose yra elektroniniu būdu fiksuoti Įstatymo 5 straipsnio 1 dalyje nurodyti duomenys (vardas (vardai), pavardė, lytis, gimimo data, asmens kodas, pilietybė), biometriniai duomenys tapatybei patvirtinti – veido atvaizdas ir dviejų pirštų atspaudai, taip pat pasuose – piliečio gimimo vieta (nurodomas valstybės pavadinimas), o asmens tapatybės kortelėse – asmens elektroninės atpažinties ir kvalifikuotas sertifikatas, todėl Įstatymo projekte siūloma išbraukti perteklines nuostatas, nurodančias datas, nuo kada šie duomenys pradėti elektroniniu būdu fiksuoti asmens tapatybės kortelėse ir pasuose, bei nuostatas dėl Lietuvos Respublikos piliečio paso.</w:t>
      </w:r>
    </w:p>
    <w:p w14:paraId="2B4C3ED9" w14:textId="1B6A1B19"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Reglamento (ES) Nr. 2019/1157, kuris bus taikomas nuo 2021 m. rugpjūčio 2 d., 4 straipsnio 2 dalies c punkte nustatyta, kad valstybės narės gali numatyti, kad tapatybės kortelių galiojimo trukmė yra ilgesnė nei 10 metų, kai tapatybės kortelės išduodamos 70 metų amžiaus ir vyresniems asmenims. </w:t>
      </w:r>
      <w:r>
        <w:rPr>
          <w:rFonts w:ascii="Times New Roman" w:eastAsia="Times New Roman" w:hAnsi="Times New Roman" w:cs="Times New Roman"/>
          <w:color w:val="000000"/>
          <w:sz w:val="24"/>
          <w:szCs w:val="24"/>
          <w:lang w:eastAsia="lt-LT"/>
        </w:rPr>
        <w:t xml:space="preserve">Atsižvelgiant į Reglamente </w:t>
      </w:r>
      <w:r>
        <w:rPr>
          <w:rFonts w:ascii="Times New Roman" w:hAnsi="Times New Roman" w:cs="Times New Roman"/>
          <w:bCs/>
          <w:color w:val="000000"/>
          <w:sz w:val="24"/>
          <w:szCs w:val="24"/>
        </w:rPr>
        <w:t>(ES) Nr. 2019/1157</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bCs/>
          <w:color w:val="000000"/>
          <w:sz w:val="24"/>
          <w:szCs w:val="24"/>
        </w:rPr>
        <w:t xml:space="preserve">nustatytą galimybę valstybei narei numatyti ilgesnę nei 10 metų tapatybės kortelių, išduotų vyresniems kaip 70 metų asmenims, galiojimo trukmę ir </w:t>
      </w:r>
      <w:r>
        <w:rPr>
          <w:rFonts w:ascii="Times New Roman" w:hAnsi="Times New Roman" w:cs="Times New Roman"/>
          <w:bCs/>
          <w:color w:val="000000"/>
          <w:sz w:val="24"/>
          <w:szCs w:val="24"/>
        </w:rPr>
        <w:lastRenderedPageBreak/>
        <w:t>siekiant palengvinti vyresnio amžiaus piliečiams tenkančią administracinę naštą keičiant asmens dokumentus, Įstatymo projekte siūloma nustatyti, kad piliečiui nuo 70 metų išduota asmens tapatybės kortelė galioja 20 metų.</w:t>
      </w:r>
      <w:r w:rsidR="00341EEA">
        <w:rPr>
          <w:rFonts w:ascii="Times New Roman" w:hAnsi="Times New Roman" w:cs="Times New Roman"/>
          <w:bCs/>
          <w:color w:val="000000"/>
          <w:sz w:val="24"/>
          <w:szCs w:val="24"/>
        </w:rPr>
        <w:t xml:space="preserve"> Taip pat Įstatymo projekte siūloma nustatyti konkrečią asmens tapatybės kortelės ir paso, išduodamo piliečiui iki 16 metų galiojimo trukmę, t. y. piliečiui iki 5 metų išduota asmens tapatybės kortelė ar pasas galioja 2 metus, o piliečiui nuo 5 metų iki 16 metų </w:t>
      </w:r>
      <w:r w:rsidR="004C368D">
        <w:rPr>
          <w:rFonts w:ascii="Times New Roman" w:hAnsi="Times New Roman" w:cs="Times New Roman"/>
          <w:bCs/>
          <w:color w:val="000000"/>
          <w:sz w:val="24"/>
          <w:szCs w:val="24"/>
        </w:rPr>
        <w:t>–</w:t>
      </w:r>
      <w:r w:rsidR="00341EEA">
        <w:rPr>
          <w:rFonts w:ascii="Times New Roman" w:hAnsi="Times New Roman" w:cs="Times New Roman"/>
          <w:bCs/>
          <w:color w:val="000000"/>
          <w:sz w:val="24"/>
          <w:szCs w:val="24"/>
        </w:rPr>
        <w:t xml:space="preserve"> 5 metus.</w:t>
      </w:r>
    </w:p>
    <w:p w14:paraId="2713E0C7"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eastAsia="Times New Roman" w:hAnsi="Times New Roman" w:cs="Times New Roman"/>
          <w:color w:val="000000"/>
          <w:sz w:val="24"/>
          <w:szCs w:val="24"/>
          <w:lang w:eastAsia="lt-LT"/>
        </w:rPr>
        <w:t xml:space="preserve">Reglamento (EB) </w:t>
      </w:r>
      <w:r>
        <w:rPr>
          <w:rFonts w:ascii="Times New Roman" w:eastAsia="Times New Roman" w:hAnsi="Times New Roman" w:cs="Times New Roman"/>
          <w:sz w:val="24"/>
          <w:szCs w:val="24"/>
          <w:lang w:eastAsia="lt-LT"/>
        </w:rPr>
        <w:t xml:space="preserve">Nr. 2252/2004 </w:t>
      </w:r>
      <w:r>
        <w:rPr>
          <w:rFonts w:ascii="Times New Roman" w:hAnsi="Times New Roman" w:cs="Times New Roman"/>
          <w:sz w:val="24"/>
          <w:szCs w:val="24"/>
          <w:shd w:val="clear" w:color="auto" w:fill="FFFFFF"/>
        </w:rPr>
        <w:t>1 straipsnio 2b dalyje nustatyta, kad tais atvejais, kai laikinai negalima paimti jokių pirštų atspaudų, valstybės narės gali išduoti laikiną 12 mėnesių ar mažiau galiojantį pasą</w:t>
      </w:r>
      <w:r>
        <w:rPr>
          <w:rFonts w:ascii="Times New Roman" w:eastAsia="Times New Roman" w:hAnsi="Times New Roman" w:cs="Times New Roman"/>
          <w:sz w:val="24"/>
          <w:szCs w:val="24"/>
          <w:lang w:eastAsia="lt-LT"/>
        </w:rPr>
        <w:t xml:space="preserve">, o </w:t>
      </w:r>
      <w:r>
        <w:rPr>
          <w:rFonts w:ascii="Times New Roman" w:hAnsi="Times New Roman" w:cs="Times New Roman"/>
          <w:bCs/>
          <w:sz w:val="24"/>
          <w:szCs w:val="24"/>
        </w:rPr>
        <w:t xml:space="preserve">Reglamento (ES) </w:t>
      </w:r>
      <w:r>
        <w:rPr>
          <w:rFonts w:ascii="Times New Roman" w:hAnsi="Times New Roman" w:cs="Times New Roman"/>
          <w:bCs/>
          <w:color w:val="000000"/>
          <w:sz w:val="24"/>
          <w:szCs w:val="24"/>
        </w:rPr>
        <w:t>Nr. 2019/1157 4 straipsnio 3 dalyje nustatyta, kad tais atvejais, kai laikinai fiziškai neįmanoma paimti jokių pirštų atspaudų, valstybės narės išduoda 12 mėnesių ar mažiau galiojančią tapatybės kortelę. Atsižvelgiant į tai, kad Įstatyme yra nustatomas išduodamų asmens tapatybės kortelių ir pasų galiojimo terminas (priklausomai nuo piliečio amžiaus), tačiau nėra nuostatų apie asmens tapatybės kortelės ir paso, kurie išduodami piliečiui tais išimtiniais atvejais, kai laikinai neįmanoma paimti jokių pirštų atspaudų, galiojimą (tai nustatyta Apraše), ir siekiant visus galimus asmens tapatybės kortelių ir pasų galiojimo terminus nuosekliai nustatyti viename teisės akte, Įstatymo projekte siūloma papildyti Įstatymą nuostatomis dėl 12 mėnesių galiojančių asmens tapatybės kortelių ir pasų.</w:t>
      </w:r>
    </w:p>
    <w:p w14:paraId="40A2F2E2"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Įstatymo 5 straipsnio 1 dalyje nustatyti duomenys apie pilietį, kurie įrašomi asmens tapatybės kortelėje ir pase pagal Lietuvos Respublikos gyventojų registro duomenis: vardas (vardai), pavardė, lytis, gimimo data, asmens kodas ir pilietybė. Tačiau faktiškai pilietybės įrašas – LIETUVOS RESPUBLIKOS – įrašomas į asmens tapatybės kortelę ir pasą ne jo išrašymo metu (personalizuojant dokumento blanką), bet įrašomas asmens tapatybės kortelės ir paso blanke jo gamybos metu (Asmens tapatybės kortelės ir paso formos, patvirtintos Lietuvos Respublikos vidaus reikalų ministro 2003 m. rugsėjo 10 d. įsakymu Nr. 1V-328 „Dėl Paso bei asmens tapatybės kortelės formų patvirtinimo“). Todėl Įstatymo projekte siūloma išbraukti Įstatymo 5 straipsnio 1 dalies 6 punktą ir asmens tapatybės kortelėje ir pase įrašomą pilietybės duomenį nurodyti kitoje šio straipsnio dalyje – prie kitų į asmens tapatybės kortelę ir pasą įrašomų duomenų. </w:t>
      </w:r>
    </w:p>
    <w:p w14:paraId="464C919B"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Įstatymo 5 straipsnio 6 dalyje nurodyta, kad į pasą piliečio prašymu gali būti įrašoma tautybė. Tačiau Įstatyme nėra nurodytos privalomos sąlygos, kurioms esant tautybė įrašoma: jei piliečio tautybės įrašas yra Gyventojų registre (ir toks, koks jis yra Gyventojų registre) ir jei pageidavimą įrašyti tautybę pilietis pareiškia pateikdamas dokumentus dėl paso išdavimo ar keitimo (į išduotą pasą tautybė negali būti įrašoma). Siekiant patikslinti nuostatas apie piliečio tautybės įrašą pase, Įstatymo projekte siūloma įrašyti, kad tautybė įrašoma pagal Gyventojų registro duomenis, jei tokį prašymą pilietis įrašo pateikdamas dokumentus dėl paso išdavimo ar keitimo.</w:t>
      </w:r>
    </w:p>
    <w:p w14:paraId="027AC86B" w14:textId="509E55B6"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Įstatymo 5 straipsnio 7 dalyje nurodyta, kad išduodamose asmens tapatybės kortelėse elektroniniu būdu fiksuojami asmens atpažinimo elektroninėje erdvėje sertifikatas ir kvalifikuotas sertifikatas, t. y. šie sertifikatai įrašomi į visas išduodamas asmens tapatybės korteles, nepriklausomai nuo to, ar šios asmens tapatybės kortelės turėtojas gali naudotis asmens tapatybės kortele kaip elektroninės atpažinties priemone (pvz., vaikai iki 16 metų). Siekiant paspartinti asmens tapatybės kortelių išrašymo procedūrą (be šių sertifikatų asmens tapatybės kortelės išrašymo procesas užtrunka trumpiau), Įstatymo projektu sukuriamos prielaidos nustatyti selektyvų šių sertifikatų įrašymą į asmens tapatybės korteles. </w:t>
      </w:r>
    </w:p>
    <w:p w14:paraId="3B6773EF" w14:textId="654B19D5"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Atsižvelgiant į tai, kad 2021 m. rugpjūčio </w:t>
      </w:r>
      <w:r>
        <w:rPr>
          <w:rFonts w:ascii="Times New Roman" w:hAnsi="Times New Roman" w:cs="Times New Roman"/>
          <w:bCs/>
          <w:color w:val="000000"/>
          <w:sz w:val="24"/>
          <w:szCs w:val="24"/>
        </w:rPr>
        <w:t>2 d. bus pradėtas taikyti Reglamentas (ES) Nr.</w:t>
      </w:r>
      <w:r w:rsidR="00376592">
        <w:rPr>
          <w:rFonts w:ascii="Times New Roman" w:hAnsi="Times New Roman" w:cs="Times New Roman"/>
          <w:bCs/>
          <w:color w:val="000000"/>
          <w:sz w:val="24"/>
          <w:szCs w:val="24"/>
        </w:rPr>
        <w:t> </w:t>
      </w:r>
      <w:r>
        <w:rPr>
          <w:rFonts w:ascii="Times New Roman" w:hAnsi="Times New Roman" w:cs="Times New Roman"/>
          <w:bCs/>
          <w:color w:val="000000"/>
          <w:sz w:val="24"/>
          <w:szCs w:val="24"/>
        </w:rPr>
        <w:t xml:space="preserve">2019/1157, kuriame </w:t>
      </w:r>
      <w:r>
        <w:rPr>
          <w:rFonts w:ascii="Times New Roman" w:hAnsi="Times New Roman" w:cs="Times New Roman"/>
          <w:bCs/>
          <w:i/>
          <w:color w:val="000000"/>
          <w:sz w:val="24"/>
          <w:szCs w:val="24"/>
        </w:rPr>
        <w:t xml:space="preserve">inter alia </w:t>
      </w:r>
      <w:r>
        <w:rPr>
          <w:rFonts w:ascii="Times New Roman" w:hAnsi="Times New Roman" w:cs="Times New Roman"/>
          <w:bCs/>
          <w:color w:val="000000"/>
          <w:sz w:val="24"/>
          <w:szCs w:val="24"/>
        </w:rPr>
        <w:t xml:space="preserve">nustatyti valstybių narių išduodamoms tapatybės kortelėms taikytini standartai, Įstatymo projekte siūloma nurodyti abu standartus nustatančius Europos Sąjungos teisės aktus (pasams – </w:t>
      </w:r>
      <w:r>
        <w:rPr>
          <w:rFonts w:ascii="Times New Roman" w:eastAsia="Times New Roman" w:hAnsi="Times New Roman" w:cs="Times New Roman"/>
          <w:color w:val="000000"/>
          <w:sz w:val="24"/>
          <w:szCs w:val="24"/>
          <w:lang w:eastAsia="lt-LT"/>
        </w:rPr>
        <w:t xml:space="preserve">Reglamentą (EB) Nr. 2252/2004, asmens tapatybės kortelėms – </w:t>
      </w:r>
      <w:r>
        <w:rPr>
          <w:rFonts w:ascii="Times New Roman" w:hAnsi="Times New Roman" w:cs="Times New Roman"/>
          <w:bCs/>
          <w:color w:val="000000"/>
          <w:sz w:val="24"/>
          <w:szCs w:val="24"/>
        </w:rPr>
        <w:t xml:space="preserve">Reglamentą </w:t>
      </w:r>
      <w:r>
        <w:rPr>
          <w:rFonts w:ascii="Times New Roman" w:hAnsi="Times New Roman" w:cs="Times New Roman"/>
          <w:bCs/>
          <w:color w:val="000000"/>
          <w:sz w:val="24"/>
          <w:szCs w:val="24"/>
        </w:rPr>
        <w:lastRenderedPageBreak/>
        <w:t>(ES) Nr. 2019/1157)</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bCs/>
          <w:color w:val="000000"/>
          <w:sz w:val="24"/>
          <w:szCs w:val="24"/>
        </w:rPr>
        <w:t>ir nustatyti, kad asmens tapatybės kortelė be joje elektroniniu būdu fiksuotų pirštų atspaudų išduodama jaunesniems nei 12 metų piliečiams (dabar tai nustatyta Apraše).</w:t>
      </w:r>
    </w:p>
    <w:p w14:paraId="0AD7611C"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Siekiant nuosekliau išdėstyti nuostatas, Įstatymo projektu siūloma Įstatymo 3 straipsnio 5 dalies nuostatą, kad Lietuvos Respublikoje gyvenantys piliečiai, kuriems sukako 16 metų, dokumentus dėl asmens tapatybės kortelės ar paso išdavimo turi pateikti ne vėliau kaip per vieną mėnesį po to, kai sukako 16 metų, perkelti į Įstatymo 6 straipsnį. Taip pat, atsižvelgiant į tai, kad Įstatyme yra nustatyta pareiga kiekvienam piliečiui nuo 16 metų turėti galiojančią asmens tapatybės kortelę ar pasą, o Lietuvos Respublikos administracinių nusižengimų kodekse nustatyta piliečio atsakomybė, jei jis gyvena be galiojančios asmens tapatybės kortelės ar paso, šiame straipsnyje siūloma nustatyti pareigą Lietuvos Respublikoje gyvenančiam piliečiui, kuriam Lietuvos Respublikos pilietybė suteikta, grąžinta ar atkurta, ne vėliau kaip per 3 mėnesius nuo Lietuvos Respublikos pilietybės suteikimo, grąžinimo ar atkūrimo pateikti dokumentus dėl asmens tapatybės kortelės ar paso išdavimo. Įstatymo projekte siūloma išbraukti perteklinę Įstatymo 6 straipsnio 3 dalies nuostatą, kad dokumentų dėl asmens tapatybės kortelės ir paso išdavimo ar keitimo pateikimo Lietuvos Respublikos konsulinėms įstaigoms tvarką nustato vidaus reikalų ministras ir užsienio reikalų ministras, nes Įstatymo 6 straipsnio 1 dalyje nurodyta tvarka apima ir 3 dalyje nurodytą tvarką.</w:t>
      </w:r>
    </w:p>
    <w:p w14:paraId="03B52C05"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Siekiant palengvinti dokumentų pateikimo procedūras, kai kreipiamasi dėl asmens tapatybės kortelės ar paso išdavimo vaikui, siūloma Įstatymo 6 straipsnio 5 dalyje nustatyti, kad, pateikiant dokumentus dėl asmens tapatybės kortelės ar paso išdavimo ar keitimo vaikui iki dvejų metų, jo atvykimas nebūtinas.</w:t>
      </w:r>
    </w:p>
    <w:p w14:paraId="58665BCF" w14:textId="77777777" w:rsidR="006059C2" w:rsidRDefault="00CA2817">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Siek</w:t>
      </w:r>
      <w:r w:rsidR="001A1EC4">
        <w:rPr>
          <w:rFonts w:ascii="Times New Roman" w:hAnsi="Times New Roman" w:cs="Times New Roman"/>
          <w:bCs/>
          <w:color w:val="000000"/>
          <w:sz w:val="24"/>
          <w:szCs w:val="24"/>
        </w:rPr>
        <w:t>iant aiškiai</w:t>
      </w:r>
      <w:r w:rsidR="005104C5">
        <w:rPr>
          <w:rFonts w:ascii="Times New Roman" w:hAnsi="Times New Roman" w:cs="Times New Roman"/>
          <w:bCs/>
          <w:color w:val="000000"/>
          <w:sz w:val="24"/>
          <w:szCs w:val="24"/>
        </w:rPr>
        <w:t xml:space="preserve"> </w:t>
      </w:r>
      <w:r w:rsidR="001A1EC4">
        <w:rPr>
          <w:rFonts w:ascii="Times New Roman" w:hAnsi="Times New Roman" w:cs="Times New Roman"/>
          <w:bCs/>
          <w:color w:val="000000"/>
          <w:sz w:val="24"/>
          <w:szCs w:val="24"/>
        </w:rPr>
        <w:t>reglamentuoti</w:t>
      </w:r>
      <w:r>
        <w:rPr>
          <w:rFonts w:ascii="Times New Roman" w:hAnsi="Times New Roman" w:cs="Times New Roman"/>
          <w:bCs/>
          <w:color w:val="000000"/>
          <w:sz w:val="24"/>
          <w:szCs w:val="24"/>
        </w:rPr>
        <w:t xml:space="preserve"> situacijas, kai </w:t>
      </w:r>
      <w:r w:rsidR="001A1EC4">
        <w:rPr>
          <w:rFonts w:ascii="Times New Roman" w:hAnsi="Times New Roman" w:cs="Times New Roman"/>
          <w:bCs/>
          <w:color w:val="000000"/>
          <w:sz w:val="24"/>
          <w:szCs w:val="24"/>
        </w:rPr>
        <w:t>piliečiui nauja asmens tapatybės kortelė ar naujas pasas negalėtų būti išduodami, jei piliečiui</w:t>
      </w:r>
      <w:r>
        <w:rPr>
          <w:rFonts w:ascii="Times New Roman" w:hAnsi="Times New Roman" w:cs="Times New Roman"/>
          <w:bCs/>
          <w:color w:val="000000"/>
          <w:sz w:val="24"/>
          <w:szCs w:val="24"/>
        </w:rPr>
        <w:t xml:space="preserve"> </w:t>
      </w:r>
      <w:r w:rsidR="001A1EC4">
        <w:rPr>
          <w:rFonts w:ascii="Times New Roman" w:hAnsi="Times New Roman" w:cs="Times New Roman"/>
          <w:bCs/>
          <w:color w:val="000000"/>
          <w:sz w:val="24"/>
          <w:szCs w:val="24"/>
        </w:rPr>
        <w:t>paskirta</w:t>
      </w:r>
      <w:r>
        <w:rPr>
          <w:rFonts w:ascii="Times New Roman" w:hAnsi="Times New Roman" w:cs="Times New Roman"/>
          <w:bCs/>
          <w:color w:val="000000"/>
          <w:sz w:val="24"/>
          <w:szCs w:val="24"/>
        </w:rPr>
        <w:t xml:space="preserve"> Baudžiamojo proceso kodekse </w:t>
      </w:r>
      <w:r w:rsidR="001A1EC4">
        <w:rPr>
          <w:rFonts w:ascii="Times New Roman" w:hAnsi="Times New Roman" w:cs="Times New Roman"/>
          <w:bCs/>
          <w:color w:val="000000"/>
          <w:sz w:val="24"/>
          <w:szCs w:val="24"/>
        </w:rPr>
        <w:t>nustatyta kardomoji</w:t>
      </w:r>
      <w:r>
        <w:rPr>
          <w:rFonts w:ascii="Times New Roman" w:hAnsi="Times New Roman" w:cs="Times New Roman"/>
          <w:bCs/>
          <w:color w:val="000000"/>
          <w:sz w:val="24"/>
          <w:szCs w:val="24"/>
        </w:rPr>
        <w:t xml:space="preserve"> priemonė – dokumentų </w:t>
      </w:r>
      <w:r w:rsidR="001A1EC4">
        <w:rPr>
          <w:rFonts w:ascii="Times New Roman" w:hAnsi="Times New Roman" w:cs="Times New Roman"/>
          <w:bCs/>
          <w:color w:val="000000"/>
          <w:sz w:val="24"/>
          <w:szCs w:val="24"/>
        </w:rPr>
        <w:t>paėmimas</w:t>
      </w:r>
      <w:r>
        <w:rPr>
          <w:rFonts w:ascii="Times New Roman" w:hAnsi="Times New Roman" w:cs="Times New Roman"/>
          <w:bCs/>
          <w:color w:val="000000"/>
          <w:sz w:val="24"/>
          <w:szCs w:val="24"/>
        </w:rPr>
        <w:t xml:space="preserve">, </w:t>
      </w:r>
      <w:r w:rsidR="001A1EC4">
        <w:rPr>
          <w:rFonts w:ascii="Times New Roman" w:hAnsi="Times New Roman" w:cs="Times New Roman"/>
          <w:bCs/>
          <w:color w:val="000000"/>
          <w:sz w:val="24"/>
          <w:szCs w:val="24"/>
        </w:rPr>
        <w:t>kol ši kardomoji priemonė nepanaikinta (</w:t>
      </w:r>
      <w:r>
        <w:rPr>
          <w:rFonts w:ascii="Times New Roman" w:hAnsi="Times New Roman" w:cs="Times New Roman"/>
          <w:bCs/>
          <w:color w:val="000000"/>
          <w:sz w:val="24"/>
          <w:szCs w:val="24"/>
        </w:rPr>
        <w:t>Įstatyme ar kituose teisės aktuose nėra nustatytas draudimas</w:t>
      </w:r>
      <w:r w:rsidR="001A1EC4">
        <w:rPr>
          <w:rFonts w:ascii="Times New Roman" w:hAnsi="Times New Roman" w:cs="Times New Roman"/>
          <w:bCs/>
          <w:color w:val="000000"/>
          <w:sz w:val="24"/>
          <w:szCs w:val="24"/>
        </w:rPr>
        <w:t xml:space="preserve"> tokiu atveju</w:t>
      </w:r>
      <w:r>
        <w:rPr>
          <w:rFonts w:ascii="Times New Roman" w:hAnsi="Times New Roman" w:cs="Times New Roman"/>
          <w:bCs/>
          <w:color w:val="000000"/>
          <w:sz w:val="24"/>
          <w:szCs w:val="24"/>
        </w:rPr>
        <w:t xml:space="preserve"> išduoti </w:t>
      </w:r>
      <w:r w:rsidR="001A1EC4">
        <w:rPr>
          <w:rFonts w:ascii="Times New Roman" w:hAnsi="Times New Roman" w:cs="Times New Roman"/>
          <w:bCs/>
          <w:color w:val="000000"/>
          <w:sz w:val="24"/>
          <w:szCs w:val="24"/>
        </w:rPr>
        <w:t xml:space="preserve">piliečiui </w:t>
      </w:r>
      <w:r>
        <w:rPr>
          <w:rFonts w:ascii="Times New Roman" w:hAnsi="Times New Roman" w:cs="Times New Roman"/>
          <w:bCs/>
          <w:color w:val="000000"/>
          <w:sz w:val="24"/>
          <w:szCs w:val="24"/>
        </w:rPr>
        <w:t>asmens tapatybės kortelę ar pasą</w:t>
      </w:r>
      <w:r w:rsidR="001A1EC4">
        <w:rPr>
          <w:rFonts w:ascii="Times New Roman" w:hAnsi="Times New Roman" w:cs="Times New Roman"/>
          <w:bCs/>
          <w:color w:val="000000"/>
          <w:sz w:val="24"/>
          <w:szCs w:val="24"/>
        </w:rPr>
        <w:t>),</w:t>
      </w:r>
      <w:r w:rsidR="00C1633F">
        <w:rPr>
          <w:rFonts w:ascii="Times New Roman" w:hAnsi="Times New Roman" w:cs="Times New Roman"/>
          <w:bCs/>
          <w:color w:val="000000"/>
          <w:sz w:val="24"/>
          <w:szCs w:val="24"/>
        </w:rPr>
        <w:t xml:space="preserve"> Įstatymo projekte siūloma tokį draudimą nustatyti. Įstatymo projekte taip pat siūloma nustatyti, kad užsienyje esančiam ir Lietuvos Respublikos teisėsaugos institucijų ieškomam piliečiui neišduodama (nekeičiama) asmens tapatybės kortelė ar pasas (tokiu atveju jam galėtų būti išduodamas grįžimo dokumentas).</w:t>
      </w:r>
    </w:p>
    <w:p w14:paraId="69DD038A"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Per metus piliečiams išduodama daugiau kaip 500 tūkst. asmens dokumentų: 2018 m. išduoti 598 173 asmens dokumentai, iš jų 494 392 asmens dokumentai išduoti Lietuvos Respublikoje gyvenantiems piliečiams; 2017 m. – atitinkamai 527 727 ir 512 474 asmens dokumentai, 2016 m. – atitinkamai 518 780 ir 506 050 asmens dokumentų. Siekiant piliečiams teikiamas asmens dokumentų išdavimo paslaugas padaryti patogesnes Įstatymo projektu siūloma nustatyti, kad ir Lietuvoje gyvenančiam piliečiui išrašyta asmens tapatybės kortelė ar pasas galėtų būti išsiųstas saugiu būdu (dabar tokia galimybė Įstatyme nustatyta tik užsienyje gyvenančiam piliečiui, kai jis kreipiasi į Lietuvos Respublikos konsulinę įstaigą), ir įpareigoti vidaus reikalų ministrą ir užsienio reikalų ministrą nustatyti sąlygas ir tvarką, kokias procedūras susijusios įstaigos ir pilietis turi atlikti, kad išrašyta asmens tapatybės kortelė ar pasas būtų išsiųsti saugiu būdu, ir kaip tokiu atveju asmens tapatybės kortelė ar pasas bus paskelbiamas galiojančiu. Jei išrašytas asmens dokumentas piliečio pageidavimu jam būtų išsiunčiamas saugiu būdu, į Migracijos departamentą piliečiui atvykti reikėtų tik vieną kartą – pateikti prašymą dėl asmens tapatybės kortelės ar paso išdavimo ar keitimo. Be to, siekiant užtikrinti, kad išsiųsta saugiu būdu asmens tapatybės kortelė ar pasas nebūtų įteikti kitiems asmenims, Įstatymo projekte siūloma nustatyti, kad saugiu būdu išsiųstas dokumentas įteikiamas tik pačiam piliečiui,</w:t>
      </w:r>
      <w:r w:rsidR="004E642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jo teisėtam atstovui (vaiko asmens tapatybės kortelė ar pasas – vienam iš vaiko tėvų, globotinio – globėjui) arba</w:t>
      </w:r>
      <w:r>
        <w:rPr>
          <w:rFonts w:ascii="Times New Roman" w:eastAsia="Times New Roman" w:hAnsi="Times New Roman" w:cs="Times New Roman"/>
          <w:bCs/>
          <w:sz w:val="24"/>
          <w:szCs w:val="24"/>
          <w:lang w:eastAsia="lt-LT"/>
        </w:rPr>
        <w:t xml:space="preserve"> piliečio rašytiniame prašyme, kurį jis pateikė kartu su dokumentais dėl asmens tapatybės kortelės ar paso išdavimo ar keitimo, nurodytam asmeniui</w:t>
      </w:r>
      <w:r>
        <w:rPr>
          <w:rFonts w:ascii="Times New Roman" w:hAnsi="Times New Roman" w:cs="Times New Roman"/>
          <w:bCs/>
          <w:color w:val="000000"/>
          <w:sz w:val="24"/>
          <w:szCs w:val="24"/>
        </w:rPr>
        <w:t xml:space="preserve">, o Įstatymo 6 straipsnio </w:t>
      </w:r>
      <w:r>
        <w:rPr>
          <w:rFonts w:ascii="Times New Roman" w:hAnsi="Times New Roman" w:cs="Times New Roman"/>
          <w:bCs/>
          <w:color w:val="000000"/>
          <w:sz w:val="24"/>
          <w:szCs w:val="24"/>
        </w:rPr>
        <w:lastRenderedPageBreak/>
        <w:t>9 dalies nuostatą papildyti sąlyga, kad įgaliotas asmuo gali paimti išrašytą asmens tapatybės kortelę ar pasą tik tada, jei šie dokumentai atsiimami Migracijos departamente ar Lietuvos Respublikos konsulinėje įstaigoje. Jeigu pilietis pageidaus asmens tapatybės kortelę ar pasą gauti saugiu būdu, jis už šią paslaugą turės susimokėti.</w:t>
      </w:r>
    </w:p>
    <w:p w14:paraId="5EDDC230"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Įstatymo projekte siūloma Įstatymo 6 straipsnio 9 dalyje išbraukti procedūrinio pobūdžio nuostatas apie tai, kokius dokumentus turi pateikti piliečio įgaliotas asmuo, globėjas, kitas teisėtas atstovas ar piliečio rašytiniame prašyme nurodytas kitas asmuo. Taip pat siūloma kaip perteklinį išbraukti įpareigojimą vidaus reikalų ministrui ir užsienio reikalų ministrui nustatyti asmens tapatybės kortelės ar paso įteikimo piliečiui, išsiuntimo konsulinės įstaigos pasirinktu saugiu būdu ir pranešimo apie asmens tapatybės kortelės ar paso gavimą tvarką, nes kituose Įstatymo projekto straipsniuose nustatomi analogiški įpareigojimai vidaus reikalų ministrui ir užsienio reikalų ministrui apima ir šį įpareigojimą. </w:t>
      </w:r>
    </w:p>
    <w:p w14:paraId="7C6F8B58"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Atsižvelgiant į tai, kad Įstatymo projektu siekiama sudaryti galimybę išrašytas asmens tapatybės korteles ir pasus išsiųsti saugiu būdu ir Lietuvoje gyvenantiems piliečiams, Įstatymo projekte siūloma nustatyti, kad keičiama asmens tapatybės kortelė ar keičiamas pasas gali būti nepateikti, jei naujas dokumentas išsiunčiamas saugiu būdu. </w:t>
      </w:r>
    </w:p>
    <w:p w14:paraId="5E419BFD" w14:textId="77777777" w:rsidR="006059C2" w:rsidRDefault="00C1633F">
      <w:pPr>
        <w:spacing w:after="0" w:line="276" w:lineRule="auto"/>
        <w:ind w:firstLine="709"/>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rPr>
        <w:t>Taip pat siūloma Įstatymo 6 straipsnio 10 dalyje išbraukti procedūrinio pobūdžio nuostatas apie pakeistų asmens tapatybės kortelių ir pasų pažymėjimą negaliojančiais, jų grąžinimą piliečiams (tai nustatyta Apraše) ir negrąžintų piliečiams negaliojančių asmens dokumentų sunaikinimą vidaus reikalų ministro ir užsienio reikalų ministro nustatyta tvarka. Įpareigojimas vidaus reikalų ministrui ir užsienio reikalų ministrui nustatyti negaliojančių asmens tapatybės kortelių ir pasų sunaikinimo tvarką dėstomas Įstatymo projekto 7 straipsnio 4 dalyje.</w:t>
      </w:r>
    </w:p>
    <w:p w14:paraId="160A1DD7" w14:textId="77777777" w:rsidR="003C3C7A" w:rsidRDefault="00C1633F" w:rsidP="005104C5">
      <w:pPr>
        <w:spacing w:after="0" w:line="276" w:lineRule="auto"/>
        <w:ind w:firstLine="720"/>
        <w:jc w:val="both"/>
        <w:rPr>
          <w:rFonts w:ascii="Times New Roman" w:eastAsia="Times New Roman" w:hAnsi="Times New Roman" w:cs="Times New Roman"/>
          <w:bCs/>
          <w:color w:val="000000"/>
          <w:sz w:val="24"/>
          <w:szCs w:val="24"/>
          <w:lang w:eastAsia="lt-LT"/>
        </w:rPr>
      </w:pPr>
      <w:r>
        <w:rPr>
          <w:rFonts w:ascii="Times New Roman" w:hAnsi="Times New Roman" w:cs="Times New Roman"/>
          <w:bCs/>
          <w:color w:val="000000"/>
          <w:sz w:val="24"/>
          <w:szCs w:val="24"/>
        </w:rPr>
        <w:t xml:space="preserve">Praktikoje pasitaiko atvejų, kai užsienio valstybėje esantis pilietis neturi asmens tapatybės kortelės ar paso, nes jie yra paimti Lietuvos Respublikos teisėsaugos institucijų dėl piliečiui paskirtos kardomosios priemonės – dokumentų paėmimo. Tai nustačiusios Lietuvos Respublikos konsulinės įstaigos negali išduoti užsienio reikalų ministro nustatytos formos grįžimo dokumento, todėl Įstatymo projektu siūloma nustatyti galimybę šį dokumentą išduoti ir esant kitoms priežastims, dėl kurių užsienyje esantis pilietis neturi galiojančios asmens tapatybės kortelės ar paso. Siekiant sudaryti teisines prielaidas Lietuvos Respublikos konsulinėms įstaigoms grįžimo dokumentą išduoti naudojantis Asmens dokumentų išdavimo informacinės sistemos priemonėmis (šioje sistemoje būtų fiksuojami išduotų grįžimo dokumentų duomenys), Įstatymo projekte siūloma nustatyti, kad </w:t>
      </w:r>
      <w:r>
        <w:rPr>
          <w:rFonts w:ascii="Times New Roman" w:eastAsia="Times New Roman" w:hAnsi="Times New Roman" w:cs="Times New Roman"/>
          <w:bCs/>
          <w:color w:val="000000"/>
          <w:sz w:val="24"/>
          <w:szCs w:val="24"/>
          <w:lang w:eastAsia="lt-LT"/>
        </w:rPr>
        <w:t>grįžimo dokumento formą nustato vidaus reikalų ministras ir užsienio reikalų ministras, o išdavimo tvarką – užsienio reikalų ministras, suderinęs su vidaus reikalų ministru.</w:t>
      </w:r>
      <w:r w:rsidR="003C3C7A">
        <w:rPr>
          <w:rFonts w:ascii="Times New Roman" w:eastAsia="Times New Roman" w:hAnsi="Times New Roman" w:cs="Times New Roman"/>
          <w:bCs/>
          <w:color w:val="000000"/>
          <w:sz w:val="24"/>
          <w:szCs w:val="24"/>
          <w:lang w:eastAsia="lt-LT"/>
        </w:rPr>
        <w:t xml:space="preserve"> </w:t>
      </w:r>
    </w:p>
    <w:p w14:paraId="1D278E49" w14:textId="77777777" w:rsidR="006059C2" w:rsidRDefault="00C1633F" w:rsidP="005104C5">
      <w:pPr>
        <w:spacing w:after="0" w:line="276"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Įstatymo 7 straipsnio 1 dalyje nustatyti tik du atvejai, kai asmens tapatybės kortelė ar pasas negalioja: pasibaigus jų galiojimo laikui ir piliečiui mirus. Visais kitais atvejais (baigtinis atvejų sąrašas nustatytas Įstatymo 7 straipsnio 2 dalyje) asmens tapatybės kortelė ar pasas turi būti skelbiami negaliojančiais. Įstatymo projektu siūloma nustatyti du naujus pagrindus, kada asmens tapatybės kortelė ar pasas tampa negaliojančiais</w:t>
      </w:r>
      <w:r w:rsidR="00CA2817">
        <w:rPr>
          <w:rFonts w:ascii="Times New Roman" w:hAnsi="Times New Roman" w:cs="Times New Roman"/>
          <w:bCs/>
          <w:color w:val="000000"/>
          <w:sz w:val="24"/>
          <w:szCs w:val="24"/>
        </w:rPr>
        <w:t xml:space="preserve"> automatiškai (be </w:t>
      </w:r>
      <w:r>
        <w:rPr>
          <w:rFonts w:ascii="Times New Roman" w:hAnsi="Times New Roman" w:cs="Times New Roman"/>
          <w:bCs/>
          <w:color w:val="000000"/>
          <w:sz w:val="24"/>
          <w:szCs w:val="24"/>
        </w:rPr>
        <w:t xml:space="preserve">atskiro jų paskelbimo negaliojančiais) – kai jie pakeičiami atitinkamai į naują asmens tapatybės kortelę ar naują pasą arba kai piliečiui išduotas naujas asmens dokumentas su pakeistais asmens duomenimis. Taip pat Įstatymo projektu siūloma nustatyti naują asmens tapatybės kortelės ar paso paskelbimo negaliojančiais priežastį – kai pilietis per nustatytą terminą iš Migracijos departamento neatsiima rasto galiojančio savo asmens dokumento. </w:t>
      </w:r>
    </w:p>
    <w:p w14:paraId="118A3D72" w14:textId="78A488D5" w:rsidR="006059C2" w:rsidRDefault="00376592" w:rsidP="005104C5">
      <w:pPr>
        <w:spacing w:after="0" w:line="276"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Pagal</w:t>
      </w:r>
      <w:r w:rsidR="00C1633F">
        <w:rPr>
          <w:rFonts w:ascii="Times New Roman" w:hAnsi="Times New Roman" w:cs="Times New Roman"/>
          <w:bCs/>
          <w:color w:val="000000"/>
          <w:sz w:val="24"/>
          <w:szCs w:val="24"/>
        </w:rPr>
        <w:t xml:space="preserve"> Įstatymo 7 straipsnio 5 dal</w:t>
      </w:r>
      <w:r>
        <w:rPr>
          <w:rFonts w:ascii="Times New Roman" w:hAnsi="Times New Roman" w:cs="Times New Roman"/>
          <w:bCs/>
          <w:color w:val="000000"/>
          <w:sz w:val="24"/>
          <w:szCs w:val="24"/>
        </w:rPr>
        <w:t>į</w:t>
      </w:r>
      <w:r w:rsidR="00C1633F">
        <w:rPr>
          <w:rFonts w:ascii="Times New Roman" w:hAnsi="Times New Roman" w:cs="Times New Roman"/>
          <w:bCs/>
          <w:color w:val="000000"/>
          <w:sz w:val="24"/>
          <w:szCs w:val="24"/>
        </w:rPr>
        <w:t xml:space="preserve">, paskelbti asmens tapatybės kortelę ar pasą negaliojančiu turi Migracijos departamentas arba Lietuvos Respublikos konsulinė įstaiga. Tobulinant asmens dokumentų išdavimo procesus, gali atsirasti ir daugiau subjektų, kurie galės paskelbti asmens </w:t>
      </w:r>
      <w:r w:rsidR="00C1633F">
        <w:rPr>
          <w:rFonts w:ascii="Times New Roman" w:hAnsi="Times New Roman" w:cs="Times New Roman"/>
          <w:bCs/>
          <w:color w:val="000000"/>
          <w:sz w:val="24"/>
          <w:szCs w:val="24"/>
        </w:rPr>
        <w:lastRenderedPageBreak/>
        <w:t>tapatybės kortelę ar pasą negaliojančiu (pvz.</w:t>
      </w:r>
      <w:r w:rsidR="003C3C7A">
        <w:rPr>
          <w:rFonts w:ascii="Times New Roman" w:hAnsi="Times New Roman" w:cs="Times New Roman"/>
          <w:bCs/>
          <w:color w:val="000000"/>
          <w:sz w:val="24"/>
          <w:szCs w:val="24"/>
        </w:rPr>
        <w:t xml:space="preserve">, </w:t>
      </w:r>
      <w:r w:rsidR="00C1633F">
        <w:rPr>
          <w:rFonts w:ascii="Times New Roman" w:hAnsi="Times New Roman" w:cs="Times New Roman"/>
          <w:bCs/>
          <w:color w:val="000000"/>
          <w:sz w:val="24"/>
          <w:szCs w:val="24"/>
        </w:rPr>
        <w:t>pats pilietis, naudodamasis elektroninės atpažinties priemone, jei  prarado savo asmens dokumentą)</w:t>
      </w:r>
      <w:r>
        <w:rPr>
          <w:rFonts w:ascii="Times New Roman" w:hAnsi="Times New Roman" w:cs="Times New Roman"/>
          <w:bCs/>
          <w:color w:val="000000"/>
          <w:sz w:val="24"/>
          <w:szCs w:val="24"/>
        </w:rPr>
        <w:t>,</w:t>
      </w:r>
      <w:r w:rsidR="00C1633F">
        <w:rPr>
          <w:rFonts w:ascii="Times New Roman" w:hAnsi="Times New Roman" w:cs="Times New Roman"/>
          <w:bCs/>
          <w:color w:val="000000"/>
          <w:sz w:val="24"/>
          <w:szCs w:val="24"/>
        </w:rPr>
        <w:t xml:space="preserve"> todėl Įstatymo projekte siūloma nenurodyti konkrečių subjektų, kurie gali paskelbti asmens dokumentą negaliojančiu, bet pavesti tai nustatyti vidaus reikalų ministrui ir užsienio reikalų ministrui.</w:t>
      </w:r>
    </w:p>
    <w:p w14:paraId="7F63F75B" w14:textId="77777777" w:rsidR="006059C2" w:rsidRDefault="00C1633F">
      <w:pPr>
        <w:spacing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Atsižvelgiant į tai, kad Įstatymo projektu siekiama Įstatymo nuostatas suderinti su </w:t>
      </w:r>
      <w:r>
        <w:rPr>
          <w:rFonts w:ascii="Times New Roman" w:eastAsia="Times New Roman" w:hAnsi="Times New Roman" w:cs="Times New Roman"/>
          <w:color w:val="000000"/>
          <w:sz w:val="24"/>
          <w:szCs w:val="24"/>
          <w:lang w:eastAsia="lt-LT"/>
        </w:rPr>
        <w:t xml:space="preserve">Reglamento </w:t>
      </w:r>
      <w:r>
        <w:rPr>
          <w:rFonts w:ascii="Times New Roman" w:hAnsi="Times New Roman" w:cs="Times New Roman"/>
          <w:bCs/>
          <w:color w:val="000000"/>
          <w:sz w:val="24"/>
          <w:szCs w:val="24"/>
        </w:rPr>
        <w:t>(ES) Nr. 2019/1157 nuostatomis, keičiamas Įstatymo priedas papildant nuoroda į minėtą Reglamentą.</w:t>
      </w:r>
    </w:p>
    <w:p w14:paraId="3915600F" w14:textId="77777777" w:rsidR="006059C2" w:rsidRDefault="006059C2">
      <w:pPr>
        <w:spacing w:line="276" w:lineRule="auto"/>
        <w:ind w:firstLine="709"/>
        <w:jc w:val="both"/>
        <w:rPr>
          <w:rFonts w:ascii="Times New Roman" w:hAnsi="Times New Roman" w:cs="Times New Roman"/>
          <w:bCs/>
          <w:color w:val="000000"/>
          <w:sz w:val="24"/>
          <w:szCs w:val="24"/>
        </w:rPr>
      </w:pPr>
    </w:p>
    <w:p w14:paraId="0412FEFD" w14:textId="77777777" w:rsidR="006059C2" w:rsidRDefault="00C1633F">
      <w:pPr>
        <w:spacing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67CCD3B9" w14:textId="77777777" w:rsidR="006059C2" w:rsidRDefault="00C1633F">
      <w:pPr>
        <w:spacing w:line="276" w:lineRule="auto"/>
        <w:ind w:left="360" w:firstLine="34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Neigiamų priimto Įstatymo pasekmių nenumatoma.</w:t>
      </w:r>
    </w:p>
    <w:p w14:paraId="37E359AB" w14:textId="77777777" w:rsidR="006059C2" w:rsidRDefault="006059C2">
      <w:pPr>
        <w:spacing w:line="276" w:lineRule="auto"/>
        <w:ind w:left="360" w:firstLine="349"/>
        <w:jc w:val="both"/>
        <w:rPr>
          <w:rFonts w:ascii="Times New Roman" w:hAnsi="Times New Roman" w:cs="Times New Roman"/>
          <w:bCs/>
          <w:color w:val="000000"/>
          <w:sz w:val="24"/>
          <w:szCs w:val="24"/>
        </w:rPr>
      </w:pPr>
    </w:p>
    <w:p w14:paraId="27F3B975" w14:textId="77777777" w:rsidR="006059C2" w:rsidRDefault="00C1633F">
      <w:pPr>
        <w:spacing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 Kokią įtaką priimtas įstatymas turės kriminogeninei situacijai, korupcijai</w:t>
      </w:r>
    </w:p>
    <w:p w14:paraId="4AA6F367" w14:textId="77777777" w:rsidR="006059C2" w:rsidRDefault="00C1633F">
      <w:pPr>
        <w:pStyle w:val="Sraopastraipa"/>
        <w:spacing w:line="276" w:lineRule="auto"/>
        <w:ind w:hanging="11"/>
        <w:rPr>
          <w:rFonts w:ascii="Times New Roman" w:hAnsi="Times New Roman" w:cs="Times New Roman"/>
          <w:color w:val="000000"/>
          <w:sz w:val="24"/>
          <w:szCs w:val="24"/>
        </w:rPr>
      </w:pPr>
      <w:r>
        <w:rPr>
          <w:rFonts w:ascii="Times New Roman" w:hAnsi="Times New Roman" w:cs="Times New Roman"/>
          <w:color w:val="000000"/>
          <w:sz w:val="24"/>
          <w:szCs w:val="24"/>
        </w:rPr>
        <w:t>Priimtas Įstatymas neigiamos įtakos kriminogeninei situacijai ir korupcijai neturės.</w:t>
      </w:r>
    </w:p>
    <w:p w14:paraId="01D48C37" w14:textId="77777777" w:rsidR="006059C2" w:rsidRDefault="006059C2">
      <w:pPr>
        <w:pStyle w:val="Sraopastraipa"/>
        <w:spacing w:line="276" w:lineRule="auto"/>
        <w:ind w:hanging="11"/>
        <w:rPr>
          <w:rFonts w:ascii="Times New Roman" w:hAnsi="Times New Roman" w:cs="Times New Roman"/>
          <w:color w:val="000000"/>
          <w:sz w:val="24"/>
          <w:szCs w:val="24"/>
        </w:rPr>
      </w:pPr>
    </w:p>
    <w:p w14:paraId="5213CCA2" w14:textId="77777777" w:rsidR="006059C2" w:rsidRDefault="00C1633F">
      <w:pPr>
        <w:spacing w:line="276" w:lineRule="auto"/>
        <w:ind w:firstLine="709"/>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bCs/>
          <w:color w:val="000000"/>
          <w:sz w:val="24"/>
          <w:szCs w:val="24"/>
          <w:lang w:eastAsia="lt-LT"/>
        </w:rPr>
        <w:t>7. Kaip įstatymo įgyvendinimas atsilieps verslo sąlygoms ir jo plėtrai</w:t>
      </w:r>
    </w:p>
    <w:p w14:paraId="5C9E3499"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Priimtas Įstatymas neigiamos įtakos verslo sąlygoms ir jo plėtrai neturės.</w:t>
      </w:r>
    </w:p>
    <w:p w14:paraId="3C54C8F1"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1BADACF4"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8. Įstatymo inkorporavimas į teisinę sistemą: kokius teisės aktus būtina priimti, kokius galiojančius teisės aktus reikia pakeisti ar pripažinti netekusiais galios</w:t>
      </w:r>
    </w:p>
    <w:p w14:paraId="70D0D997"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Priėmus Įstatymą, kitų įstatymų priimti, keisti ar pripažinti netekusiais galios nereikės.</w:t>
      </w:r>
    </w:p>
    <w:p w14:paraId="1738649A"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69782D67"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4272B0DE"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Įstatymo projektas parengtas laikantis Valstybinės kalbos, Teisėkūros pagrindų įstatymo reikalavimų ir atitinka bendrinės lietuvių kalbos normas, o Įstatymo projekto sąvokos ir jas įvardijantys terminai bus įvertinti Terminų banko įstatymo ir jo įgyvendinamųjų teisės aktų nustatyta tvarka.</w:t>
      </w:r>
    </w:p>
    <w:p w14:paraId="44F8166E"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7C81555F" w14:textId="77777777" w:rsidR="006059C2" w:rsidRDefault="00C1633F">
      <w:pPr>
        <w:spacing w:after="0" w:line="276"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10. Ar įstatymo projektas atitinka Žmogaus teisių ir pagrindinių laisvių apsaugos konvencijos nuostatas ir Europos Sąjungos dokumentus</w:t>
      </w:r>
    </w:p>
    <w:p w14:paraId="24F7619D"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Įstatymo projektas neprieštarauja Žmogaus teisių ir pagrindinių laisvių apsaugos konvencijos nuostatoms ir yra suderintas su Europos Sąjungos teisės aktais.</w:t>
      </w:r>
    </w:p>
    <w:p w14:paraId="41687ABC"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603948B3"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11. Jeigu įstatymui įgyvendinti reikia įgyvendinamųjų teisės aktų, kas ir kada juos turėtų priimti?</w:t>
      </w:r>
    </w:p>
    <w:p w14:paraId="10A6E308"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Priėmus Įstatymą turės būti keičiami:</w:t>
      </w:r>
    </w:p>
    <w:p w14:paraId="6D6061E0"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 </w:t>
      </w:r>
      <w:r>
        <w:rPr>
          <w:rFonts w:ascii="Times New Roman" w:hAnsi="Times New Roman" w:cs="Times New Roman"/>
          <w:color w:val="000000"/>
          <w:sz w:val="24"/>
          <w:szCs w:val="24"/>
        </w:rPr>
        <w:t xml:space="preserve">Asmens tapatybės kortelės ir paso išdavimo tvarkos aprašas, patvirtintas </w:t>
      </w:r>
      <w:r>
        <w:rPr>
          <w:rFonts w:ascii="Times New Roman" w:eastAsia="Times New Roman" w:hAnsi="Times New Roman" w:cs="Times New Roman"/>
          <w:color w:val="000000"/>
          <w:sz w:val="24"/>
          <w:szCs w:val="24"/>
          <w:lang w:eastAsia="lt-LT"/>
        </w:rPr>
        <w:t xml:space="preserve">Lietuvos Respublikos vidaus reikalų ministro ir Lietuvos Respublikos užsienio reikalų ministro 2015 m. kovo </w:t>
      </w:r>
      <w:r>
        <w:rPr>
          <w:rFonts w:ascii="Times New Roman" w:eastAsia="Times New Roman" w:hAnsi="Times New Roman" w:cs="Times New Roman"/>
          <w:color w:val="000000"/>
          <w:sz w:val="24"/>
          <w:szCs w:val="24"/>
          <w:lang w:eastAsia="lt-LT"/>
        </w:rPr>
        <w:lastRenderedPageBreak/>
        <w:t>19</w:t>
      </w:r>
      <w:r>
        <w:rPr>
          <w:rFonts w:ascii="Times New Roman" w:eastAsia="Times New Roman" w:hAnsi="Times New Roman" w:cs="Times New Roman"/>
          <w:b/>
          <w:bCs/>
          <w:color w:val="000000"/>
          <w:sz w:val="24"/>
          <w:szCs w:val="24"/>
          <w:lang w:eastAsia="lt-LT"/>
        </w:rPr>
        <w:t> </w:t>
      </w:r>
      <w:r>
        <w:rPr>
          <w:rFonts w:ascii="Times New Roman" w:eastAsia="Times New Roman" w:hAnsi="Times New Roman" w:cs="Times New Roman"/>
          <w:color w:val="000000"/>
          <w:sz w:val="24"/>
          <w:szCs w:val="24"/>
          <w:lang w:eastAsia="lt-LT"/>
        </w:rPr>
        <w:t xml:space="preserve">d. įsakymu Nr. 1V-200/V-62 „Dėl </w:t>
      </w:r>
      <w:r>
        <w:rPr>
          <w:rFonts w:ascii="Times New Roman" w:hAnsi="Times New Roman" w:cs="Times New Roman"/>
          <w:color w:val="000000"/>
          <w:sz w:val="24"/>
          <w:szCs w:val="24"/>
        </w:rPr>
        <w:t>Asmens tapatybės kortelės ir paso išdavimo tvarkos aprašo patvirtinimo“</w:t>
      </w:r>
      <w:r>
        <w:rPr>
          <w:rFonts w:ascii="Times New Roman" w:eastAsia="Times New Roman" w:hAnsi="Times New Roman" w:cs="Times New Roman"/>
          <w:color w:val="000000"/>
          <w:sz w:val="24"/>
          <w:szCs w:val="24"/>
          <w:lang w:eastAsia="lt-LT"/>
        </w:rPr>
        <w:t xml:space="preserve">. </w:t>
      </w:r>
    </w:p>
    <w:p w14:paraId="2597C284" w14:textId="4C7D8904" w:rsidR="006059C2" w:rsidRDefault="00C1633F">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Prašymų asmens dokumentams išduoti, pakeisti, įforminti registravimo, užsakymų asmens dokumentams išrašyti formavimo ir duomenų apie asmens dokumentų galiojimą tvarkos aprašas, patvirtintas Asmens dokumentų išrašymo centro prie </w:t>
      </w:r>
      <w:r w:rsidR="00376592">
        <w:rPr>
          <w:rFonts w:ascii="Times New Roman" w:eastAsia="Times New Roman" w:hAnsi="Times New Roman" w:cs="Times New Roman"/>
          <w:color w:val="000000"/>
          <w:sz w:val="24"/>
          <w:szCs w:val="24"/>
          <w:lang w:eastAsia="lt-LT"/>
        </w:rPr>
        <w:t xml:space="preserve">Lietuvos Respublikos </w:t>
      </w:r>
      <w:r w:rsidR="00376592">
        <w:rPr>
          <w:rFonts w:ascii="Times New Roman" w:hAnsi="Times New Roman" w:cs="Times New Roman"/>
          <w:color w:val="000000"/>
          <w:sz w:val="24"/>
          <w:szCs w:val="24"/>
        </w:rPr>
        <w:t>v</w:t>
      </w:r>
      <w:r>
        <w:rPr>
          <w:rFonts w:ascii="Times New Roman" w:hAnsi="Times New Roman" w:cs="Times New Roman"/>
          <w:color w:val="000000"/>
          <w:sz w:val="24"/>
          <w:szCs w:val="24"/>
        </w:rPr>
        <w:t>idaus reikalų ministerijos direktoriaus 2009</w:t>
      </w:r>
      <w:r w:rsidR="00376592">
        <w:rPr>
          <w:rFonts w:ascii="Times New Roman" w:hAnsi="Times New Roman" w:cs="Times New Roman"/>
          <w:color w:val="000000"/>
          <w:sz w:val="24"/>
          <w:szCs w:val="24"/>
        </w:rPr>
        <w:t> </w:t>
      </w:r>
      <w:r>
        <w:rPr>
          <w:rFonts w:ascii="Times New Roman" w:hAnsi="Times New Roman" w:cs="Times New Roman"/>
          <w:color w:val="000000"/>
          <w:sz w:val="24"/>
          <w:szCs w:val="24"/>
        </w:rPr>
        <w:t>m. birželio 12 d. įsakymu Nr. 1-26 „Dėl Prašymų asmens dokumentams išduoti, pakeisti, įforminti registravimo, užsakymų asmens dokumentams išrašyti formavimo ir duomenų apie asmens dokumentų galiojimą tvarkos aprašo patvirtinimo ir kai kurių teisės aktų pripažinimo netekusiais galios“.</w:t>
      </w:r>
    </w:p>
    <w:p w14:paraId="4A0E0A69"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3. Asmens grįžimo pažymėjimo išdavimo ir įforminimo tvarkos aprašas, patvirtintas Lietuvos Respublikos užsienio reikalų ministro 2008 m. gruodžio 18 d. įsakymu Nr.V-141 „Dėl Asmens grįžimo pažymėjimo išdavimo ir įforminimo tvarkos aprašo patvirtinimo“.</w:t>
      </w:r>
    </w:p>
    <w:p w14:paraId="17B22A6D"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Jeigu bus nuspręsta, kad asmens tapatybės kortelės ir paso siuntimo piliečiui saugiu būdu mokestis turėtų būti įtraukiamas į valstybės rinkliavą už asmens tapatybės kortelės ir paso išdavimą, reikės keisti Lietuvos Respublikos Vyriausybės 2000 m. gruodžio 15 d. nutarimą Nr. 1458 „Dėl Konkrečių valstybės rinkliavos dydžių sąrašo ir valstybės rinkliavos mokėjimo ir grąžinimo taisyklių patvirtinimo“.</w:t>
      </w:r>
      <w:r>
        <w:rPr>
          <w:vanish/>
        </w:rPr>
        <w:commentReference w:id="2"/>
      </w:r>
    </w:p>
    <w:p w14:paraId="291247A1"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3D52AF86" w14:textId="77777777" w:rsidR="006059C2" w:rsidRDefault="00C1633F">
      <w:pPr>
        <w:spacing w:after="0" w:line="276"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12. Kiek valstybės, savivaldybių biudžetų ir kitų valstybės įsteigtų fondų lėšų prireiks įstatymui įgyvendinti, ar bus galima sutaupyti (pateikiami prognozuojami rodikliai einamaisiais ir artimiausiais 3 biudžetiniais metais)</w:t>
      </w:r>
    </w:p>
    <w:p w14:paraId="28247ED3"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hAnsi="Times New Roman"/>
          <w:sz w:val="24"/>
          <w:szCs w:val="24"/>
        </w:rPr>
        <w:t xml:space="preserve">Įstatymui įgyvendinti reikės papildomų lėšų, nes, atsižvelgiant į teisinio reguliavimo pakeitimus, kuriais siūloma nustatyti galimybę asmens tapatybės kortelę ir pasą piliečiui išsiųsti saugiu būdu, turės būti </w:t>
      </w:r>
      <w:r>
        <w:rPr>
          <w:rFonts w:ascii="Times New Roman" w:eastAsia="Times New Roman" w:hAnsi="Times New Roman" w:cs="Times New Roman"/>
          <w:color w:val="000000"/>
          <w:sz w:val="24"/>
          <w:szCs w:val="24"/>
          <w:lang w:eastAsia="lt-LT"/>
        </w:rPr>
        <w:t xml:space="preserve">atnaujintos Asmens dokumentų išdavimo informacinė sistema ir Lietuvos migracijos informacinė sistema. </w:t>
      </w:r>
    </w:p>
    <w:p w14:paraId="1B2221A6" w14:textId="005288C4"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Asmens tapatybės kortelės ir pasai išrašomi (atspausdinami) Asmens dokumentų išrašymo centre prie Lietuvos Respublikos vidaus reikalų ministerijos (toliau – Asmens dokumentų išrašymo centras), o visi asmens dokumento išrašymo procesai (nuo prašymo išduoti (pakeisti) asmens tapatybės kortelę ar pasą pildymo ir registravimo iki išrašyto dokumento paskelbimo galiojančiu (negaliojančiu, prarastu, grąžintu, negrąžintu) yra fiksuojami Asmens dokumentų išdavimo informacinėje sistemoje. Priėmus Įstatymą bus sudaryta galimybė išrašytą asmens tapatybės kortelę ar pasą piliečio pageidavimu išsiųsti saugiu būdu tiesiai iš Asmens dokumentų išrašymo centro į piliečio nurodytą vietą (šiuo metu visos išrašytos asmens tapatybės kortelės ir pasai iš Asmens dokumentų išrašymo centro išvežiojami į migracijos tarnybas, kur piliečiai juos atsiima). Piliečiui įteikus saugiu būdu jam atsiųstą asmens tapatybės kortelę ar pasą, šis asmens dokumentas bus paskelbiamas galiojančiu, o jo turėtas ir pakeistas asmens dokumentas arba kitas turimas asmens dokumentas su nepakeistais piliečio asmens duomenimis automatiškai turės tapti negaliojančiu</w:t>
      </w:r>
      <w:r w:rsidR="00F345D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Dėl šių naujų procedūrų turės būti atnaujintos Asmens dokumentų išdavimo informacinė sistema (jai atnaujinti reikėtų apie 100 tūkst. Eur) ir Lietuvos migracijos informacinė sistema (jai atnaujinti reikėtų apie 40 tūkst. Eur). Taip pat, siekiant aukštų asmens duomenų apsaugos standartų, kiekviena išrašyta asmens tapatybės kortelė ar pasas jau Asmens dokumentų išrašymo centre turi būti supakuoti į nepermatomas sandarias pakuotes (vokus), todėl </w:t>
      </w:r>
      <w:r w:rsidR="00F345D7">
        <w:rPr>
          <w:rFonts w:ascii="Times New Roman" w:eastAsia="Times New Roman" w:hAnsi="Times New Roman" w:cs="Times New Roman"/>
          <w:color w:val="000000"/>
          <w:sz w:val="24"/>
          <w:szCs w:val="24"/>
          <w:lang w:eastAsia="lt-LT"/>
        </w:rPr>
        <w:t xml:space="preserve">Asmens dokumentų išrašymo </w:t>
      </w:r>
      <w:r>
        <w:rPr>
          <w:rFonts w:ascii="Times New Roman" w:eastAsia="Times New Roman" w:hAnsi="Times New Roman" w:cs="Times New Roman"/>
          <w:color w:val="000000"/>
          <w:sz w:val="24"/>
          <w:szCs w:val="24"/>
          <w:lang w:eastAsia="lt-LT"/>
        </w:rPr>
        <w:t xml:space="preserve">centrui reikės įsigyti įrenginių, skirtų išrašytiems asmens tapatybės kortelėms ir pasams (atskirai asmens tapatybės kortelėms ir atskirai pasams; iš viso 2 įrenginiai) supakuoti. Kiekvieno iš šių įrenginių orientacinė rinkos kaina – apie 400 tūkst. Eur (iš viso 800 tūkst. Eur). </w:t>
      </w:r>
      <w:r>
        <w:rPr>
          <w:vanish/>
        </w:rPr>
        <w:commentReference w:id="3"/>
      </w:r>
      <w:r>
        <w:rPr>
          <w:rFonts w:ascii="Times New Roman" w:eastAsia="Times New Roman" w:hAnsi="Times New Roman" w:cs="Times New Roman"/>
          <w:color w:val="000000"/>
          <w:sz w:val="24"/>
          <w:szCs w:val="24"/>
          <w:lang w:eastAsia="lt-LT"/>
        </w:rPr>
        <w:t xml:space="preserve">Jei būtų nuspręsta pakavimo įrenginius </w:t>
      </w:r>
      <w:r>
        <w:rPr>
          <w:rFonts w:ascii="Times New Roman" w:eastAsia="Times New Roman" w:hAnsi="Times New Roman" w:cs="Times New Roman"/>
          <w:color w:val="000000"/>
          <w:sz w:val="24"/>
          <w:szCs w:val="24"/>
          <w:lang w:eastAsia="lt-LT"/>
        </w:rPr>
        <w:lastRenderedPageBreak/>
        <w:t>nuomotis, per metus nuomai reikėtų apie 250 tūkst. Eur. Be to, kasmet reikėtų apie 30–40 tūkst. Eur veiklos išlaidoms (vokams, popieriui ir kt.).</w:t>
      </w:r>
    </w:p>
    <w:p w14:paraId="07718B3D" w14:textId="06FE2B55"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bCs/>
          <w:color w:val="000000"/>
          <w:sz w:val="24"/>
          <w:szCs w:val="24"/>
        </w:rPr>
        <w:t xml:space="preserve">Lietuvos Respublikos konsulinėms įstaigoms grįžimo dokumentą išduodant naudojantis Asmens dokumentų išdavimo informacinės sistemos priemonėmis, šios informacinės sistemos pakeitimui reikėtų apie 50 tūkst. Eur ir maždaug 12 tūkst. Eur </w:t>
      </w:r>
      <w:r w:rsidR="00376592">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naujiems grįžimo dokumentų blankams įsigyti.</w:t>
      </w:r>
    </w:p>
    <w:p w14:paraId="29F763E6"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12C04600"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13. Įstatymo projekto rengimo metu gauti specialistų vertinimai ir išvados.</w:t>
      </w:r>
    </w:p>
    <w:p w14:paraId="754A2080" w14:textId="77777777" w:rsidR="006059C2" w:rsidRDefault="00C1633F">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 projekto rengimo metu specialistų vertinimų ir išvadų negauta.</w:t>
      </w:r>
    </w:p>
    <w:p w14:paraId="37CDB8AD"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6A328728"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14. Reikšminiai žodžiai, kurių reikia šiam projektui įtraukti į kompiuterinę paieškos sistemą, įskaitant Europos žodyno „Eurovoc“ terminus, temas ir sritis.</w:t>
      </w:r>
    </w:p>
    <w:p w14:paraId="2F780038"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„Asmens tapatybės kortelė“, „pasas“, „asmens dokumentai“.</w:t>
      </w:r>
    </w:p>
    <w:p w14:paraId="29AD3365"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7499755E"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15. Kiti, iniciatorių nuomone, reikalingi pagrindimai ir paaiškinimai.</w:t>
      </w:r>
    </w:p>
    <w:p w14:paraId="3E388285"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eastAsia="Times New Roman" w:hAnsi="Times New Roman" w:cs="Times New Roman"/>
          <w:color w:val="000000"/>
          <w:sz w:val="24"/>
          <w:szCs w:val="24"/>
          <w:lang w:eastAsia="lt-LT"/>
        </w:rPr>
        <w:t xml:space="preserve">Atsižvelgiant į </w:t>
      </w:r>
      <w:r>
        <w:rPr>
          <w:rFonts w:ascii="Times New Roman" w:hAnsi="Times New Roman" w:cs="Times New Roman"/>
          <w:bCs/>
          <w:color w:val="000000"/>
          <w:sz w:val="24"/>
          <w:szCs w:val="24"/>
        </w:rPr>
        <w:t xml:space="preserve">Reglamento (ES) Nr. 2019/1157 įsigaliojimo datą ir į tai, kad Įstatymo nuostatoms įgyvendinti reikės papildomų lėšų ir atlikti pirkimo procedūras, siūloma nustatyti Įstatymo įsigaliojimo terminą – 2021 m. rugpjūčio 2 d. </w:t>
      </w:r>
    </w:p>
    <w:p w14:paraId="18F40D66" w14:textId="77777777" w:rsidR="006059C2" w:rsidRDefault="006059C2">
      <w:pPr>
        <w:spacing w:after="0" w:line="276" w:lineRule="auto"/>
        <w:ind w:firstLine="709"/>
        <w:jc w:val="both"/>
        <w:rPr>
          <w:rFonts w:ascii="Times New Roman" w:hAnsi="Times New Roman" w:cs="Times New Roman"/>
          <w:bCs/>
          <w:color w:val="000000"/>
          <w:sz w:val="24"/>
          <w:szCs w:val="24"/>
        </w:rPr>
      </w:pPr>
    </w:p>
    <w:p w14:paraId="65B2B6CD" w14:textId="77777777" w:rsidR="006059C2" w:rsidRDefault="00C1633F">
      <w:pPr>
        <w:spacing w:after="0" w:line="240" w:lineRule="auto"/>
        <w:ind w:firstLine="709"/>
        <w:jc w:val="center"/>
        <w:rPr>
          <w:rFonts w:ascii="Times New Roman" w:eastAsia="Times New Roman" w:hAnsi="Times New Roman" w:cs="Times New Roman"/>
          <w:color w:val="000000"/>
          <w:sz w:val="24"/>
          <w:szCs w:val="24"/>
          <w:lang w:eastAsia="lt-LT"/>
        </w:rPr>
      </w:pPr>
      <w:r>
        <w:rPr>
          <w:rFonts w:ascii="Times New Roman" w:hAnsi="Times New Roman" w:cs="Times New Roman"/>
          <w:bCs/>
          <w:color w:val="000000"/>
          <w:sz w:val="24"/>
          <w:szCs w:val="24"/>
        </w:rPr>
        <w:t>_________________________</w:t>
      </w:r>
    </w:p>
    <w:p w14:paraId="141BD1E2" w14:textId="77777777" w:rsidR="006059C2" w:rsidRDefault="006059C2">
      <w:pPr>
        <w:spacing w:line="276" w:lineRule="auto"/>
        <w:jc w:val="both"/>
        <w:rPr>
          <w:rFonts w:ascii="Times New Roman" w:hAnsi="Times New Roman" w:cs="Times New Roman"/>
          <w:bCs/>
          <w:color w:val="000000"/>
          <w:sz w:val="24"/>
          <w:szCs w:val="24"/>
        </w:rPr>
      </w:pPr>
    </w:p>
    <w:sectPr w:rsidR="006059C2">
      <w:headerReference w:type="default" r:id="rId10"/>
      <w:pgSz w:w="11906" w:h="16838"/>
      <w:pgMar w:top="1134" w:right="567" w:bottom="1134" w:left="1701" w:header="567" w:footer="567" w:gutter="0"/>
      <w:pgNumType w:start="1"/>
      <w:cols w:space="1296"/>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Pad" w:date="2019-11-02T15:56:00Z" w:initials="">
    <w:p w14:paraId="7A585551" w14:textId="77777777" w:rsidR="006059C2" w:rsidRDefault="00C1633F">
      <w:r>
        <w:t>Gal cia reiketu pamineti, kad praktikoje konsulines istaigos susiduria su problema, kai.....kardomoji ar ieskomas</w:t>
      </w:r>
    </w:p>
  </w:comment>
  <w:comment w:id="2" w:author="iPad" w:date="2019-09-05T17:10:00Z" w:initials="">
    <w:p w14:paraId="29CE0527" w14:textId="77777777" w:rsidR="006059C2" w:rsidRDefault="00C1633F">
      <w:r>
        <w:t>Gal paskutinio teises akto nerasom, nes jau kaip ir turėtume būti nusprendę? Reiks, tai parengsim....</w:t>
      </w:r>
    </w:p>
  </w:comment>
  <w:comment w:id="3" w:author="iPad" w:date="2019-09-05T17:08:00Z" w:initials="">
    <w:p w14:paraId="5FA88567" w14:textId="77777777" w:rsidR="006059C2" w:rsidRDefault="00C1633F">
      <w:r>
        <w:t>Gal paliekam Andzejui ir Nerijui patikslint, nes tu čia viską gerai parašei., kiek aš irgi apie tai suprantu....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585551" w15:done="0"/>
  <w15:commentEx w15:paraId="29CE0527" w15:done="0"/>
  <w15:commentEx w15:paraId="5FA885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C504E" w14:textId="77777777" w:rsidR="00ED2C9A" w:rsidRDefault="00ED2C9A">
      <w:pPr>
        <w:spacing w:after="0" w:line="240" w:lineRule="auto"/>
      </w:pPr>
      <w:r>
        <w:separator/>
      </w:r>
    </w:p>
  </w:endnote>
  <w:endnote w:type="continuationSeparator" w:id="0">
    <w:p w14:paraId="1DC61E6B" w14:textId="77777777" w:rsidR="00ED2C9A" w:rsidRDefault="00ED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E6510" w14:textId="77777777" w:rsidR="00ED2C9A" w:rsidRDefault="00ED2C9A">
      <w:pPr>
        <w:spacing w:after="0" w:line="240" w:lineRule="auto"/>
      </w:pPr>
      <w:r>
        <w:separator/>
      </w:r>
    </w:p>
  </w:footnote>
  <w:footnote w:type="continuationSeparator" w:id="0">
    <w:p w14:paraId="6D026DF4" w14:textId="77777777" w:rsidR="00ED2C9A" w:rsidRDefault="00ED2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8F87" w14:textId="77777777" w:rsidR="006059C2" w:rsidRDefault="00C1633F">
    <w:pPr>
      <w:pStyle w:val="Antrats"/>
      <w:jc w:val="center"/>
      <w:rPr>
        <w:rFonts w:ascii="Times New Roman" w:hAnsi="Times New Roman" w:cs="Times New Roman"/>
        <w:sz w:val="24"/>
        <w:szCs w:val="24"/>
      </w:rPr>
    </w:pPr>
    <w:r>
      <w:fldChar w:fldCharType="begin"/>
    </w:r>
    <w:r>
      <w:instrText>PAGE   \* MERGEFORMAT</w:instrText>
    </w:r>
    <w:r>
      <w:fldChar w:fldCharType="separate"/>
    </w:r>
    <w:r w:rsidR="00676CD7" w:rsidRPr="00676CD7">
      <w:rPr>
        <w:rFonts w:ascii="Times New Roman" w:hAnsi="Times New Roman" w:cs="Times New Roman"/>
        <w:noProof/>
        <w:sz w:val="24"/>
        <w:szCs w:val="24"/>
      </w:rPr>
      <w:t>4</w:t>
    </w:r>
    <w:r>
      <w:fldChar w:fldCharType="end"/>
    </w:r>
  </w:p>
  <w:p w14:paraId="62DFD8C0" w14:textId="77777777" w:rsidR="006059C2" w:rsidRDefault="006059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73B"/>
    <w:multiLevelType w:val="hybridMultilevel"/>
    <w:tmpl w:val="819E1020"/>
    <w:lvl w:ilvl="0" w:tplc="D8F25A0C">
      <w:start w:val="3"/>
      <w:numFmt w:val="decimal"/>
      <w:lvlText w:val="%1."/>
      <w:lvlJc w:val="left"/>
      <w:pPr>
        <w:ind w:left="720" w:hanging="360"/>
      </w:pPr>
    </w:lvl>
    <w:lvl w:ilvl="1" w:tplc="1A5488DE">
      <w:start w:val="1"/>
      <w:numFmt w:val="lowerLetter"/>
      <w:lvlText w:val="%2."/>
      <w:lvlJc w:val="left"/>
      <w:pPr>
        <w:ind w:left="1440" w:hanging="360"/>
      </w:pPr>
    </w:lvl>
    <w:lvl w:ilvl="2" w:tplc="3E024826">
      <w:start w:val="1"/>
      <w:numFmt w:val="lowerRoman"/>
      <w:lvlText w:val="%3."/>
      <w:lvlJc w:val="right"/>
      <w:pPr>
        <w:ind w:left="2160" w:hanging="180"/>
      </w:pPr>
    </w:lvl>
    <w:lvl w:ilvl="3" w:tplc="634EFDA0">
      <w:start w:val="1"/>
      <w:numFmt w:val="decimal"/>
      <w:lvlText w:val="%4."/>
      <w:lvlJc w:val="left"/>
      <w:pPr>
        <w:ind w:left="2880" w:hanging="360"/>
      </w:pPr>
    </w:lvl>
    <w:lvl w:ilvl="4" w:tplc="AA1EBA54">
      <w:start w:val="1"/>
      <w:numFmt w:val="lowerLetter"/>
      <w:lvlText w:val="%5."/>
      <w:lvlJc w:val="left"/>
      <w:pPr>
        <w:ind w:left="3600" w:hanging="360"/>
      </w:pPr>
    </w:lvl>
    <w:lvl w:ilvl="5" w:tplc="D4B4AC9A">
      <w:start w:val="1"/>
      <w:numFmt w:val="lowerRoman"/>
      <w:lvlText w:val="%6."/>
      <w:lvlJc w:val="right"/>
      <w:pPr>
        <w:ind w:left="4320" w:hanging="180"/>
      </w:pPr>
    </w:lvl>
    <w:lvl w:ilvl="6" w:tplc="2D2A2076">
      <w:start w:val="1"/>
      <w:numFmt w:val="decimal"/>
      <w:lvlText w:val="%7."/>
      <w:lvlJc w:val="left"/>
      <w:pPr>
        <w:ind w:left="5040" w:hanging="360"/>
      </w:pPr>
    </w:lvl>
    <w:lvl w:ilvl="7" w:tplc="980A66C6">
      <w:start w:val="1"/>
      <w:numFmt w:val="lowerLetter"/>
      <w:lvlText w:val="%8."/>
      <w:lvlJc w:val="left"/>
      <w:pPr>
        <w:ind w:left="5760" w:hanging="360"/>
      </w:pPr>
    </w:lvl>
    <w:lvl w:ilvl="8" w:tplc="4538C660">
      <w:start w:val="1"/>
      <w:numFmt w:val="lowerRoman"/>
      <w:lvlText w:val="%9."/>
      <w:lvlJc w:val="right"/>
      <w:pPr>
        <w:ind w:left="6480" w:hanging="180"/>
      </w:pPr>
    </w:lvl>
  </w:abstractNum>
  <w:abstractNum w:abstractNumId="1" w15:restartNumberingAfterBreak="0">
    <w:nsid w:val="49976C38"/>
    <w:multiLevelType w:val="hybridMultilevel"/>
    <w:tmpl w:val="D6A05764"/>
    <w:lvl w:ilvl="0" w:tplc="0DAE5276">
      <w:start w:val="1"/>
      <w:numFmt w:val="decimal"/>
      <w:lvlText w:val="%1)"/>
      <w:lvlJc w:val="left"/>
      <w:pPr>
        <w:ind w:left="930" w:hanging="360"/>
      </w:pPr>
    </w:lvl>
    <w:lvl w:ilvl="1" w:tplc="0CE61450">
      <w:start w:val="1"/>
      <w:numFmt w:val="lowerLetter"/>
      <w:lvlText w:val="%2."/>
      <w:lvlJc w:val="left"/>
      <w:pPr>
        <w:ind w:left="1650" w:hanging="360"/>
      </w:pPr>
    </w:lvl>
    <w:lvl w:ilvl="2" w:tplc="9C18BFD2">
      <w:start w:val="1"/>
      <w:numFmt w:val="lowerRoman"/>
      <w:lvlText w:val="%3."/>
      <w:lvlJc w:val="right"/>
      <w:pPr>
        <w:ind w:left="2370" w:hanging="180"/>
      </w:pPr>
    </w:lvl>
    <w:lvl w:ilvl="3" w:tplc="4D4A64A6">
      <w:start w:val="1"/>
      <w:numFmt w:val="decimal"/>
      <w:lvlText w:val="%4."/>
      <w:lvlJc w:val="left"/>
      <w:pPr>
        <w:ind w:left="3090" w:hanging="360"/>
      </w:pPr>
    </w:lvl>
    <w:lvl w:ilvl="4" w:tplc="B4942AA6">
      <w:start w:val="1"/>
      <w:numFmt w:val="lowerLetter"/>
      <w:lvlText w:val="%5."/>
      <w:lvlJc w:val="left"/>
      <w:pPr>
        <w:ind w:left="3810" w:hanging="360"/>
      </w:pPr>
    </w:lvl>
    <w:lvl w:ilvl="5" w:tplc="95185A4A">
      <w:start w:val="1"/>
      <w:numFmt w:val="lowerRoman"/>
      <w:lvlText w:val="%6."/>
      <w:lvlJc w:val="right"/>
      <w:pPr>
        <w:ind w:left="4530" w:hanging="180"/>
      </w:pPr>
    </w:lvl>
    <w:lvl w:ilvl="6" w:tplc="207207FA">
      <w:start w:val="1"/>
      <w:numFmt w:val="decimal"/>
      <w:lvlText w:val="%7."/>
      <w:lvlJc w:val="left"/>
      <w:pPr>
        <w:ind w:left="5250" w:hanging="360"/>
      </w:pPr>
    </w:lvl>
    <w:lvl w:ilvl="7" w:tplc="3A94B926">
      <w:start w:val="1"/>
      <w:numFmt w:val="lowerLetter"/>
      <w:lvlText w:val="%8."/>
      <w:lvlJc w:val="left"/>
      <w:pPr>
        <w:ind w:left="5970" w:hanging="360"/>
      </w:pPr>
    </w:lvl>
    <w:lvl w:ilvl="8" w:tplc="90D0E05C">
      <w:start w:val="1"/>
      <w:numFmt w:val="lowerRoman"/>
      <w:lvlText w:val="%9."/>
      <w:lvlJc w:val="right"/>
      <w:pPr>
        <w:ind w:left="6690" w:hanging="180"/>
      </w:pPr>
    </w:lvl>
  </w:abstractNum>
  <w:abstractNum w:abstractNumId="2" w15:restartNumberingAfterBreak="0">
    <w:nsid w:val="65355D85"/>
    <w:multiLevelType w:val="hybridMultilevel"/>
    <w:tmpl w:val="0464B40E"/>
    <w:lvl w:ilvl="0" w:tplc="F3FA7BAA">
      <w:start w:val="1"/>
      <w:numFmt w:val="decimal"/>
      <w:lvlText w:val="%1."/>
      <w:lvlJc w:val="left"/>
      <w:pPr>
        <w:ind w:left="720" w:hanging="360"/>
      </w:pPr>
    </w:lvl>
    <w:lvl w:ilvl="1" w:tplc="C608B6D0">
      <w:start w:val="1"/>
      <w:numFmt w:val="lowerLetter"/>
      <w:lvlText w:val="%2."/>
      <w:lvlJc w:val="left"/>
      <w:pPr>
        <w:ind w:left="1440" w:hanging="360"/>
      </w:pPr>
    </w:lvl>
    <w:lvl w:ilvl="2" w:tplc="C9929E24">
      <w:start w:val="1"/>
      <w:numFmt w:val="lowerRoman"/>
      <w:lvlText w:val="%3."/>
      <w:lvlJc w:val="right"/>
      <w:pPr>
        <w:ind w:left="2160" w:hanging="180"/>
      </w:pPr>
    </w:lvl>
    <w:lvl w:ilvl="3" w:tplc="75FE0498">
      <w:start w:val="1"/>
      <w:numFmt w:val="decimal"/>
      <w:lvlText w:val="%4."/>
      <w:lvlJc w:val="left"/>
      <w:pPr>
        <w:ind w:left="2880" w:hanging="360"/>
      </w:pPr>
    </w:lvl>
    <w:lvl w:ilvl="4" w:tplc="A3789F30">
      <w:start w:val="1"/>
      <w:numFmt w:val="lowerLetter"/>
      <w:lvlText w:val="%5."/>
      <w:lvlJc w:val="left"/>
      <w:pPr>
        <w:ind w:left="3600" w:hanging="360"/>
      </w:pPr>
    </w:lvl>
    <w:lvl w:ilvl="5" w:tplc="9B8A90B2">
      <w:start w:val="1"/>
      <w:numFmt w:val="lowerRoman"/>
      <w:lvlText w:val="%6."/>
      <w:lvlJc w:val="right"/>
      <w:pPr>
        <w:ind w:left="4320" w:hanging="180"/>
      </w:pPr>
    </w:lvl>
    <w:lvl w:ilvl="6" w:tplc="997EF748">
      <w:start w:val="1"/>
      <w:numFmt w:val="decimal"/>
      <w:lvlText w:val="%7."/>
      <w:lvlJc w:val="left"/>
      <w:pPr>
        <w:ind w:left="5040" w:hanging="360"/>
      </w:pPr>
    </w:lvl>
    <w:lvl w:ilvl="7" w:tplc="17708C68">
      <w:start w:val="1"/>
      <w:numFmt w:val="lowerLetter"/>
      <w:lvlText w:val="%8."/>
      <w:lvlJc w:val="left"/>
      <w:pPr>
        <w:ind w:left="5760" w:hanging="360"/>
      </w:pPr>
    </w:lvl>
    <w:lvl w:ilvl="8" w:tplc="D474E040">
      <w:start w:val="1"/>
      <w:numFmt w:val="lowerRoman"/>
      <w:lvlText w:val="%9."/>
      <w:lvlJc w:val="right"/>
      <w:pPr>
        <w:ind w:left="6480" w:hanging="180"/>
      </w:pPr>
    </w:lvl>
  </w:abstractNum>
  <w:abstractNum w:abstractNumId="3" w15:restartNumberingAfterBreak="0">
    <w:nsid w:val="70CF7809"/>
    <w:multiLevelType w:val="hybridMultilevel"/>
    <w:tmpl w:val="7C4C0DF8"/>
    <w:lvl w:ilvl="0" w:tplc="2A30FBDA">
      <w:start w:val="1"/>
      <w:numFmt w:val="decimal"/>
      <w:lvlText w:val="%1."/>
      <w:lvlJc w:val="left"/>
      <w:pPr>
        <w:ind w:left="720" w:hanging="360"/>
      </w:pPr>
    </w:lvl>
    <w:lvl w:ilvl="1" w:tplc="8AC2A5C0">
      <w:start w:val="1"/>
      <w:numFmt w:val="lowerLetter"/>
      <w:lvlText w:val="%2."/>
      <w:lvlJc w:val="left"/>
      <w:pPr>
        <w:ind w:left="1440" w:hanging="360"/>
      </w:pPr>
    </w:lvl>
    <w:lvl w:ilvl="2" w:tplc="3440F01C">
      <w:start w:val="1"/>
      <w:numFmt w:val="lowerRoman"/>
      <w:lvlText w:val="%3."/>
      <w:lvlJc w:val="right"/>
      <w:pPr>
        <w:ind w:left="2160" w:hanging="180"/>
      </w:pPr>
    </w:lvl>
    <w:lvl w:ilvl="3" w:tplc="07E2C052">
      <w:start w:val="1"/>
      <w:numFmt w:val="decimal"/>
      <w:lvlText w:val="%4."/>
      <w:lvlJc w:val="left"/>
      <w:pPr>
        <w:ind w:left="2880" w:hanging="360"/>
      </w:pPr>
    </w:lvl>
    <w:lvl w:ilvl="4" w:tplc="99EEC96C">
      <w:start w:val="1"/>
      <w:numFmt w:val="lowerLetter"/>
      <w:lvlText w:val="%5."/>
      <w:lvlJc w:val="left"/>
      <w:pPr>
        <w:ind w:left="3600" w:hanging="360"/>
      </w:pPr>
    </w:lvl>
    <w:lvl w:ilvl="5" w:tplc="CAA24780">
      <w:start w:val="1"/>
      <w:numFmt w:val="lowerRoman"/>
      <w:lvlText w:val="%6."/>
      <w:lvlJc w:val="right"/>
      <w:pPr>
        <w:ind w:left="4320" w:hanging="180"/>
      </w:pPr>
    </w:lvl>
    <w:lvl w:ilvl="6" w:tplc="7DACB8FE">
      <w:start w:val="1"/>
      <w:numFmt w:val="decimal"/>
      <w:lvlText w:val="%7."/>
      <w:lvlJc w:val="left"/>
      <w:pPr>
        <w:ind w:left="5040" w:hanging="360"/>
      </w:pPr>
    </w:lvl>
    <w:lvl w:ilvl="7" w:tplc="6A5A559C">
      <w:start w:val="1"/>
      <w:numFmt w:val="lowerLetter"/>
      <w:lvlText w:val="%8."/>
      <w:lvlJc w:val="left"/>
      <w:pPr>
        <w:ind w:left="5760" w:hanging="360"/>
      </w:pPr>
    </w:lvl>
    <w:lvl w:ilvl="8" w:tplc="99EEA882">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F6"/>
    <w:rsid w:val="000007C2"/>
    <w:rsid w:val="00001B94"/>
    <w:rsid w:val="00010CE9"/>
    <w:rsid w:val="0002608D"/>
    <w:rsid w:val="000305AE"/>
    <w:rsid w:val="00035CBB"/>
    <w:rsid w:val="0004124A"/>
    <w:rsid w:val="00045CCA"/>
    <w:rsid w:val="00056D0D"/>
    <w:rsid w:val="00064CE0"/>
    <w:rsid w:val="000759E0"/>
    <w:rsid w:val="000902CC"/>
    <w:rsid w:val="00090ED4"/>
    <w:rsid w:val="000B409A"/>
    <w:rsid w:val="000B608A"/>
    <w:rsid w:val="000D32CF"/>
    <w:rsid w:val="000D7AF2"/>
    <w:rsid w:val="000F18C2"/>
    <w:rsid w:val="001019C5"/>
    <w:rsid w:val="00110C57"/>
    <w:rsid w:val="00111580"/>
    <w:rsid w:val="00111AD5"/>
    <w:rsid w:val="00112F16"/>
    <w:rsid w:val="00113367"/>
    <w:rsid w:val="0011444A"/>
    <w:rsid w:val="00117E88"/>
    <w:rsid w:val="00121625"/>
    <w:rsid w:val="00133418"/>
    <w:rsid w:val="00142A3E"/>
    <w:rsid w:val="001509C2"/>
    <w:rsid w:val="001624A5"/>
    <w:rsid w:val="00171EEF"/>
    <w:rsid w:val="00180025"/>
    <w:rsid w:val="00191ECE"/>
    <w:rsid w:val="001A1EC4"/>
    <w:rsid w:val="001A7FEF"/>
    <w:rsid w:val="001B606B"/>
    <w:rsid w:val="001C0136"/>
    <w:rsid w:val="001C0DB5"/>
    <w:rsid w:val="001C411F"/>
    <w:rsid w:val="001D50AD"/>
    <w:rsid w:val="001D5BF4"/>
    <w:rsid w:val="001D6CB0"/>
    <w:rsid w:val="001E15C3"/>
    <w:rsid w:val="001E3916"/>
    <w:rsid w:val="0021022B"/>
    <w:rsid w:val="00214BE9"/>
    <w:rsid w:val="00242953"/>
    <w:rsid w:val="00244046"/>
    <w:rsid w:val="00257D2B"/>
    <w:rsid w:val="00262A86"/>
    <w:rsid w:val="00263897"/>
    <w:rsid w:val="0026597C"/>
    <w:rsid w:val="00292299"/>
    <w:rsid w:val="002B0E20"/>
    <w:rsid w:val="002F4BDC"/>
    <w:rsid w:val="00303A4A"/>
    <w:rsid w:val="003070F1"/>
    <w:rsid w:val="00314F71"/>
    <w:rsid w:val="00325AE4"/>
    <w:rsid w:val="00331EEB"/>
    <w:rsid w:val="00341EEA"/>
    <w:rsid w:val="00363021"/>
    <w:rsid w:val="00376592"/>
    <w:rsid w:val="003767A3"/>
    <w:rsid w:val="003946EB"/>
    <w:rsid w:val="00395F3F"/>
    <w:rsid w:val="003B32DD"/>
    <w:rsid w:val="003C2652"/>
    <w:rsid w:val="003C3C7A"/>
    <w:rsid w:val="003C6124"/>
    <w:rsid w:val="0040237F"/>
    <w:rsid w:val="0041006F"/>
    <w:rsid w:val="00423466"/>
    <w:rsid w:val="00436D36"/>
    <w:rsid w:val="00436D8D"/>
    <w:rsid w:val="0043716E"/>
    <w:rsid w:val="00450B71"/>
    <w:rsid w:val="0048079E"/>
    <w:rsid w:val="004830C8"/>
    <w:rsid w:val="00497263"/>
    <w:rsid w:val="004B411D"/>
    <w:rsid w:val="004C368D"/>
    <w:rsid w:val="004E6429"/>
    <w:rsid w:val="004F4570"/>
    <w:rsid w:val="004F4901"/>
    <w:rsid w:val="0050045D"/>
    <w:rsid w:val="005104C5"/>
    <w:rsid w:val="00535971"/>
    <w:rsid w:val="0053629D"/>
    <w:rsid w:val="00544637"/>
    <w:rsid w:val="00567422"/>
    <w:rsid w:val="00572A97"/>
    <w:rsid w:val="00587D07"/>
    <w:rsid w:val="00593D41"/>
    <w:rsid w:val="005C7648"/>
    <w:rsid w:val="005E0786"/>
    <w:rsid w:val="005E3FBD"/>
    <w:rsid w:val="006059C2"/>
    <w:rsid w:val="00612103"/>
    <w:rsid w:val="006121FD"/>
    <w:rsid w:val="00614927"/>
    <w:rsid w:val="006171EB"/>
    <w:rsid w:val="00623E35"/>
    <w:rsid w:val="006257CB"/>
    <w:rsid w:val="00641914"/>
    <w:rsid w:val="0066779B"/>
    <w:rsid w:val="00676CD7"/>
    <w:rsid w:val="006819C3"/>
    <w:rsid w:val="00685BFC"/>
    <w:rsid w:val="00692107"/>
    <w:rsid w:val="006B41B9"/>
    <w:rsid w:val="006B5907"/>
    <w:rsid w:val="006B68D0"/>
    <w:rsid w:val="006C2C39"/>
    <w:rsid w:val="006D62F6"/>
    <w:rsid w:val="006F4516"/>
    <w:rsid w:val="007136E1"/>
    <w:rsid w:val="00714374"/>
    <w:rsid w:val="0071624A"/>
    <w:rsid w:val="00743371"/>
    <w:rsid w:val="007447CF"/>
    <w:rsid w:val="00760DB9"/>
    <w:rsid w:val="00761ADC"/>
    <w:rsid w:val="00771775"/>
    <w:rsid w:val="00776396"/>
    <w:rsid w:val="00795D49"/>
    <w:rsid w:val="007B7FBD"/>
    <w:rsid w:val="007D5907"/>
    <w:rsid w:val="007E7AD5"/>
    <w:rsid w:val="008057DF"/>
    <w:rsid w:val="00810F27"/>
    <w:rsid w:val="00841534"/>
    <w:rsid w:val="008564EC"/>
    <w:rsid w:val="008619EC"/>
    <w:rsid w:val="00867367"/>
    <w:rsid w:val="00890EF3"/>
    <w:rsid w:val="008913ED"/>
    <w:rsid w:val="00894619"/>
    <w:rsid w:val="008966B5"/>
    <w:rsid w:val="008C5F6C"/>
    <w:rsid w:val="008E7EEB"/>
    <w:rsid w:val="008F3214"/>
    <w:rsid w:val="0090145A"/>
    <w:rsid w:val="0090218E"/>
    <w:rsid w:val="00927692"/>
    <w:rsid w:val="00945FE0"/>
    <w:rsid w:val="009605AB"/>
    <w:rsid w:val="00962EEB"/>
    <w:rsid w:val="00986A07"/>
    <w:rsid w:val="00994AC9"/>
    <w:rsid w:val="00995DEB"/>
    <w:rsid w:val="009969F9"/>
    <w:rsid w:val="009A241E"/>
    <w:rsid w:val="009A7AE1"/>
    <w:rsid w:val="009B1BD5"/>
    <w:rsid w:val="009C6A23"/>
    <w:rsid w:val="009D14D9"/>
    <w:rsid w:val="009D32C8"/>
    <w:rsid w:val="009F51B2"/>
    <w:rsid w:val="00A01BF7"/>
    <w:rsid w:val="00A02F62"/>
    <w:rsid w:val="00A04619"/>
    <w:rsid w:val="00A30749"/>
    <w:rsid w:val="00A57B30"/>
    <w:rsid w:val="00A767FF"/>
    <w:rsid w:val="00A87CF5"/>
    <w:rsid w:val="00AA2F51"/>
    <w:rsid w:val="00AC12E7"/>
    <w:rsid w:val="00AC1391"/>
    <w:rsid w:val="00AC6FB6"/>
    <w:rsid w:val="00AD2532"/>
    <w:rsid w:val="00AD6776"/>
    <w:rsid w:val="00AE01D2"/>
    <w:rsid w:val="00AE6369"/>
    <w:rsid w:val="00B03443"/>
    <w:rsid w:val="00B12C30"/>
    <w:rsid w:val="00B20467"/>
    <w:rsid w:val="00B22333"/>
    <w:rsid w:val="00B319D0"/>
    <w:rsid w:val="00B36B1B"/>
    <w:rsid w:val="00B6187A"/>
    <w:rsid w:val="00B63C7B"/>
    <w:rsid w:val="00B70042"/>
    <w:rsid w:val="00B762A0"/>
    <w:rsid w:val="00B86C71"/>
    <w:rsid w:val="00B87508"/>
    <w:rsid w:val="00BD4B40"/>
    <w:rsid w:val="00C06948"/>
    <w:rsid w:val="00C11210"/>
    <w:rsid w:val="00C1633F"/>
    <w:rsid w:val="00C46463"/>
    <w:rsid w:val="00C46A0F"/>
    <w:rsid w:val="00C66164"/>
    <w:rsid w:val="00C662A0"/>
    <w:rsid w:val="00C700A8"/>
    <w:rsid w:val="00C85E4E"/>
    <w:rsid w:val="00CA1F85"/>
    <w:rsid w:val="00CA2817"/>
    <w:rsid w:val="00CA4AB6"/>
    <w:rsid w:val="00CB2FE0"/>
    <w:rsid w:val="00CB4590"/>
    <w:rsid w:val="00CB657D"/>
    <w:rsid w:val="00CB6A96"/>
    <w:rsid w:val="00CD43B9"/>
    <w:rsid w:val="00CD5C6C"/>
    <w:rsid w:val="00CF6797"/>
    <w:rsid w:val="00D06ACD"/>
    <w:rsid w:val="00D109C2"/>
    <w:rsid w:val="00D35A2B"/>
    <w:rsid w:val="00D7288B"/>
    <w:rsid w:val="00DB2EA5"/>
    <w:rsid w:val="00DB6B72"/>
    <w:rsid w:val="00DC2094"/>
    <w:rsid w:val="00DD1067"/>
    <w:rsid w:val="00DE5618"/>
    <w:rsid w:val="00DF2FE8"/>
    <w:rsid w:val="00E005D0"/>
    <w:rsid w:val="00E0412A"/>
    <w:rsid w:val="00E04185"/>
    <w:rsid w:val="00E376B4"/>
    <w:rsid w:val="00E50A8C"/>
    <w:rsid w:val="00E542AB"/>
    <w:rsid w:val="00E902F5"/>
    <w:rsid w:val="00EA285A"/>
    <w:rsid w:val="00EA5306"/>
    <w:rsid w:val="00EB25AE"/>
    <w:rsid w:val="00EB4923"/>
    <w:rsid w:val="00EC5C6E"/>
    <w:rsid w:val="00EC660F"/>
    <w:rsid w:val="00ED2C9A"/>
    <w:rsid w:val="00EF7841"/>
    <w:rsid w:val="00F274BC"/>
    <w:rsid w:val="00F345D7"/>
    <w:rsid w:val="00F3535C"/>
    <w:rsid w:val="00F3584B"/>
    <w:rsid w:val="00F54411"/>
    <w:rsid w:val="00F60B69"/>
    <w:rsid w:val="00F63EE3"/>
    <w:rsid w:val="00F6602B"/>
    <w:rsid w:val="00FA19D2"/>
    <w:rsid w:val="00FA200A"/>
    <w:rsid w:val="00FA6573"/>
    <w:rsid w:val="00FB1E19"/>
    <w:rsid w:val="00FB2262"/>
    <w:rsid w:val="00FB3446"/>
    <w:rsid w:val="00FD11D5"/>
    <w:rsid w:val="00FD32E8"/>
    <w:rsid w:val="00FE06EA"/>
    <w:rsid w:val="00FE2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811B"/>
  <w15:chartTrackingRefBased/>
  <w15:docId w15:val="{24949FE9-0854-4434-B549-C5CF4CC6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style>
  <w:style w:type="paragraph" w:styleId="Antrat1">
    <w:name w:val="heading 1"/>
    <w:basedOn w:val="prastasis"/>
    <w:next w:val="prastasis"/>
    <w:link w:val="Antrat1Diagrama"/>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character" w:styleId="Komentaronuoroda">
    <w:name w:val="annotation reference"/>
    <w:basedOn w:val="Numatytasispastraiposriftas"/>
    <w:uiPriority w:val="99"/>
    <w:unhideWhenUsed/>
    <w:rPr>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paragraph" w:styleId="Betarp">
    <w:name w:val="No Spacing"/>
    <w:uiPriority w:val="1"/>
    <w:qFormat/>
    <w:pPr>
      <w:spacing w:after="0" w:line="240" w:lineRule="auto"/>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Pr>
      <w:i/>
      <w:iCs/>
      <w:color w:val="808080" w:themeColor="text1" w:themeTint="7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Pr>
      <w:b/>
      <w:bCs/>
      <w:i/>
      <w:iCs/>
      <w:color w:val="5B9BD5" w:themeColor="accent1"/>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i/>
      <w:iCs/>
      <w:color w:val="000000" w:themeColor="text1"/>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paragraph" w:styleId="Paprastasistekstas">
    <w:name w:val="Plain Text"/>
    <w:basedOn w:val="prastasis"/>
    <w:link w:val="PaprastasistekstasDiagrama"/>
    <w:uiPriority w:val="99"/>
    <w:semiHidden/>
    <w:unhideWhenUsed/>
    <w:pPr>
      <w:spacing w:after="0" w:line="240" w:lineRule="auto"/>
    </w:pPr>
    <w:rPr>
      <w:rFonts w:ascii="Courier New" w:hAnsi="Courier New" w:cs="Courier New"/>
      <w:sz w:val="21"/>
      <w:szCs w:val="21"/>
    </w:rPr>
  </w:style>
  <w:style w:type="character" w:customStyle="1" w:styleId="PaprastasistekstasDiagrama">
    <w:name w:val="Paprastasis tekstas Diagrama"/>
    <w:basedOn w:val="Numatytasispastraiposriftas"/>
    <w:link w:val="Paprastasisteks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Pataisymai">
    <w:name w:val="Revision"/>
    <w:hidden/>
    <w:uiPriority w:val="99"/>
    <w:semiHidden/>
    <w:pPr>
      <w:spacing w:after="0" w:line="240" w:lineRule="auto"/>
    </w:pPr>
  </w:style>
  <w:style w:type="character" w:customStyle="1" w:styleId="Heading1Char">
    <w:name w:val="Heading 1 Char"/>
    <w:basedOn w:val="Numatytasispastraiposriftas"/>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Numatytasispastraiposriftas"/>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Numatytasispastraiposriftas"/>
    <w:uiPriority w:val="9"/>
    <w:rPr>
      <w:rFonts w:asciiTheme="majorHAnsi" w:eastAsiaTheme="majorEastAsia" w:hAnsiTheme="majorHAnsi" w:cstheme="majorBidi"/>
      <w:b/>
      <w:bCs/>
      <w:color w:val="5B9BD5" w:themeColor="accent1"/>
    </w:rPr>
  </w:style>
  <w:style w:type="character" w:customStyle="1" w:styleId="Heading4Char">
    <w:name w:val="Heading 4 Char"/>
    <w:basedOn w:val="Numatytasispastraiposriftas"/>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Numatytasispastraiposriftas"/>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Numatytasispastraiposriftas"/>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Numatytasispastraiposriftas"/>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Numatytasispastraiposriftas"/>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umatytasispastraiposriftas"/>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Numatytasispastraiposriftas"/>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Numatytasispastraiposriftas"/>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basedOn w:val="Numatytasispastraiposriftas"/>
    <w:uiPriority w:val="29"/>
    <w:rPr>
      <w:i/>
      <w:iCs/>
      <w:color w:val="000000" w:themeColor="text1"/>
    </w:rPr>
  </w:style>
  <w:style w:type="character" w:customStyle="1" w:styleId="IntenseQuoteChar">
    <w:name w:val="Intense Quote Char"/>
    <w:basedOn w:val="Numatytasispastraiposriftas"/>
    <w:uiPriority w:val="30"/>
    <w:rPr>
      <w:b/>
      <w:bCs/>
      <w:i/>
      <w:iCs/>
      <w:color w:val="5B9BD5" w:themeColor="accent1"/>
    </w:rPr>
  </w:style>
  <w:style w:type="character" w:customStyle="1" w:styleId="FootnoteTextChar">
    <w:name w:val="Footnote Text Char"/>
    <w:basedOn w:val="Numatytasispastraiposriftas"/>
    <w:uiPriority w:val="99"/>
    <w:semiHidden/>
    <w:rPr>
      <w:sz w:val="20"/>
      <w:szCs w:val="20"/>
    </w:rPr>
  </w:style>
  <w:style w:type="character" w:customStyle="1" w:styleId="EndnoteTextChar">
    <w:name w:val="Endnote Text Char"/>
    <w:basedOn w:val="Numatytasispastraiposriftas"/>
    <w:uiPriority w:val="99"/>
    <w:semiHidden/>
    <w:rPr>
      <w:sz w:val="20"/>
      <w:szCs w:val="20"/>
    </w:rPr>
  </w:style>
  <w:style w:type="character" w:customStyle="1" w:styleId="PlainTextChar">
    <w:name w:val="Plain Text Char"/>
    <w:basedOn w:val="Numatytasispastraiposriftas"/>
    <w:uiPriority w:val="99"/>
    <w:rPr>
      <w:rFonts w:ascii="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1405">
      <w:bodyDiv w:val="1"/>
      <w:marLeft w:val="0"/>
      <w:marRight w:val="0"/>
      <w:marTop w:val="0"/>
      <w:marBottom w:val="0"/>
      <w:divBdr>
        <w:top w:val="none" w:sz="0" w:space="0" w:color="auto"/>
        <w:left w:val="none" w:sz="0" w:space="0" w:color="auto"/>
        <w:bottom w:val="none" w:sz="0" w:space="0" w:color="auto"/>
        <w:right w:val="none" w:sz="0" w:space="0" w:color="auto"/>
      </w:divBdr>
    </w:div>
    <w:div w:id="123428145">
      <w:bodyDiv w:val="1"/>
      <w:marLeft w:val="0"/>
      <w:marRight w:val="0"/>
      <w:marTop w:val="0"/>
      <w:marBottom w:val="0"/>
      <w:divBdr>
        <w:top w:val="none" w:sz="0" w:space="0" w:color="auto"/>
        <w:left w:val="none" w:sz="0" w:space="0" w:color="auto"/>
        <w:bottom w:val="none" w:sz="0" w:space="0" w:color="auto"/>
        <w:right w:val="none" w:sz="0" w:space="0" w:color="auto"/>
      </w:divBdr>
    </w:div>
    <w:div w:id="427699480">
      <w:bodyDiv w:val="1"/>
      <w:marLeft w:val="0"/>
      <w:marRight w:val="0"/>
      <w:marTop w:val="0"/>
      <w:marBottom w:val="0"/>
      <w:divBdr>
        <w:top w:val="none" w:sz="0" w:space="0" w:color="auto"/>
        <w:left w:val="none" w:sz="0" w:space="0" w:color="auto"/>
        <w:bottom w:val="none" w:sz="0" w:space="0" w:color="auto"/>
        <w:right w:val="none" w:sz="0" w:space="0" w:color="auto"/>
      </w:divBdr>
    </w:div>
    <w:div w:id="805782611">
      <w:bodyDiv w:val="1"/>
      <w:marLeft w:val="0"/>
      <w:marRight w:val="0"/>
      <w:marTop w:val="0"/>
      <w:marBottom w:val="0"/>
      <w:divBdr>
        <w:top w:val="none" w:sz="0" w:space="0" w:color="auto"/>
        <w:left w:val="none" w:sz="0" w:space="0" w:color="auto"/>
        <w:bottom w:val="none" w:sz="0" w:space="0" w:color="auto"/>
        <w:right w:val="none" w:sz="0" w:space="0" w:color="auto"/>
      </w:divBdr>
    </w:div>
    <w:div w:id="1071804793">
      <w:bodyDiv w:val="1"/>
      <w:marLeft w:val="0"/>
      <w:marRight w:val="0"/>
      <w:marTop w:val="0"/>
      <w:marBottom w:val="0"/>
      <w:divBdr>
        <w:top w:val="none" w:sz="0" w:space="0" w:color="auto"/>
        <w:left w:val="none" w:sz="0" w:space="0" w:color="auto"/>
        <w:bottom w:val="none" w:sz="0" w:space="0" w:color="auto"/>
        <w:right w:val="none" w:sz="0" w:space="0" w:color="auto"/>
      </w:divBdr>
    </w:div>
    <w:div w:id="16496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0902F-746C-436F-A834-D5AA1021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19937</Words>
  <Characters>11365</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Vežikauskienė</dc:creator>
  <cp:lastModifiedBy>Daiva Vežikauskienė</cp:lastModifiedBy>
  <cp:revision>2</cp:revision>
  <dcterms:created xsi:type="dcterms:W3CDTF">2019-11-13T13:17:00Z</dcterms:created>
  <dcterms:modified xsi:type="dcterms:W3CDTF">2019-11-13T13:17:00Z</dcterms:modified>
</cp:coreProperties>
</file>