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6FCC" w14:textId="6FC9460E" w:rsidR="009E428D" w:rsidRDefault="00746341" w:rsidP="009E428D">
      <w:pPr>
        <w:tabs>
          <w:tab w:val="left" w:pos="567"/>
        </w:tabs>
        <w:ind w:firstLine="567"/>
        <w:jc w:val="center"/>
        <w:rPr>
          <w:b/>
        </w:rPr>
      </w:pPr>
      <w:r>
        <w:rPr>
          <w:b/>
        </w:rPr>
        <w:t>REGLAMENTO</w:t>
      </w:r>
      <w:r w:rsidR="009C302C" w:rsidRPr="00E921FC">
        <w:rPr>
          <w:b/>
        </w:rPr>
        <w:t xml:space="preserve"> </w:t>
      </w:r>
      <w:r w:rsidR="006649D0" w:rsidRPr="00E921FC">
        <w:rPr>
          <w:b/>
        </w:rPr>
        <w:t>2019/</w:t>
      </w:r>
      <w:r w:rsidR="00037517">
        <w:rPr>
          <w:b/>
        </w:rPr>
        <w:t>941</w:t>
      </w:r>
      <w:r w:rsidR="009C302C" w:rsidRPr="00E921FC">
        <w:rPr>
          <w:b/>
        </w:rPr>
        <w:t xml:space="preserve"> IR </w:t>
      </w:r>
      <w:r w:rsidR="00514AA7">
        <w:rPr>
          <w:b/>
        </w:rPr>
        <w:t>LIETUVOS RESPUBLIKOS VYRIAU</w:t>
      </w:r>
      <w:r w:rsidR="00245117">
        <w:rPr>
          <w:b/>
        </w:rPr>
        <w:t>S</w:t>
      </w:r>
      <w:r w:rsidR="00514AA7">
        <w:rPr>
          <w:b/>
        </w:rPr>
        <w:t>YBĖS NUTARIMO</w:t>
      </w:r>
      <w:r w:rsidR="00245117">
        <w:rPr>
          <w:b/>
        </w:rPr>
        <w:t xml:space="preserve"> „</w:t>
      </w:r>
      <w:r w:rsidR="009E428D" w:rsidRPr="00C35262">
        <w:rPr>
          <w:b/>
          <w:caps/>
          <w:szCs w:val="20"/>
        </w:rPr>
        <w:t xml:space="preserve">DĖL </w:t>
      </w:r>
      <w:r w:rsidR="009E428D" w:rsidRPr="001D7BA2">
        <w:rPr>
          <w:b/>
          <w:bCs/>
          <w:color w:val="000000"/>
        </w:rPr>
        <w:t>ELEKTROS ENERGIJOS TIEKIMO SAUGUMO UŽTIKRINIMO PRIEMONIŲ APRAŠ</w:t>
      </w:r>
      <w:r w:rsidR="009E428D">
        <w:rPr>
          <w:b/>
          <w:bCs/>
          <w:color w:val="000000"/>
        </w:rPr>
        <w:t>O PATVIRTINIMO“</w:t>
      </w:r>
      <w:r w:rsidR="00514AA7">
        <w:rPr>
          <w:b/>
        </w:rPr>
        <w:t xml:space="preserve"> </w:t>
      </w:r>
      <w:r w:rsidR="002F29BB" w:rsidRPr="00E921FC">
        <w:rPr>
          <w:b/>
        </w:rPr>
        <w:t xml:space="preserve">PROJEKTO </w:t>
      </w:r>
    </w:p>
    <w:p w14:paraId="16FE9CC8" w14:textId="5098D3B4" w:rsidR="00363F19" w:rsidRDefault="00B540ED" w:rsidP="009E428D">
      <w:pPr>
        <w:tabs>
          <w:tab w:val="left" w:pos="567"/>
        </w:tabs>
        <w:ind w:firstLine="567"/>
        <w:jc w:val="center"/>
        <w:rPr>
          <w:b/>
        </w:rPr>
      </w:pPr>
      <w:r w:rsidRPr="00E921FC">
        <w:rPr>
          <w:b/>
        </w:rPr>
        <w:t>ATITIKTIES LENTELĖ</w:t>
      </w:r>
    </w:p>
    <w:p w14:paraId="11FE8E63" w14:textId="77777777" w:rsidR="001A2D4F" w:rsidRPr="00E921FC" w:rsidRDefault="001A2D4F" w:rsidP="009E428D">
      <w:pPr>
        <w:tabs>
          <w:tab w:val="left" w:pos="567"/>
        </w:tabs>
        <w:ind w:firstLine="567"/>
        <w:jc w:val="center"/>
        <w:rPr>
          <w:b/>
        </w:rPr>
      </w:pPr>
    </w:p>
    <w:tbl>
      <w:tblPr>
        <w:tblW w:w="14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6811"/>
        <w:gridCol w:w="1800"/>
      </w:tblGrid>
      <w:tr w:rsidR="00585C9A" w:rsidRPr="00E921FC" w14:paraId="09BD380D" w14:textId="77777777" w:rsidTr="00960674">
        <w:trPr>
          <w:trHeight w:val="529"/>
        </w:trPr>
        <w:tc>
          <w:tcPr>
            <w:tcW w:w="6237" w:type="dxa"/>
            <w:tcBorders>
              <w:bottom w:val="single" w:sz="4" w:space="0" w:color="auto"/>
            </w:tcBorders>
          </w:tcPr>
          <w:p w14:paraId="40D16EB0" w14:textId="5B30E5EA" w:rsidR="00585C9A" w:rsidRPr="00E921FC" w:rsidRDefault="006649D0" w:rsidP="00217631">
            <w:pPr>
              <w:pStyle w:val="HTMLPreformatted"/>
              <w:jc w:val="both"/>
              <w:rPr>
                <w:rFonts w:ascii="Times New Roman" w:hAnsi="Times New Roman" w:cs="Times New Roman"/>
                <w:b/>
                <w:sz w:val="24"/>
                <w:szCs w:val="24"/>
              </w:rPr>
            </w:pPr>
            <w:r w:rsidRPr="00E921FC">
              <w:rPr>
                <w:rFonts w:ascii="Times New Roman" w:hAnsi="Times New Roman" w:cs="Times New Roman"/>
                <w:b/>
                <w:sz w:val="24"/>
                <w:szCs w:val="24"/>
              </w:rPr>
              <w:t>2019 m. b</w:t>
            </w:r>
            <w:r w:rsidR="002C3C5B">
              <w:rPr>
                <w:rFonts w:ascii="Times New Roman" w:hAnsi="Times New Roman" w:cs="Times New Roman"/>
                <w:b/>
                <w:sz w:val="24"/>
                <w:szCs w:val="24"/>
              </w:rPr>
              <w:t>irželio</w:t>
            </w:r>
            <w:r w:rsidRPr="00E921FC">
              <w:rPr>
                <w:rFonts w:ascii="Times New Roman" w:hAnsi="Times New Roman" w:cs="Times New Roman"/>
                <w:b/>
                <w:sz w:val="24"/>
                <w:szCs w:val="24"/>
              </w:rPr>
              <w:t xml:space="preserve"> </w:t>
            </w:r>
            <w:r w:rsidR="00020C76">
              <w:rPr>
                <w:rFonts w:ascii="Times New Roman" w:hAnsi="Times New Roman" w:cs="Times New Roman"/>
                <w:b/>
                <w:sz w:val="24"/>
                <w:szCs w:val="24"/>
              </w:rPr>
              <w:t>5</w:t>
            </w:r>
            <w:r w:rsidRPr="00E921FC">
              <w:rPr>
                <w:rFonts w:ascii="Times New Roman" w:hAnsi="Times New Roman" w:cs="Times New Roman"/>
                <w:b/>
                <w:sz w:val="24"/>
                <w:szCs w:val="24"/>
              </w:rPr>
              <w:t xml:space="preserve"> d. Europos Parlamento ir Tarybos </w:t>
            </w:r>
            <w:r w:rsidR="00746341">
              <w:rPr>
                <w:rFonts w:ascii="Times New Roman" w:hAnsi="Times New Roman" w:cs="Times New Roman"/>
                <w:b/>
                <w:sz w:val="24"/>
                <w:szCs w:val="24"/>
              </w:rPr>
              <w:t>reglament</w:t>
            </w:r>
            <w:r w:rsidR="00CB67D6">
              <w:rPr>
                <w:rFonts w:ascii="Times New Roman" w:hAnsi="Times New Roman" w:cs="Times New Roman"/>
                <w:b/>
                <w:sz w:val="24"/>
                <w:szCs w:val="24"/>
              </w:rPr>
              <w:t>as</w:t>
            </w:r>
            <w:r w:rsidRPr="00E921FC">
              <w:rPr>
                <w:rFonts w:ascii="Times New Roman" w:hAnsi="Times New Roman" w:cs="Times New Roman"/>
                <w:b/>
                <w:sz w:val="24"/>
                <w:szCs w:val="24"/>
              </w:rPr>
              <w:t xml:space="preserve"> (ES) 2019/</w:t>
            </w:r>
            <w:r w:rsidR="00746341">
              <w:rPr>
                <w:rFonts w:ascii="Times New Roman" w:hAnsi="Times New Roman" w:cs="Times New Roman"/>
                <w:b/>
                <w:sz w:val="24"/>
                <w:szCs w:val="24"/>
              </w:rPr>
              <w:t>941 dėl pasirengimo valdyti riziką elektros energetikos sektoriuje</w:t>
            </w:r>
            <w:r w:rsidR="00217631">
              <w:rPr>
                <w:rFonts w:ascii="Times New Roman" w:hAnsi="Times New Roman" w:cs="Times New Roman"/>
                <w:b/>
                <w:sz w:val="24"/>
                <w:szCs w:val="24"/>
              </w:rPr>
              <w:t xml:space="preserve">, kuriuo panaikinama Direktyva 2005/89/EB </w:t>
            </w:r>
          </w:p>
        </w:tc>
        <w:tc>
          <w:tcPr>
            <w:tcW w:w="6811" w:type="dxa"/>
          </w:tcPr>
          <w:p w14:paraId="453C2F52" w14:textId="1FDB1F3A" w:rsidR="00363BCF" w:rsidRPr="00E921FC" w:rsidRDefault="00FF0D51" w:rsidP="00FF0D51">
            <w:pPr>
              <w:jc w:val="both"/>
            </w:pPr>
            <w:r>
              <w:rPr>
                <w:b/>
              </w:rPr>
              <w:t>Lietuvos Respublikos Vyriausybės nutarimo „</w:t>
            </w:r>
            <w:r>
              <w:rPr>
                <w:b/>
                <w:szCs w:val="20"/>
              </w:rPr>
              <w:t>D</w:t>
            </w:r>
            <w:r w:rsidRPr="00C35262">
              <w:rPr>
                <w:b/>
                <w:szCs w:val="20"/>
              </w:rPr>
              <w:t xml:space="preserve">ėl </w:t>
            </w:r>
            <w:r>
              <w:rPr>
                <w:b/>
                <w:bCs/>
                <w:color w:val="000000"/>
              </w:rPr>
              <w:t>E</w:t>
            </w:r>
            <w:r w:rsidRPr="001D7BA2">
              <w:rPr>
                <w:b/>
                <w:bCs/>
                <w:color w:val="000000"/>
              </w:rPr>
              <w:t>lektros energijos tiekimo saugumo užtikrinimo priemonių apraš</w:t>
            </w:r>
            <w:r>
              <w:rPr>
                <w:b/>
                <w:bCs/>
                <w:color w:val="000000"/>
              </w:rPr>
              <w:t>o patvirtinimo“</w:t>
            </w:r>
            <w:r>
              <w:rPr>
                <w:b/>
              </w:rPr>
              <w:t xml:space="preserve"> </w:t>
            </w:r>
            <w:r w:rsidRPr="00E921FC">
              <w:rPr>
                <w:b/>
              </w:rPr>
              <w:t>projekt</w:t>
            </w:r>
            <w:r w:rsidR="00CB67D6">
              <w:rPr>
                <w:b/>
              </w:rPr>
              <w:t>as</w:t>
            </w:r>
          </w:p>
        </w:tc>
        <w:tc>
          <w:tcPr>
            <w:tcW w:w="1800" w:type="dxa"/>
          </w:tcPr>
          <w:p w14:paraId="30F0320F" w14:textId="52EC028F" w:rsidR="00585C9A" w:rsidRPr="00E921FC" w:rsidRDefault="00217631" w:rsidP="002E15B0">
            <w:pPr>
              <w:pStyle w:val="HTMLPreformatted"/>
              <w:rPr>
                <w:rFonts w:ascii="Times New Roman" w:hAnsi="Times New Roman" w:cs="Times New Roman"/>
                <w:b/>
                <w:sz w:val="24"/>
                <w:szCs w:val="24"/>
              </w:rPr>
            </w:pPr>
            <w:r>
              <w:rPr>
                <w:rFonts w:ascii="Times New Roman" w:hAnsi="Times New Roman" w:cs="Times New Roman"/>
                <w:b/>
                <w:sz w:val="24"/>
                <w:szCs w:val="24"/>
              </w:rPr>
              <w:t xml:space="preserve">Reglamento </w:t>
            </w:r>
            <w:r w:rsidR="00585C9A" w:rsidRPr="00E921FC">
              <w:rPr>
                <w:rFonts w:ascii="Times New Roman" w:hAnsi="Times New Roman" w:cs="Times New Roman"/>
                <w:b/>
                <w:sz w:val="24"/>
                <w:szCs w:val="24"/>
              </w:rPr>
              <w:t>įgyvendinimo lygis (visiškas, dalinis)</w:t>
            </w:r>
          </w:p>
        </w:tc>
      </w:tr>
      <w:tr w:rsidR="0077486A" w:rsidRPr="00E921FC" w14:paraId="4114325A" w14:textId="77777777" w:rsidTr="00960674">
        <w:trPr>
          <w:trHeight w:val="70"/>
        </w:trPr>
        <w:tc>
          <w:tcPr>
            <w:tcW w:w="6237" w:type="dxa"/>
          </w:tcPr>
          <w:p w14:paraId="3EBCC8FF" w14:textId="7D1A1308" w:rsidR="00EF3169" w:rsidRDefault="0078527B" w:rsidP="00EF3169">
            <w:pPr>
              <w:jc w:val="both"/>
              <w:rPr>
                <w:b/>
                <w:bCs/>
                <w:color w:val="000000"/>
                <w:shd w:val="clear" w:color="auto" w:fill="FFFFFF"/>
              </w:rPr>
            </w:pPr>
            <w:r w:rsidRPr="0078527B">
              <w:rPr>
                <w:b/>
                <w:bCs/>
                <w:color w:val="000000"/>
                <w:shd w:val="clear" w:color="auto" w:fill="FFFFFF"/>
              </w:rPr>
              <w:t xml:space="preserve">6 </w:t>
            </w:r>
            <w:r w:rsidR="00EF3169" w:rsidRPr="00EF3169">
              <w:rPr>
                <w:b/>
                <w:bCs/>
                <w:color w:val="000000"/>
                <w:shd w:val="clear" w:color="auto" w:fill="FFFFFF"/>
              </w:rPr>
              <w:t>straipsnis</w:t>
            </w:r>
            <w:r w:rsidRPr="0078527B">
              <w:rPr>
                <w:b/>
                <w:bCs/>
                <w:color w:val="000000"/>
                <w:shd w:val="clear" w:color="auto" w:fill="FFFFFF"/>
              </w:rPr>
              <w:t>.</w:t>
            </w:r>
            <w:r>
              <w:rPr>
                <w:b/>
                <w:bCs/>
                <w:i/>
                <w:iCs/>
                <w:color w:val="000000"/>
                <w:shd w:val="clear" w:color="auto" w:fill="FFFFFF"/>
              </w:rPr>
              <w:t xml:space="preserve"> </w:t>
            </w:r>
            <w:r w:rsidR="00EF3169" w:rsidRPr="00EF3169">
              <w:rPr>
                <w:b/>
                <w:bCs/>
                <w:color w:val="000000"/>
                <w:shd w:val="clear" w:color="auto" w:fill="FFFFFF"/>
              </w:rPr>
              <w:t>Regioninių elektros energijos sektoriaus krizės scenarijų nustatymas</w:t>
            </w:r>
          </w:p>
          <w:p w14:paraId="6C591862" w14:textId="77777777" w:rsidR="001F4692" w:rsidRPr="00EF3169" w:rsidRDefault="001F4692" w:rsidP="00EF3169">
            <w:pPr>
              <w:jc w:val="both"/>
              <w:rPr>
                <w:b/>
                <w:bCs/>
                <w:i/>
                <w:iCs/>
                <w:color w:val="000000"/>
                <w:shd w:val="clear" w:color="auto" w:fill="FFFFFF"/>
              </w:rPr>
            </w:pPr>
          </w:p>
          <w:p w14:paraId="12522F31" w14:textId="4491AD2F" w:rsidR="0077486A" w:rsidRPr="00013A8F" w:rsidRDefault="00EF3169" w:rsidP="0077486A">
            <w:pPr>
              <w:jc w:val="both"/>
              <w:rPr>
                <w:color w:val="000000"/>
                <w:shd w:val="clear" w:color="auto" w:fill="FFFFFF"/>
              </w:rPr>
            </w:pPr>
            <w:r w:rsidRPr="00EF3169">
              <w:rPr>
                <w:color w:val="000000"/>
                <w:shd w:val="clear" w:color="auto" w:fill="FFFFFF"/>
              </w:rPr>
              <w:t>1.   Per šešis mėnesius po metodikos patvirtinimo pagal 5 straipsnio 6 dalį ENTSO-E, remdamasis ta metodika ir glaudžiai bendradarbiaudamas su ECG, regioniniais koordinavimo centrais, kompetentingomis institucijomis ir reguliavimo institucijomis, nustato kiekvieno regiono aktualiausius elektros energijos sektoriaus krizės scenarijus. Jis gali su regioninių elektros energijos sektoriaus krizės scenarijų nustatymu susijusias užduotis perduoti regioniniams koordinavimo centrams.</w:t>
            </w:r>
          </w:p>
        </w:tc>
        <w:tc>
          <w:tcPr>
            <w:tcW w:w="6811" w:type="dxa"/>
          </w:tcPr>
          <w:p w14:paraId="4C53C23C" w14:textId="77777777" w:rsidR="00BF198B" w:rsidRDefault="00BF198B" w:rsidP="0078527B">
            <w:pPr>
              <w:jc w:val="both"/>
            </w:pPr>
          </w:p>
          <w:p w14:paraId="322C89B0" w14:textId="310958D2" w:rsidR="00BF198B" w:rsidRDefault="00BF198B" w:rsidP="0078527B">
            <w:pPr>
              <w:jc w:val="both"/>
            </w:pPr>
          </w:p>
          <w:p w14:paraId="4EA13573" w14:textId="77777777" w:rsidR="001F4692" w:rsidRDefault="001F4692" w:rsidP="0078527B">
            <w:pPr>
              <w:jc w:val="both"/>
            </w:pPr>
          </w:p>
          <w:p w14:paraId="30BE71BD" w14:textId="3867E2CA" w:rsidR="00A4362C" w:rsidRDefault="007E6DF4" w:rsidP="0078527B">
            <w:pPr>
              <w:jc w:val="both"/>
            </w:pPr>
            <w:r>
              <w:t>4</w:t>
            </w:r>
            <w:r w:rsidR="00A4362C">
              <w:t xml:space="preserve">. </w:t>
            </w:r>
            <w:r w:rsidR="00A4362C" w:rsidRPr="00666B3B">
              <w:rPr>
                <w:lang w:val="en-US"/>
              </w:rPr>
              <w:t xml:space="preserve">Europos </w:t>
            </w:r>
            <w:r w:rsidR="00A4362C" w:rsidRPr="0085262B">
              <w:t>elektros perdavimo sistemos operatorių asociacija</w:t>
            </w:r>
            <w:r w:rsidR="00A4362C" w:rsidRPr="00666B3B" w:rsidDel="00666B3B">
              <w:t xml:space="preserve"> </w:t>
            </w:r>
            <w:r w:rsidR="00A4362C">
              <w:t>(toliau – ENTSO-E), remdamasi Regioninių elektros energetikos sektoriaus krizės scenarijų nustatymo metodika, nustato kiekvieno regiono aktualiausius elektros energetikos sektoriaus krizės scenarijus (toliau – regioniniai krizės scenarijai).</w:t>
            </w:r>
          </w:p>
          <w:p w14:paraId="75E93547" w14:textId="739EDE2E" w:rsidR="0077486A" w:rsidRPr="00813D3A" w:rsidRDefault="0077486A" w:rsidP="0077486A">
            <w:pPr>
              <w:jc w:val="both"/>
              <w:rPr>
                <w:rFonts w:eastAsia="Calibri"/>
                <w:b/>
                <w:bCs/>
                <w:lang w:eastAsia="en-US"/>
              </w:rPr>
            </w:pPr>
          </w:p>
        </w:tc>
        <w:tc>
          <w:tcPr>
            <w:tcW w:w="1800" w:type="dxa"/>
          </w:tcPr>
          <w:p w14:paraId="0EADEAC5" w14:textId="32D710B4" w:rsidR="0077486A" w:rsidRPr="001D55A4" w:rsidRDefault="0077486A" w:rsidP="0077486A">
            <w:pPr>
              <w:rPr>
                <w:b/>
                <w:bCs/>
              </w:rPr>
            </w:pPr>
            <w:r w:rsidRPr="00BF198B">
              <w:rPr>
                <w:b/>
                <w:bCs/>
              </w:rPr>
              <w:t>Visiškas</w:t>
            </w:r>
          </w:p>
        </w:tc>
      </w:tr>
      <w:tr w:rsidR="002A6BE2" w:rsidRPr="005D2C4C" w14:paraId="38E96419" w14:textId="77777777" w:rsidTr="00357429">
        <w:trPr>
          <w:trHeight w:val="70"/>
        </w:trPr>
        <w:tc>
          <w:tcPr>
            <w:tcW w:w="6237" w:type="dxa"/>
          </w:tcPr>
          <w:p w14:paraId="3CA3E1C1" w14:textId="198C495B" w:rsidR="002A6BE2" w:rsidRDefault="002A6BE2" w:rsidP="00357429">
            <w:pPr>
              <w:jc w:val="both"/>
              <w:rPr>
                <w:b/>
                <w:bCs/>
                <w:color w:val="000000"/>
                <w:shd w:val="clear" w:color="auto" w:fill="FFFFFF"/>
              </w:rPr>
            </w:pPr>
            <w:r w:rsidRPr="005B7627">
              <w:rPr>
                <w:b/>
                <w:bCs/>
                <w:color w:val="000000"/>
                <w:shd w:val="clear" w:color="auto" w:fill="FFFFFF"/>
              </w:rPr>
              <w:t>7 straipsnis.</w:t>
            </w:r>
            <w:r>
              <w:rPr>
                <w:b/>
                <w:bCs/>
                <w:i/>
                <w:iCs/>
                <w:color w:val="000000"/>
                <w:shd w:val="clear" w:color="auto" w:fill="FFFFFF"/>
              </w:rPr>
              <w:t xml:space="preserve"> </w:t>
            </w:r>
            <w:r w:rsidRPr="005B7627">
              <w:rPr>
                <w:b/>
                <w:bCs/>
                <w:color w:val="000000"/>
                <w:shd w:val="clear" w:color="auto" w:fill="FFFFFF"/>
              </w:rPr>
              <w:t>Nacionalinių elektros energijos sektoriaus krizės scenarijų nustatymas</w:t>
            </w:r>
          </w:p>
          <w:p w14:paraId="35E6F3F6" w14:textId="77777777" w:rsidR="001F4692" w:rsidRPr="005B7627" w:rsidRDefault="001F4692" w:rsidP="00357429">
            <w:pPr>
              <w:jc w:val="both"/>
              <w:rPr>
                <w:b/>
                <w:bCs/>
                <w:i/>
                <w:iCs/>
                <w:color w:val="000000"/>
                <w:shd w:val="clear" w:color="auto" w:fill="FFFFFF"/>
              </w:rPr>
            </w:pPr>
          </w:p>
          <w:p w14:paraId="10E76565" w14:textId="214DD727" w:rsidR="00BD37BD" w:rsidRDefault="002A6BE2" w:rsidP="00357429">
            <w:pPr>
              <w:jc w:val="both"/>
              <w:rPr>
                <w:color w:val="000000"/>
                <w:shd w:val="clear" w:color="auto" w:fill="FFFFFF"/>
              </w:rPr>
            </w:pPr>
            <w:r w:rsidRPr="005B7627">
              <w:rPr>
                <w:color w:val="000000"/>
                <w:shd w:val="clear" w:color="auto" w:fill="FFFFFF"/>
              </w:rPr>
              <w:t>1.   Per keturis mėnesius po regioninių elektros energijos sektoriaus krizės scenarijų nustatymo pagal 6 straipsnio 1 dalį kompetentinga institucija nustato aktualiausius nacionalinius elektros energijos sektoriaus krizės scenarijus.</w:t>
            </w:r>
          </w:p>
          <w:p w14:paraId="4243B1CF" w14:textId="77777777" w:rsidR="001F4692" w:rsidRDefault="001F4692" w:rsidP="00357429">
            <w:pPr>
              <w:jc w:val="both"/>
              <w:rPr>
                <w:color w:val="000000"/>
                <w:shd w:val="clear" w:color="auto" w:fill="FFFFFF"/>
              </w:rPr>
            </w:pPr>
          </w:p>
          <w:p w14:paraId="26D1ABE4" w14:textId="29B1466C" w:rsidR="002A6BE2" w:rsidRPr="005B7627" w:rsidRDefault="002A6BE2" w:rsidP="00357429">
            <w:pPr>
              <w:jc w:val="both"/>
              <w:rPr>
                <w:color w:val="000000"/>
                <w:shd w:val="clear" w:color="auto" w:fill="FFFFFF"/>
              </w:rPr>
            </w:pPr>
            <w:r w:rsidRPr="005B7627">
              <w:rPr>
                <w:color w:val="000000"/>
                <w:shd w:val="clear" w:color="auto" w:fill="FFFFFF"/>
              </w:rPr>
              <w:t>2.   Nustatydama nacionalinius elektros energijos sektoriaus krizės scenarijus, kompetentinga institucija konsultuojasi su perdavimo sistemos operatoriais, skirstymo sistemos operatoriais, kuriuos kompetentinga institucija laiko svarbiais, atitinkamais gamintojais arba jų prekybos organizacijomis ir reguliavimo institucija, jeigu ji nėra kompetentinga institucija.</w:t>
            </w:r>
          </w:p>
          <w:p w14:paraId="4CF113FD" w14:textId="7C5A76A1" w:rsidR="002A6BE2" w:rsidRPr="005B7627" w:rsidRDefault="00EA1346" w:rsidP="00357429">
            <w:pPr>
              <w:jc w:val="both"/>
              <w:rPr>
                <w:color w:val="000000"/>
                <w:shd w:val="clear" w:color="auto" w:fill="FFFFFF"/>
              </w:rPr>
            </w:pPr>
            <w:r w:rsidRPr="00EA1346">
              <w:rPr>
                <w:color w:val="000000"/>
                <w:shd w:val="clear" w:color="auto" w:fill="FFFFFF"/>
              </w:rPr>
              <w:lastRenderedPageBreak/>
              <w:t>4.   Per keturis mėnesius po regioninių elektros energijos sektoriaus krizės scenarijų nustatymo pagal 6 straipsnio 1 dalį valstybės narės informuoja ECG ir Komisiją apie jų atliktą rizikos, susijusios su elektros energijos tiekimo saugumui svarbios infrastruktūros nuosavybės teisėmis, vertinimą ir visas priemones, kurių imtasi siekiant užkirsti kelią tokiai rizikai arba ją sumažinti, kartu nurodydamos, kodėl tokios priemonės laikomos būtinomis ir proporcingomis.</w:t>
            </w:r>
          </w:p>
        </w:tc>
        <w:tc>
          <w:tcPr>
            <w:tcW w:w="6811" w:type="dxa"/>
          </w:tcPr>
          <w:p w14:paraId="4D8E31FB" w14:textId="77777777" w:rsidR="006B0295" w:rsidRDefault="006B0295" w:rsidP="002942DE">
            <w:pPr>
              <w:jc w:val="both"/>
            </w:pPr>
          </w:p>
          <w:p w14:paraId="69489B8E" w14:textId="7829FE47" w:rsidR="006B0295" w:rsidRDefault="006B0295" w:rsidP="002942DE">
            <w:pPr>
              <w:jc w:val="both"/>
            </w:pPr>
          </w:p>
          <w:p w14:paraId="7E0CE8CB" w14:textId="77777777" w:rsidR="001F4692" w:rsidRDefault="001F4692" w:rsidP="002942DE">
            <w:pPr>
              <w:jc w:val="both"/>
            </w:pPr>
          </w:p>
          <w:p w14:paraId="66C921BD" w14:textId="71407EB7" w:rsidR="00CF5B3C" w:rsidRDefault="00E3192D" w:rsidP="002942DE">
            <w:pPr>
              <w:jc w:val="both"/>
            </w:pPr>
            <w:r>
              <w:t>5</w:t>
            </w:r>
            <w:r w:rsidR="002942DE">
              <w:t xml:space="preserve">. </w:t>
            </w:r>
            <w:r w:rsidR="005E3926">
              <w:t xml:space="preserve">Agentūra, remdamasi regioniniais krizės scenarijais, </w:t>
            </w:r>
            <w:r w:rsidR="005E3926" w:rsidRPr="76E147F8">
              <w:t>Reglamento (ES) 2019/941</w:t>
            </w:r>
            <w:r w:rsidR="005E3926">
              <w:t xml:space="preserve"> </w:t>
            </w:r>
            <w:r w:rsidR="005E3926" w:rsidRPr="76E147F8">
              <w:t>7 straipsnyje nustatytais terminais</w:t>
            </w:r>
            <w:r w:rsidR="005E3926">
              <w:t xml:space="preserve"> ir tvarka, identifikuoja nacionalinius krizės scenarijus ir pateikia juos Energetikos ministerijai</w:t>
            </w:r>
            <w:r w:rsidR="002942DE">
              <w:t>.</w:t>
            </w:r>
          </w:p>
          <w:p w14:paraId="0C10D723" w14:textId="77777777" w:rsidR="001F4692" w:rsidRDefault="001F4692" w:rsidP="002942DE">
            <w:pPr>
              <w:jc w:val="both"/>
            </w:pPr>
          </w:p>
          <w:p w14:paraId="7DB0573B" w14:textId="25EA133A" w:rsidR="00DB0B83" w:rsidRDefault="00034676" w:rsidP="00DB23DE">
            <w:pPr>
              <w:jc w:val="both"/>
            </w:pPr>
            <w:r>
              <w:t xml:space="preserve">6. Agentūra, identifikuodama nacionalinius krizės scenarijus, bendradarbiauja su elektros energijos perdavimo sistemos operatoriumi (toliau – PSO) ir konsultuojasi su </w:t>
            </w:r>
            <w:r w:rsidRPr="76E147F8">
              <w:t>Energetikos ministerija, Taryba</w:t>
            </w:r>
            <w:r>
              <w:t xml:space="preserve">, </w:t>
            </w:r>
            <w:r w:rsidRPr="001E10CF">
              <w:t>skirstomųjų tinklų operatoriumi (toliau – STO)</w:t>
            </w:r>
            <w:r>
              <w:t>, elektros energijos biržos operatoriumi, kitais suinteresuotais elektros energijos</w:t>
            </w:r>
            <w:r w:rsidRPr="76E147F8">
              <w:t xml:space="preserve"> gamintojais ir</w:t>
            </w:r>
            <w:r>
              <w:t xml:space="preserve"> paslaugų teikėjais</w:t>
            </w:r>
            <w:r w:rsidR="002942DE">
              <w:t xml:space="preserve">. </w:t>
            </w:r>
          </w:p>
          <w:p w14:paraId="30C0E93C" w14:textId="01D413CA" w:rsidR="002942DE" w:rsidRDefault="009A5A44" w:rsidP="00626BC9">
            <w:pPr>
              <w:jc w:val="both"/>
            </w:pPr>
            <w:r>
              <w:lastRenderedPageBreak/>
              <w:t xml:space="preserve">8. </w:t>
            </w:r>
            <w:r w:rsidRPr="76E147F8">
              <w:t>Energetikos ministerija</w:t>
            </w:r>
            <w:r>
              <w:t>,</w:t>
            </w:r>
            <w:r w:rsidRPr="76E147F8">
              <w:t xml:space="preserve"> </w:t>
            </w:r>
            <w:r>
              <w:t>išanalizavusi ir įvertinusi Aprašo 7 punkte nurodytą informaciją, susijusią su rizikų</w:t>
            </w:r>
            <w:r w:rsidRPr="00635E04">
              <w:t xml:space="preserve"> </w:t>
            </w:r>
            <w:r>
              <w:t>vertinimu, p</w:t>
            </w:r>
            <w:r w:rsidRPr="76E147F8">
              <w:t xml:space="preserve">ateikia </w:t>
            </w:r>
            <w:r>
              <w:t xml:space="preserve">ją </w:t>
            </w:r>
            <w:r w:rsidRPr="76E147F8">
              <w:t>Europos Komisijai</w:t>
            </w:r>
            <w:r>
              <w:t xml:space="preserve"> </w:t>
            </w:r>
            <w:r w:rsidRPr="76E147F8">
              <w:t xml:space="preserve">ir </w:t>
            </w:r>
            <w:r>
              <w:t>Elektros energetikos sektoriaus veiklos koordinavimo grupei</w:t>
            </w:r>
            <w:r w:rsidR="002942DE" w:rsidRPr="76E147F8">
              <w:t>.</w:t>
            </w:r>
          </w:p>
          <w:p w14:paraId="48B4AA7E" w14:textId="6C624AE6" w:rsidR="002A6BE2" w:rsidRPr="00626BC9" w:rsidRDefault="002A6BE2" w:rsidP="00626BC9">
            <w:pPr>
              <w:jc w:val="both"/>
            </w:pPr>
          </w:p>
        </w:tc>
        <w:tc>
          <w:tcPr>
            <w:tcW w:w="1800" w:type="dxa"/>
          </w:tcPr>
          <w:p w14:paraId="79331CEB" w14:textId="0DA7114B" w:rsidR="002A6BE2" w:rsidRPr="005D2C4C" w:rsidRDefault="00592503" w:rsidP="00357429">
            <w:r w:rsidRPr="00BF198B">
              <w:rPr>
                <w:b/>
                <w:bCs/>
              </w:rPr>
              <w:lastRenderedPageBreak/>
              <w:t>Visiškas</w:t>
            </w:r>
          </w:p>
        </w:tc>
      </w:tr>
      <w:tr w:rsidR="0077486A" w:rsidRPr="00E921FC" w14:paraId="56343EB5" w14:textId="77777777" w:rsidTr="00960674">
        <w:trPr>
          <w:trHeight w:val="70"/>
        </w:trPr>
        <w:tc>
          <w:tcPr>
            <w:tcW w:w="6237" w:type="dxa"/>
          </w:tcPr>
          <w:p w14:paraId="7901EBC1" w14:textId="7331F950" w:rsidR="0077486A" w:rsidRDefault="0077486A" w:rsidP="0077486A">
            <w:pPr>
              <w:jc w:val="both"/>
              <w:rPr>
                <w:b/>
                <w:bCs/>
                <w:color w:val="000000"/>
                <w:shd w:val="clear" w:color="auto" w:fill="FFFFFF"/>
              </w:rPr>
            </w:pPr>
            <w:r>
              <w:rPr>
                <w:b/>
                <w:bCs/>
                <w:color w:val="000000"/>
                <w:shd w:val="clear" w:color="auto" w:fill="FFFFFF"/>
              </w:rPr>
              <w:t>10 straipsnis. Pasirengimo valdyti riziką planų rengimas</w:t>
            </w:r>
          </w:p>
          <w:p w14:paraId="5F3655A4" w14:textId="77777777" w:rsidR="0059251C" w:rsidRDefault="0059251C" w:rsidP="0077486A">
            <w:pPr>
              <w:jc w:val="both"/>
              <w:rPr>
                <w:b/>
                <w:bCs/>
                <w:color w:val="000000"/>
                <w:shd w:val="clear" w:color="auto" w:fill="FFFFFF"/>
              </w:rPr>
            </w:pPr>
          </w:p>
          <w:p w14:paraId="0A2C1911" w14:textId="3C459D89" w:rsidR="0077486A" w:rsidRDefault="0077486A" w:rsidP="0077486A">
            <w:pPr>
              <w:jc w:val="both"/>
              <w:rPr>
                <w:color w:val="000000"/>
                <w:shd w:val="clear" w:color="auto" w:fill="FFFFFF"/>
              </w:rPr>
            </w:pPr>
            <w:r>
              <w:rPr>
                <w:color w:val="000000"/>
                <w:shd w:val="clear" w:color="auto" w:fill="FFFFFF"/>
              </w:rPr>
              <w:t>1.   Remdamasi pagal 6 ir 7 straipsnius nustatytais regioniniais ir nacionaliniais elektros energijos sektoriaus krizės scenarijais, kiekvienos valstybės narės kompetentinga institucija, pasikonsultavusi su skirstymo sistemos operatoriais, kuriuos kompetentinga institucija laiko svarbiais, perdavimo sistemos operatoriais, atitinkamais gamintojais arba jų prekybos organizacijomis, elektros energijos ir gamtinių dujų įmonėmis, atitinkamomis pramoninių ir nepramoninių elektros energijos vartotojų interesams atstovaujančiomis organizacijomis ir reguliavimo institucija, jeigu ji nėra kompetentinga institucija, parengia pasirengimo valdyti riziką planą.</w:t>
            </w:r>
          </w:p>
          <w:p w14:paraId="55B95866" w14:textId="77777777" w:rsidR="00852007" w:rsidRDefault="00852007" w:rsidP="0077486A">
            <w:pPr>
              <w:jc w:val="both"/>
              <w:rPr>
                <w:color w:val="000000"/>
                <w:shd w:val="clear" w:color="auto" w:fill="FFFFFF"/>
              </w:rPr>
            </w:pPr>
          </w:p>
          <w:p w14:paraId="3B85023B" w14:textId="5517C530" w:rsidR="00E966EF" w:rsidRDefault="00E966EF" w:rsidP="00E966EF">
            <w:pPr>
              <w:jc w:val="both"/>
              <w:rPr>
                <w:color w:val="000000"/>
                <w:shd w:val="clear" w:color="auto" w:fill="FFFFFF"/>
              </w:rPr>
            </w:pPr>
            <w:r w:rsidRPr="00E966EF">
              <w:rPr>
                <w:color w:val="000000"/>
                <w:shd w:val="clear" w:color="auto" w:fill="FFFFFF"/>
              </w:rPr>
              <w:t>3.   Pasirengimo valdyti riziką planas rengiamas remiantis 11 ir 12 straipsniais ir priede pateiktu šablonu. Prireikus valstybės narės į pasirengimo valdyti riziką planą gali įtraukti papildomos informacijos.</w:t>
            </w:r>
          </w:p>
          <w:p w14:paraId="0BF49B02" w14:textId="77777777" w:rsidR="00CA6954" w:rsidRPr="00E966EF" w:rsidRDefault="00CA6954" w:rsidP="00E966EF">
            <w:pPr>
              <w:jc w:val="both"/>
              <w:rPr>
                <w:color w:val="000000"/>
                <w:shd w:val="clear" w:color="auto" w:fill="FFFFFF"/>
              </w:rPr>
            </w:pPr>
          </w:p>
          <w:p w14:paraId="45F9ED6C" w14:textId="77777777" w:rsidR="00881454" w:rsidRDefault="00881454" w:rsidP="00E966EF">
            <w:pPr>
              <w:jc w:val="both"/>
              <w:rPr>
                <w:color w:val="000000"/>
                <w:shd w:val="clear" w:color="auto" w:fill="FFFFFF"/>
              </w:rPr>
            </w:pPr>
          </w:p>
          <w:p w14:paraId="55628EC8" w14:textId="1A188A2D" w:rsidR="00A16EAA" w:rsidRDefault="00A16EAA" w:rsidP="00E966EF">
            <w:pPr>
              <w:jc w:val="both"/>
              <w:rPr>
                <w:color w:val="000000"/>
                <w:shd w:val="clear" w:color="auto" w:fill="FFFFFF"/>
              </w:rPr>
            </w:pPr>
          </w:p>
          <w:p w14:paraId="3A79A954" w14:textId="6861D235" w:rsidR="00A16EAA" w:rsidRDefault="00A16EAA" w:rsidP="00E966EF">
            <w:pPr>
              <w:jc w:val="both"/>
              <w:rPr>
                <w:color w:val="000000"/>
                <w:shd w:val="clear" w:color="auto" w:fill="FFFFFF"/>
              </w:rPr>
            </w:pPr>
          </w:p>
          <w:p w14:paraId="0BCA1B2A" w14:textId="6380E0EA" w:rsidR="00A16EAA" w:rsidRDefault="00A16EAA" w:rsidP="00E966EF">
            <w:pPr>
              <w:jc w:val="both"/>
              <w:rPr>
                <w:color w:val="000000"/>
                <w:shd w:val="clear" w:color="auto" w:fill="FFFFFF"/>
              </w:rPr>
            </w:pPr>
          </w:p>
          <w:p w14:paraId="624155DC" w14:textId="7F87C57D" w:rsidR="00A16EAA" w:rsidRDefault="00A16EAA" w:rsidP="00E966EF">
            <w:pPr>
              <w:jc w:val="both"/>
              <w:rPr>
                <w:color w:val="000000"/>
                <w:shd w:val="clear" w:color="auto" w:fill="FFFFFF"/>
              </w:rPr>
            </w:pPr>
          </w:p>
          <w:p w14:paraId="16B0542F" w14:textId="059A47A6" w:rsidR="00A16EAA" w:rsidRDefault="00A16EAA" w:rsidP="00E966EF">
            <w:pPr>
              <w:jc w:val="both"/>
              <w:rPr>
                <w:color w:val="000000"/>
                <w:shd w:val="clear" w:color="auto" w:fill="FFFFFF"/>
              </w:rPr>
            </w:pPr>
          </w:p>
          <w:p w14:paraId="4CAAFE24" w14:textId="77777777" w:rsidR="00A16EAA" w:rsidRDefault="00A16EAA" w:rsidP="00E966EF">
            <w:pPr>
              <w:jc w:val="both"/>
              <w:rPr>
                <w:color w:val="000000"/>
                <w:shd w:val="clear" w:color="auto" w:fill="FFFFFF"/>
              </w:rPr>
            </w:pPr>
          </w:p>
          <w:p w14:paraId="1AD4C227" w14:textId="3E15CA9A" w:rsidR="00181919" w:rsidRDefault="00E966EF" w:rsidP="00E966EF">
            <w:pPr>
              <w:jc w:val="both"/>
              <w:rPr>
                <w:color w:val="000000"/>
                <w:shd w:val="clear" w:color="auto" w:fill="FFFFFF"/>
              </w:rPr>
            </w:pPr>
            <w:r w:rsidRPr="00E966EF">
              <w:rPr>
                <w:color w:val="000000"/>
                <w:shd w:val="clear" w:color="auto" w:fill="FFFFFF"/>
              </w:rPr>
              <w:lastRenderedPageBreak/>
              <w:t>4.   Siekdamos užtikrinti pasirengimo valdyti riziką planų nuoseklumą, kompetentingos institucijos, prieš priimdamos savo pasirengimo valdyti riziką planus, pateikia planų projektus konsultacijų tikslu atitinkamų regiono valstybių narių kompetentingoms institucijoms ir, jei jos nėra tame pačiame regione, tiesiogiai sujungtų valstybių narių kompetentingoms institucijoms ir ECG.</w:t>
            </w:r>
          </w:p>
          <w:p w14:paraId="1671EABE" w14:textId="02B35FB3" w:rsidR="00E966EF" w:rsidRDefault="00E966EF" w:rsidP="00E966EF">
            <w:pPr>
              <w:jc w:val="both"/>
              <w:rPr>
                <w:color w:val="000000"/>
                <w:shd w:val="clear" w:color="auto" w:fill="FFFFFF"/>
              </w:rPr>
            </w:pPr>
          </w:p>
          <w:p w14:paraId="366AFB91" w14:textId="77777777" w:rsidR="00164EF2" w:rsidRPr="00E966EF" w:rsidRDefault="00164EF2" w:rsidP="00E966EF">
            <w:pPr>
              <w:jc w:val="both"/>
              <w:rPr>
                <w:color w:val="000000"/>
                <w:shd w:val="clear" w:color="auto" w:fill="FFFFFF"/>
              </w:rPr>
            </w:pPr>
          </w:p>
          <w:p w14:paraId="321BEEF5" w14:textId="5EE39DFF" w:rsidR="00673DB7" w:rsidRDefault="00E966EF" w:rsidP="00E966EF">
            <w:pPr>
              <w:jc w:val="both"/>
              <w:rPr>
                <w:color w:val="000000"/>
                <w:shd w:val="clear" w:color="auto" w:fill="FFFFFF"/>
              </w:rPr>
            </w:pPr>
            <w:r w:rsidRPr="00E966EF">
              <w:rPr>
                <w:color w:val="000000"/>
                <w:shd w:val="clear" w:color="auto" w:fill="FFFFFF"/>
              </w:rPr>
              <w:t>6.   Per devynis mėnesius nuo savo planų projektų pateikimo susijusios kompetentingos institucijos patvirtina pasirengimo valdyti riziką planus, atsižvelgdamos į konsultacijų pagal 4 dalį rezultatus ir į visas pagal 5 dalį pateiktas rekomendacijas. Apie savo patvirtintus pasirengimo valdyti riziką planus jos nedelsdamos praneša Komisijai.</w:t>
            </w:r>
          </w:p>
          <w:p w14:paraId="5F0D2B55" w14:textId="77777777" w:rsidR="00673DB7" w:rsidRPr="00E966EF" w:rsidRDefault="00673DB7" w:rsidP="00E966EF">
            <w:pPr>
              <w:jc w:val="both"/>
              <w:rPr>
                <w:color w:val="000000"/>
                <w:shd w:val="clear" w:color="auto" w:fill="FFFFFF"/>
              </w:rPr>
            </w:pPr>
          </w:p>
          <w:p w14:paraId="01E11CD4" w14:textId="39B83D0D" w:rsidR="0077486A" w:rsidRPr="00F71A14" w:rsidRDefault="0077486A" w:rsidP="0077486A">
            <w:pPr>
              <w:jc w:val="both"/>
              <w:rPr>
                <w:color w:val="000000"/>
                <w:shd w:val="clear" w:color="auto" w:fill="FFFFFF"/>
              </w:rPr>
            </w:pPr>
            <w:r>
              <w:rPr>
                <w:color w:val="000000"/>
                <w:shd w:val="clear" w:color="auto" w:fill="FFFFFF"/>
              </w:rPr>
              <w:t>7.   Kompetentingos institucijos ir Komisija pasirengimo valdyti riziką planus paskelbia savo interneto svetainėse, užtikrindamos, kad būtų išlaikytas neskelbtinos informacijos konfidencialumas, ypač informacijos apie priemones, susijusias su piktavališkų išpuolių prevencija ir jų padarinių švelninimu. Neskelbtinos informacijos konfidencialumo apsauga yra grindžiama principais, nustatytais pagal 19 straipsnį.</w:t>
            </w:r>
          </w:p>
        </w:tc>
        <w:tc>
          <w:tcPr>
            <w:tcW w:w="6811" w:type="dxa"/>
          </w:tcPr>
          <w:p w14:paraId="4DE20789" w14:textId="42805DDA" w:rsidR="009E159B" w:rsidRDefault="009E159B" w:rsidP="00DB7282">
            <w:pPr>
              <w:jc w:val="both"/>
              <w:rPr>
                <w:rFonts w:eastAsia="Calibri"/>
                <w:lang w:eastAsia="en-US"/>
              </w:rPr>
            </w:pPr>
          </w:p>
          <w:p w14:paraId="519D55E7" w14:textId="77777777" w:rsidR="0059251C" w:rsidRDefault="0059251C" w:rsidP="00DB7282">
            <w:pPr>
              <w:jc w:val="both"/>
              <w:rPr>
                <w:rFonts w:eastAsia="Calibri"/>
                <w:lang w:eastAsia="en-US"/>
              </w:rPr>
            </w:pPr>
          </w:p>
          <w:p w14:paraId="49956FCA" w14:textId="77777777" w:rsidR="00A8657C" w:rsidRDefault="00A8657C" w:rsidP="00A8657C">
            <w:pPr>
              <w:jc w:val="both"/>
            </w:pPr>
            <w:r>
              <w:t>9</w:t>
            </w:r>
            <w:r w:rsidRPr="76E147F8">
              <w:t>. Agentūra</w:t>
            </w:r>
            <w:r>
              <w:t>,</w:t>
            </w:r>
            <w:r w:rsidRPr="76E147F8">
              <w:t xml:space="preserve"> </w:t>
            </w:r>
            <w:r>
              <w:t>r</w:t>
            </w:r>
            <w:r w:rsidRPr="76E147F8">
              <w:t>emdamasi regioniniais ir nacionaliniais krizės scenarijais, rengia Plan</w:t>
            </w:r>
            <w:r>
              <w:t>o</w:t>
            </w:r>
            <w:r w:rsidRPr="76E147F8">
              <w:t xml:space="preserve"> projektą ir iki 2021 m. kovo 15 d. pateikia jį Energetikos ministerijai.</w:t>
            </w:r>
          </w:p>
          <w:p w14:paraId="758D3E10" w14:textId="02999A8F" w:rsidR="00DB7282" w:rsidRPr="00A8657C" w:rsidRDefault="00A8657C" w:rsidP="00DB7282">
            <w:pPr>
              <w:jc w:val="both"/>
            </w:pPr>
            <w:r>
              <w:t xml:space="preserve">10. Plano projektą Agentūra rengia, bendradarbiaudama su PSO ir konsultuodamasi su </w:t>
            </w:r>
            <w:r w:rsidRPr="76E147F8">
              <w:t>Energetikos ministerija, Taryba</w:t>
            </w:r>
            <w:r>
              <w:t>, STO, elektros energijos biržos operatoriumi, kitais suinteresuotais elektros energijos</w:t>
            </w:r>
            <w:r w:rsidRPr="76E147F8">
              <w:t xml:space="preserve"> gamintojais ir p</w:t>
            </w:r>
            <w:r>
              <w:t>aslaugų teikėjais.</w:t>
            </w:r>
          </w:p>
          <w:p w14:paraId="1E9DB37E" w14:textId="77777777" w:rsidR="00CA6954" w:rsidRDefault="00CA6954" w:rsidP="00DB7282">
            <w:pPr>
              <w:jc w:val="both"/>
              <w:rPr>
                <w:rFonts w:eastAsia="Calibri"/>
                <w:lang w:eastAsia="en-US"/>
              </w:rPr>
            </w:pPr>
          </w:p>
          <w:p w14:paraId="2CA2B286" w14:textId="77777777" w:rsidR="00CA6954" w:rsidRDefault="00CA6954" w:rsidP="00DB7282">
            <w:pPr>
              <w:jc w:val="both"/>
              <w:rPr>
                <w:rFonts w:eastAsia="Calibri"/>
                <w:lang w:eastAsia="en-US"/>
              </w:rPr>
            </w:pPr>
          </w:p>
          <w:p w14:paraId="4D349EC9" w14:textId="77777777" w:rsidR="00CA6954" w:rsidRDefault="00CA6954" w:rsidP="00DB7282">
            <w:pPr>
              <w:jc w:val="both"/>
              <w:rPr>
                <w:rFonts w:eastAsia="Calibri"/>
                <w:lang w:eastAsia="en-US"/>
              </w:rPr>
            </w:pPr>
          </w:p>
          <w:p w14:paraId="284CFC59" w14:textId="5753FFF6" w:rsidR="00CA6954" w:rsidRDefault="00CA6954" w:rsidP="00DB7282">
            <w:pPr>
              <w:jc w:val="both"/>
              <w:rPr>
                <w:rFonts w:eastAsia="Calibri"/>
                <w:lang w:eastAsia="en-US"/>
              </w:rPr>
            </w:pPr>
          </w:p>
          <w:p w14:paraId="50EAA70F" w14:textId="77777777" w:rsidR="00CA6954" w:rsidRDefault="00CA6954" w:rsidP="00DB7282">
            <w:pPr>
              <w:jc w:val="both"/>
              <w:rPr>
                <w:rFonts w:eastAsia="Calibri"/>
                <w:lang w:eastAsia="en-US"/>
              </w:rPr>
            </w:pPr>
          </w:p>
          <w:p w14:paraId="737F8221" w14:textId="77777777" w:rsidR="00FC4AA8" w:rsidRDefault="00FC4AA8" w:rsidP="00FC4AA8">
            <w:pPr>
              <w:jc w:val="both"/>
            </w:pPr>
            <w:r>
              <w:t xml:space="preserve">11. Planą turi sudaryti aiškiai apibrėžtos, skaidrios, proporcingos ir nediskriminacinės,  nacionalinės priemonės, kurias ketinama taikyti, siekiant užkirsti kelią elektros energetikos sektoriaus krizėms, joms pasirengti ir jas sušvelninti, taip pat regioninės (dvišalės) priemonės, siekiant užtikrinti, kad būtų užkirstas kelias tarpvalstybinį poveikį turinčioms elektros energetikos sektoriaus krizėms arba kad jos būtų tinkamai valdomos. </w:t>
            </w:r>
          </w:p>
          <w:p w14:paraId="0E7D9B4E" w14:textId="20CF6EBB" w:rsidR="00DB7282" w:rsidRPr="002249DB" w:rsidRDefault="00FC4AA8" w:rsidP="00DB7282">
            <w:pPr>
              <w:jc w:val="both"/>
            </w:pPr>
            <w:r>
              <w:t>12. Į Planą turi būti įtrauktos Reglamento (ES) 2019/941 11 straipsnio 1 dalyje nurodytos ir kitos būtinos nacionalinės priemonės.</w:t>
            </w:r>
          </w:p>
          <w:p w14:paraId="2D8BE576" w14:textId="1715ECD2" w:rsidR="0059251C" w:rsidRPr="00DB7282" w:rsidRDefault="002249DB" w:rsidP="00DB7282">
            <w:pPr>
              <w:jc w:val="both"/>
              <w:rPr>
                <w:rFonts w:eastAsia="Calibri"/>
                <w:lang w:eastAsia="en-US"/>
              </w:rPr>
            </w:pPr>
            <w:r>
              <w:t>15. Planas rengiamas vadovaujantis Reglamento (ES) 2019/941 priedu. Prireikus į Planą gali būti įtraukta papildoma informacija.</w:t>
            </w:r>
          </w:p>
          <w:p w14:paraId="1A83F588" w14:textId="06C9B1B7" w:rsidR="00E5778D" w:rsidRDefault="00164EF2" w:rsidP="00DB7282">
            <w:pPr>
              <w:jc w:val="both"/>
            </w:pPr>
            <w:r>
              <w:lastRenderedPageBreak/>
              <w:t>16. Energetikos ministerija, siekdama užtikrinti pasirengimo valdyti riziką planų nuoseklumą tarpvalstybiniu lygmeniu, konsultacijų tikslu Reglamento (ES) 2019/941 10 straipsnio 4–6 dalyse nustatyta tvarka ir terminais pateikia Plano projektą atitinkamų regiono valstybių narių kompetentingoms institucijoms ir, jei jos nėra tame pačiame regione, tiesiogiai sujungtų valstybių narių kompetentingoms institucijoms ir Elektros energetikos sektoriaus veiklos koordinavimo grupei.</w:t>
            </w:r>
          </w:p>
          <w:p w14:paraId="52F11BF0" w14:textId="77777777" w:rsidR="00164EF2" w:rsidRPr="00DB7282" w:rsidRDefault="00164EF2" w:rsidP="00DB7282">
            <w:pPr>
              <w:jc w:val="both"/>
              <w:rPr>
                <w:rFonts w:eastAsia="Calibri"/>
                <w:lang w:eastAsia="en-US"/>
              </w:rPr>
            </w:pPr>
          </w:p>
          <w:p w14:paraId="1589AAD1" w14:textId="4E523ACC" w:rsidR="00DB7282" w:rsidRPr="00714148" w:rsidRDefault="00714148" w:rsidP="00DB7282">
            <w:pPr>
              <w:jc w:val="both"/>
            </w:pPr>
            <w:r>
              <w:t xml:space="preserve">17. Planą tvirtina Lietuvos Respublikos energetikos ministras, atsižvelgdamas į konsultacijų, nurodytų Aprašo 16 punkte, rezultatus ir gautas rekomendacijas. </w:t>
            </w:r>
            <w:r>
              <w:rPr>
                <w:color w:val="000000"/>
                <w:szCs w:val="20"/>
              </w:rPr>
              <w:t>P</w:t>
            </w:r>
            <w:r w:rsidRPr="00005541">
              <w:rPr>
                <w:color w:val="000000"/>
              </w:rPr>
              <w:t>lan</w:t>
            </w:r>
            <w:r>
              <w:rPr>
                <w:color w:val="000000"/>
              </w:rPr>
              <w:t>as turi būti patvirtintas iki 2022 m. sausio 5 d.</w:t>
            </w:r>
          </w:p>
          <w:p w14:paraId="13F60CED" w14:textId="33A7AAE2" w:rsidR="00673DB7" w:rsidRDefault="00673DB7" w:rsidP="00DB7282">
            <w:pPr>
              <w:jc w:val="both"/>
              <w:rPr>
                <w:rFonts w:eastAsia="Calibri"/>
                <w:lang w:eastAsia="en-US"/>
              </w:rPr>
            </w:pPr>
            <w:r w:rsidRPr="00DB7282">
              <w:rPr>
                <w:rFonts w:eastAsia="Calibri"/>
                <w:lang w:eastAsia="en-US"/>
              </w:rPr>
              <w:t>2</w:t>
            </w:r>
            <w:r w:rsidR="00954442">
              <w:rPr>
                <w:rFonts w:eastAsia="Calibri"/>
                <w:lang w:eastAsia="en-US"/>
              </w:rPr>
              <w:t>0</w:t>
            </w:r>
            <w:r w:rsidRPr="00DB7282">
              <w:rPr>
                <w:rFonts w:eastAsia="Calibri"/>
                <w:lang w:eastAsia="en-US"/>
              </w:rPr>
              <w:t xml:space="preserve">. Apie Plano patvirtinimą Energetikos ministerija nedelsdama informuoja Komisiją. </w:t>
            </w:r>
          </w:p>
          <w:p w14:paraId="67538861" w14:textId="77777777" w:rsidR="00E5778D" w:rsidRPr="00DB7282" w:rsidRDefault="00E5778D" w:rsidP="00DB7282">
            <w:pPr>
              <w:jc w:val="both"/>
              <w:rPr>
                <w:rFonts w:eastAsia="Calibri"/>
                <w:lang w:eastAsia="en-US"/>
              </w:rPr>
            </w:pPr>
          </w:p>
          <w:p w14:paraId="5D6AD543" w14:textId="11D2499D" w:rsidR="00DB7282" w:rsidRPr="00DB7282" w:rsidRDefault="00954442" w:rsidP="00DB7282">
            <w:pPr>
              <w:jc w:val="both"/>
              <w:rPr>
                <w:rFonts w:eastAsia="Calibri"/>
                <w:lang w:eastAsia="en-US"/>
              </w:rPr>
            </w:pPr>
            <w:r>
              <w:rPr>
                <w:rFonts w:eastAsia="Calibri"/>
                <w:lang w:eastAsia="en-US"/>
              </w:rPr>
              <w:t>18</w:t>
            </w:r>
            <w:r w:rsidR="00DB7282" w:rsidRPr="00DB7282">
              <w:rPr>
                <w:rFonts w:eastAsia="Calibri"/>
                <w:lang w:eastAsia="en-US"/>
              </w:rPr>
              <w:t xml:space="preserve">. </w:t>
            </w:r>
            <w:r w:rsidR="00C31AE7">
              <w:t>Patvirtintas Planas skelbiamas Energetikos ministerijos interneto svetainėje</w:t>
            </w:r>
            <w:r w:rsidR="00DB7282" w:rsidRPr="00DB7282">
              <w:rPr>
                <w:rFonts w:eastAsia="Calibri"/>
                <w:lang w:eastAsia="en-US"/>
              </w:rPr>
              <w:t xml:space="preserve">. </w:t>
            </w:r>
          </w:p>
          <w:p w14:paraId="343052E6" w14:textId="17865F75" w:rsidR="0077486A" w:rsidRPr="00DB7282" w:rsidRDefault="00F71A14" w:rsidP="00F71A14">
            <w:pPr>
              <w:jc w:val="both"/>
              <w:rPr>
                <w:rFonts w:eastAsia="Calibri"/>
                <w:lang w:eastAsia="en-US"/>
              </w:rPr>
            </w:pPr>
            <w:r>
              <w:rPr>
                <w:rFonts w:eastAsia="Calibri"/>
                <w:lang w:eastAsia="en-US"/>
              </w:rPr>
              <w:t>19</w:t>
            </w:r>
            <w:r w:rsidR="00DB7282" w:rsidRPr="00DB7282">
              <w:rPr>
                <w:rFonts w:eastAsia="Calibri"/>
                <w:lang w:eastAsia="en-US"/>
              </w:rPr>
              <w:t>. Skelbdama Planą, Energetikos ministerija turi užtikrinti, kad būtų išlaikytas neskelbtinos informacijos konfidencialumas, ypač informacijos apie priemones, susijusias su piktavališkų išpuolių prevencija ir jų padarinių švelninimu. Neskelbtinos informacijos konfidencialumo apsauga yra grindžiama principais, nustatytais Aprašo V skyriuje.</w:t>
            </w:r>
          </w:p>
        </w:tc>
        <w:tc>
          <w:tcPr>
            <w:tcW w:w="1800" w:type="dxa"/>
          </w:tcPr>
          <w:p w14:paraId="3CE91E17" w14:textId="10C39595" w:rsidR="0077486A" w:rsidRPr="00E921FC" w:rsidRDefault="00604104" w:rsidP="0077486A">
            <w:r>
              <w:rPr>
                <w:b/>
                <w:bCs/>
              </w:rPr>
              <w:lastRenderedPageBreak/>
              <w:t>Visiškas</w:t>
            </w:r>
          </w:p>
        </w:tc>
      </w:tr>
      <w:tr w:rsidR="00604104" w:rsidRPr="00E921FC" w14:paraId="4EEBB8CE" w14:textId="77777777" w:rsidTr="00960674">
        <w:trPr>
          <w:trHeight w:val="70"/>
        </w:trPr>
        <w:tc>
          <w:tcPr>
            <w:tcW w:w="6237" w:type="dxa"/>
          </w:tcPr>
          <w:p w14:paraId="78FE6902" w14:textId="24FEA5D4" w:rsidR="000B313B" w:rsidRDefault="000B313B" w:rsidP="000B313B">
            <w:pPr>
              <w:jc w:val="both"/>
              <w:rPr>
                <w:b/>
                <w:bCs/>
                <w:color w:val="000000"/>
                <w:shd w:val="clear" w:color="auto" w:fill="FFFFFF"/>
              </w:rPr>
            </w:pPr>
            <w:r w:rsidRPr="000B313B">
              <w:rPr>
                <w:b/>
                <w:bCs/>
                <w:color w:val="000000"/>
                <w:shd w:val="clear" w:color="auto" w:fill="FFFFFF"/>
              </w:rPr>
              <w:t>11 straipsnis. Pasirengimo valdyti riziką planų turinys, susijęs su nacionalinėmis priemonėmis</w:t>
            </w:r>
          </w:p>
          <w:p w14:paraId="582C7E52" w14:textId="77777777" w:rsidR="00F56663" w:rsidRPr="000B313B" w:rsidRDefault="00F56663" w:rsidP="000B313B">
            <w:pPr>
              <w:jc w:val="both"/>
              <w:rPr>
                <w:b/>
                <w:bCs/>
                <w:color w:val="000000"/>
                <w:shd w:val="clear" w:color="auto" w:fill="FFFFFF"/>
              </w:rPr>
            </w:pPr>
          </w:p>
          <w:p w14:paraId="530F6437" w14:textId="2AAD9F97" w:rsidR="000B313B" w:rsidRPr="000B313B" w:rsidRDefault="000B313B" w:rsidP="000B313B">
            <w:pPr>
              <w:jc w:val="both"/>
              <w:rPr>
                <w:color w:val="000000"/>
                <w:shd w:val="clear" w:color="auto" w:fill="FFFFFF"/>
              </w:rPr>
            </w:pPr>
            <w:r w:rsidRPr="000B313B">
              <w:rPr>
                <w:color w:val="000000"/>
                <w:shd w:val="clear" w:color="auto" w:fill="FFFFFF"/>
              </w:rPr>
              <w:t>1.   Kiekvienos valstybės narės pasirengimo valdyti riziką plane nurodomos visos nacionalinės priemonės, kurių planuojama imtis arba jau imtasi siekiant užkirsti kelią pagal 6 ir 7 straipsnius nustatytoms elektros energijos sektoriaus krizėms, joms pasirengti ir jas sušvelninti. Jame turi būti bent šie dalykai:</w:t>
            </w:r>
            <w:r>
              <w:rPr>
                <w:color w:val="000000"/>
                <w:shd w:val="clear" w:color="auto" w:fill="FFFFFF"/>
              </w:rPr>
              <w:t xml:space="preserve"> (...)</w:t>
            </w:r>
            <w:r w:rsidR="000A6DAF">
              <w:rPr>
                <w:color w:val="000000"/>
                <w:shd w:val="clear" w:color="auto" w:fill="FFFFFF"/>
              </w:rPr>
              <w:t>.</w:t>
            </w:r>
          </w:p>
          <w:p w14:paraId="4E1991D8" w14:textId="48C4A084" w:rsidR="000B313B" w:rsidRDefault="000B313B" w:rsidP="000B313B">
            <w:pPr>
              <w:jc w:val="both"/>
              <w:rPr>
                <w:color w:val="000000"/>
                <w:shd w:val="clear" w:color="auto" w:fill="FFFFFF"/>
              </w:rPr>
            </w:pPr>
          </w:p>
          <w:p w14:paraId="3A4EC8E9" w14:textId="3B06F2E4" w:rsidR="007321DD" w:rsidRDefault="007321DD" w:rsidP="000B313B">
            <w:pPr>
              <w:jc w:val="both"/>
              <w:rPr>
                <w:color w:val="000000"/>
                <w:shd w:val="clear" w:color="auto" w:fill="FFFFFF"/>
              </w:rPr>
            </w:pPr>
          </w:p>
          <w:p w14:paraId="14A0F2B7" w14:textId="7D8C20CE" w:rsidR="009B7E03" w:rsidRDefault="009B7E03" w:rsidP="000B313B">
            <w:pPr>
              <w:jc w:val="both"/>
              <w:rPr>
                <w:color w:val="000000"/>
                <w:shd w:val="clear" w:color="auto" w:fill="FFFFFF"/>
              </w:rPr>
            </w:pPr>
          </w:p>
          <w:p w14:paraId="03D3863C" w14:textId="77777777" w:rsidR="009B7E03" w:rsidRDefault="009B7E03" w:rsidP="000B313B">
            <w:pPr>
              <w:jc w:val="both"/>
              <w:rPr>
                <w:color w:val="000000"/>
                <w:shd w:val="clear" w:color="auto" w:fill="FFFFFF"/>
              </w:rPr>
            </w:pPr>
          </w:p>
          <w:p w14:paraId="469D8DAC" w14:textId="77777777" w:rsidR="000B313B" w:rsidRPr="000B313B" w:rsidRDefault="000B313B" w:rsidP="000B313B">
            <w:pPr>
              <w:jc w:val="both"/>
              <w:rPr>
                <w:vanish/>
                <w:color w:val="000000"/>
                <w:shd w:val="clear" w:color="auto" w:fill="FFFFFF"/>
              </w:rPr>
            </w:pPr>
          </w:p>
          <w:p w14:paraId="0E5D3B00" w14:textId="389B2CE2" w:rsidR="00604104" w:rsidRPr="000B313B" w:rsidRDefault="000B313B" w:rsidP="0077486A">
            <w:pPr>
              <w:jc w:val="both"/>
              <w:rPr>
                <w:color w:val="000000"/>
                <w:shd w:val="clear" w:color="auto" w:fill="FFFFFF"/>
              </w:rPr>
            </w:pPr>
            <w:r w:rsidRPr="000B313B">
              <w:rPr>
                <w:color w:val="000000"/>
                <w:shd w:val="clear" w:color="auto" w:fill="FFFFFF"/>
              </w:rPr>
              <w:t>2.   Nacionalinėse priemonėse visapusiškai atsižvelgiama į regionines ir, jei taikytina, dvišales priemones, dėl kurių susitarta pagal 12 straipsnį, ir dėl jų neturi kilti pavojaus nei perdavimo sistemos eksploatavimo saugumui ar saugai, nei elektros energijos tiekimo saugumui kitose valstybėse narėse.</w:t>
            </w:r>
          </w:p>
        </w:tc>
        <w:tc>
          <w:tcPr>
            <w:tcW w:w="6811" w:type="dxa"/>
          </w:tcPr>
          <w:p w14:paraId="460E6468" w14:textId="77777777" w:rsidR="00604104" w:rsidRDefault="00604104" w:rsidP="00DB7282">
            <w:pPr>
              <w:jc w:val="both"/>
              <w:rPr>
                <w:rFonts w:eastAsia="Calibri"/>
                <w:lang w:eastAsia="en-US"/>
              </w:rPr>
            </w:pPr>
          </w:p>
          <w:p w14:paraId="6C720125" w14:textId="77777777" w:rsidR="00F56663" w:rsidRDefault="00F56663" w:rsidP="00DB7282">
            <w:pPr>
              <w:jc w:val="both"/>
              <w:rPr>
                <w:rFonts w:eastAsia="Calibri"/>
                <w:lang w:eastAsia="en-US"/>
              </w:rPr>
            </w:pPr>
          </w:p>
          <w:p w14:paraId="3CDE607D" w14:textId="77777777" w:rsidR="00F56663" w:rsidRDefault="00F56663" w:rsidP="00DB7282">
            <w:pPr>
              <w:jc w:val="both"/>
              <w:rPr>
                <w:rFonts w:eastAsia="Calibri"/>
                <w:lang w:eastAsia="en-US"/>
              </w:rPr>
            </w:pPr>
          </w:p>
          <w:p w14:paraId="75A7E704" w14:textId="77777777" w:rsidR="004E7C66" w:rsidRDefault="004E7C66" w:rsidP="004E7C66">
            <w:pPr>
              <w:jc w:val="both"/>
            </w:pPr>
            <w:r>
              <w:t xml:space="preserve">11. Planą turi sudaryti aiškiai apibrėžtos, skaidrios, proporcingos ir nediskriminacinės,  nacionalinės priemonės, kurias ketinama taikyti, siekiant užkirsti kelią elektros energetikos sektoriaus krizėms, joms pasirengti ir jas sušvelninti, taip pat regioninės (dvišalės) priemonės, siekiant užtikrinti, kad būtų užkirstas kelias tarpvalstybinį poveikį turinčioms elektros energetikos sektoriaus krizėms arba kad jos būtų tinkamai valdomos. </w:t>
            </w:r>
          </w:p>
          <w:p w14:paraId="72551F03" w14:textId="77777777" w:rsidR="004E7C66" w:rsidRPr="002249DB" w:rsidRDefault="004E7C66" w:rsidP="004E7C66">
            <w:pPr>
              <w:jc w:val="both"/>
            </w:pPr>
            <w:r>
              <w:lastRenderedPageBreak/>
              <w:t>12. Į Planą turi būti įtrauktos Reglamento (ES) 2019/941 11 straipsnio 1 dalyje nurodytos ir kitos būtinos nacionalinės priemonės.</w:t>
            </w:r>
          </w:p>
          <w:p w14:paraId="05509A4D" w14:textId="77777777" w:rsidR="00F56663" w:rsidRDefault="00F56663" w:rsidP="00DB7282">
            <w:pPr>
              <w:jc w:val="both"/>
              <w:rPr>
                <w:rFonts w:eastAsia="Calibri"/>
                <w:lang w:eastAsia="en-US"/>
              </w:rPr>
            </w:pPr>
          </w:p>
          <w:p w14:paraId="4B30E492" w14:textId="33CD9B03" w:rsidR="000637F8" w:rsidRPr="000637F8" w:rsidRDefault="000637F8" w:rsidP="000637F8">
            <w:pPr>
              <w:jc w:val="both"/>
              <w:rPr>
                <w:rFonts w:eastAsia="Calibri"/>
                <w:lang w:eastAsia="en-US"/>
              </w:rPr>
            </w:pPr>
            <w:r w:rsidRPr="000637F8">
              <w:rPr>
                <w:rFonts w:eastAsia="Calibri"/>
                <w:lang w:eastAsia="en-US"/>
              </w:rPr>
              <w:t>1</w:t>
            </w:r>
            <w:r w:rsidR="0090415B">
              <w:rPr>
                <w:rFonts w:eastAsia="Calibri"/>
                <w:lang w:eastAsia="en-US"/>
              </w:rPr>
              <w:t>3</w:t>
            </w:r>
            <w:r w:rsidRPr="000637F8">
              <w:rPr>
                <w:rFonts w:eastAsia="Calibri"/>
                <w:lang w:eastAsia="en-US"/>
              </w:rPr>
              <w:t>. Nacionalinės priemonės turi būti suderintos su regioninėmis (dvišalėmis) priemonėmis, dėl kurių susitarta, ir dėl jų neturi kilti pavojaus nei perdavimo sistemos eksploatavimo saugumui ar saugai, nei elektros energijos tiekimo saugumui kitose valstybėse narėse.</w:t>
            </w:r>
          </w:p>
          <w:p w14:paraId="29AD23C0" w14:textId="7B54F53A" w:rsidR="000637F8" w:rsidRDefault="000637F8" w:rsidP="00DB7282">
            <w:pPr>
              <w:jc w:val="both"/>
              <w:rPr>
                <w:rFonts w:eastAsia="Calibri"/>
                <w:lang w:eastAsia="en-US"/>
              </w:rPr>
            </w:pPr>
          </w:p>
        </w:tc>
        <w:tc>
          <w:tcPr>
            <w:tcW w:w="1800" w:type="dxa"/>
          </w:tcPr>
          <w:p w14:paraId="724151CA" w14:textId="77777777" w:rsidR="00604104" w:rsidRDefault="00604104" w:rsidP="0077486A">
            <w:pPr>
              <w:rPr>
                <w:b/>
                <w:bCs/>
              </w:rPr>
            </w:pPr>
          </w:p>
        </w:tc>
      </w:tr>
      <w:tr w:rsidR="005F7D88" w:rsidRPr="00E921FC" w14:paraId="12D4D677" w14:textId="77777777" w:rsidTr="00960674">
        <w:trPr>
          <w:trHeight w:val="70"/>
        </w:trPr>
        <w:tc>
          <w:tcPr>
            <w:tcW w:w="6237" w:type="dxa"/>
          </w:tcPr>
          <w:p w14:paraId="58ABA4B7" w14:textId="10CC3557" w:rsidR="000D1D0D" w:rsidRDefault="000D1D0D" w:rsidP="000D1D0D">
            <w:pPr>
              <w:jc w:val="both"/>
              <w:rPr>
                <w:b/>
                <w:bCs/>
                <w:color w:val="000000"/>
                <w:shd w:val="clear" w:color="auto" w:fill="FFFFFF"/>
              </w:rPr>
            </w:pPr>
            <w:r w:rsidRPr="000D1D0D">
              <w:rPr>
                <w:b/>
                <w:bCs/>
                <w:color w:val="000000"/>
                <w:shd w:val="clear" w:color="auto" w:fill="FFFFFF"/>
              </w:rPr>
              <w:t>12 straipsnis.</w:t>
            </w:r>
            <w:r w:rsidRPr="000D1D0D">
              <w:rPr>
                <w:b/>
                <w:bCs/>
                <w:i/>
                <w:iCs/>
                <w:color w:val="000000"/>
                <w:shd w:val="clear" w:color="auto" w:fill="FFFFFF"/>
              </w:rPr>
              <w:t xml:space="preserve"> </w:t>
            </w:r>
            <w:r w:rsidRPr="000D1D0D">
              <w:rPr>
                <w:b/>
                <w:bCs/>
                <w:color w:val="000000"/>
                <w:shd w:val="clear" w:color="auto" w:fill="FFFFFF"/>
              </w:rPr>
              <w:t>Pasirengimo valdyti riziką planų turinys, susijęs su regioninėmis ir dvišalėmis priemonėmis</w:t>
            </w:r>
          </w:p>
          <w:p w14:paraId="0526FC96" w14:textId="77777777" w:rsidR="000D1D0D" w:rsidRPr="000D1D0D" w:rsidRDefault="000D1D0D" w:rsidP="000D1D0D">
            <w:pPr>
              <w:jc w:val="both"/>
              <w:rPr>
                <w:b/>
                <w:bCs/>
                <w:i/>
                <w:iCs/>
                <w:color w:val="000000"/>
                <w:shd w:val="clear" w:color="auto" w:fill="FFFFFF"/>
              </w:rPr>
            </w:pPr>
          </w:p>
          <w:p w14:paraId="6E641A61" w14:textId="297C1A0E" w:rsidR="000A6DAF" w:rsidRDefault="000D1D0D" w:rsidP="000D1D0D">
            <w:pPr>
              <w:jc w:val="both"/>
              <w:rPr>
                <w:color w:val="000000"/>
                <w:shd w:val="clear" w:color="auto" w:fill="FFFFFF"/>
              </w:rPr>
            </w:pPr>
            <w:r w:rsidRPr="000D1D0D">
              <w:rPr>
                <w:color w:val="000000"/>
                <w:shd w:val="clear" w:color="auto" w:fill="FFFFFF"/>
              </w:rPr>
              <w:t>1.   Be 11 straipsnyje nurodytų nacionalinių priemonių, į kiekvienos valstybės narės pasirengimo valdyti riziką planą turi būti įtrauktos regioninės ir, jei taikytina, dvišalės priemonės, siekiant užtikrinti, kad būtų tinkamai užkirstas kelias tarpvalstybinį poveikį turinčioms elektros energijos sektoriaus krizėms arba kad jos būtų tinkamai valdomos. Dėl regioninių priemonių susitaria atitinkamo regiono valstybės narės, turinčios techninių pajėgumų teikti viena kitai pagalbą pagal 15 straipsnį. Tuo tikslu valstybės narės regione taip pat gali suformuoti pogrupius. Dėl dvišalių priemonių susitaria valstybės narės, kurios yra tiesiogiai tarpusavyje sujungtos, bet nepriklauso tam pačiam regionui. Valstybės narės užtikrina regioninių ir dvišalių priemonių nuoseklumą. Regioninės ir dvišalės priemonės turi apimti bent:</w:t>
            </w:r>
            <w:r w:rsidR="000A6DAF">
              <w:rPr>
                <w:color w:val="000000"/>
                <w:shd w:val="clear" w:color="auto" w:fill="FFFFFF"/>
              </w:rPr>
              <w:t xml:space="preserve"> (...).</w:t>
            </w:r>
          </w:p>
          <w:p w14:paraId="7A47857E" w14:textId="6FAABDCE" w:rsidR="000D1D0D" w:rsidRDefault="000D1D0D" w:rsidP="000D1D0D">
            <w:pPr>
              <w:jc w:val="both"/>
              <w:rPr>
                <w:color w:val="000000"/>
                <w:shd w:val="clear" w:color="auto" w:fill="FFFFFF"/>
              </w:rPr>
            </w:pPr>
            <w:r w:rsidRPr="000D1D0D">
              <w:rPr>
                <w:color w:val="000000"/>
                <w:shd w:val="clear" w:color="auto" w:fill="FFFFFF"/>
              </w:rPr>
              <w:t xml:space="preserve">2.   Susijusios valstybės narės, pasikonsultavusios su atitinkamais regioniniais koordinavimo centrais, susitaria dėl regioninių ir dvišalių priemonių, kurios turi būti įtrauktos į pasirengimo valdyti riziką planą. Rengiant susitarimą dėl regioninių ir dvišalių priemonių Komisija gali atlikti pagalbininko vaidmenį. Komisija gali paprašyti ACER ir ENTSO-E suteikti techninę pagalbą valstybėms narėms, kad būtų lengviau pasiektas toks susitarimas. Likus ne mažiau kaip aštuoniems mėnesiams iki pasirengimo valdyti riziką plano </w:t>
            </w:r>
            <w:r w:rsidRPr="000D1D0D">
              <w:rPr>
                <w:color w:val="000000"/>
                <w:shd w:val="clear" w:color="auto" w:fill="FFFFFF"/>
              </w:rPr>
              <w:lastRenderedPageBreak/>
              <w:t>patvirtinimo arba atnaujinimo termino, kompetentingos institucijos praneša ECG apie pasiektus susitarimus. Jei valstybėms narėms susitarti nepavyksta, susijusios kompetentingos institucijos informuoja Komisiją apie tokio nesusitarimo priežastis. Tokiu atveju Komisija pasiūlo priemones, įskaitant bendradarbiavimo mechanizmą, skirtą susitarimui dėl regioninių ir dvišalių priemonių sudaryti.</w:t>
            </w:r>
          </w:p>
          <w:p w14:paraId="04407DDA" w14:textId="77777777" w:rsidR="007B1119" w:rsidRPr="000D1D0D" w:rsidRDefault="007B1119" w:rsidP="000D1D0D">
            <w:pPr>
              <w:jc w:val="both"/>
              <w:rPr>
                <w:color w:val="000000"/>
                <w:shd w:val="clear" w:color="auto" w:fill="FFFFFF"/>
              </w:rPr>
            </w:pPr>
          </w:p>
          <w:p w14:paraId="6B5C980C" w14:textId="4045DFE3" w:rsidR="007913DD" w:rsidRPr="000D1D0D" w:rsidRDefault="000D1D0D" w:rsidP="000B313B">
            <w:pPr>
              <w:jc w:val="both"/>
              <w:rPr>
                <w:color w:val="000000"/>
                <w:shd w:val="clear" w:color="auto" w:fill="FFFFFF"/>
              </w:rPr>
            </w:pPr>
            <w:r w:rsidRPr="000D1D0D">
              <w:rPr>
                <w:color w:val="000000"/>
                <w:shd w:val="clear" w:color="auto" w:fill="FFFFFF"/>
              </w:rPr>
              <w:t>3.   Dalyvaujant atitinkamiems suinteresuotiesiems subjektams, kiekvieno regiono valstybių narių kompetentingos institucijos periodiškai bando pasirengimo valdyti riziką planuose sukurtų procedūrų, skirtų užkirsti kelią elektros energijos sektoriaus krizei, įskaitant 1 dalies b punkte nurodytus mechanizmus, veiksmingumą ir kas dvejus metus atlieka elektros energijos sektoriaus krizių modeliavimą, visų pirma, kad išbandytų tuos mechanizmus.</w:t>
            </w:r>
          </w:p>
        </w:tc>
        <w:tc>
          <w:tcPr>
            <w:tcW w:w="6811" w:type="dxa"/>
          </w:tcPr>
          <w:p w14:paraId="50AABAC0" w14:textId="77777777" w:rsidR="005F7D88" w:rsidRDefault="005F7D88" w:rsidP="00DB7282">
            <w:pPr>
              <w:jc w:val="both"/>
              <w:rPr>
                <w:rFonts w:eastAsia="Calibri"/>
                <w:lang w:eastAsia="en-US"/>
              </w:rPr>
            </w:pPr>
          </w:p>
          <w:p w14:paraId="4CA7D1A2" w14:textId="77777777" w:rsidR="00F73B35" w:rsidRDefault="00F73B35" w:rsidP="00DB7282">
            <w:pPr>
              <w:jc w:val="both"/>
              <w:rPr>
                <w:rFonts w:eastAsia="Calibri"/>
                <w:lang w:eastAsia="en-US"/>
              </w:rPr>
            </w:pPr>
          </w:p>
          <w:p w14:paraId="7E9C4F29" w14:textId="77777777" w:rsidR="00F73B35" w:rsidRDefault="00F73B35" w:rsidP="00DB7282">
            <w:pPr>
              <w:jc w:val="both"/>
              <w:rPr>
                <w:rFonts w:eastAsia="Calibri"/>
                <w:lang w:eastAsia="en-US"/>
              </w:rPr>
            </w:pPr>
          </w:p>
          <w:p w14:paraId="5461F31B" w14:textId="77777777" w:rsidR="0090415B" w:rsidRDefault="0090415B" w:rsidP="0090415B">
            <w:pPr>
              <w:jc w:val="both"/>
            </w:pPr>
            <w:r>
              <w:t xml:space="preserve">11. Planą turi sudaryti aiškiai apibrėžtos, skaidrios, proporcingos ir nediskriminacinės,  nacionalinės priemonės, kurias ketinama taikyti, siekiant užkirsti kelią elektros energetikos sektoriaus krizėms, joms pasirengti ir jas sušvelninti, taip pat regioninės (dvišalės) priemonės, siekiant užtikrinti, kad būtų užkirstas kelias tarpvalstybinį poveikį turinčioms elektros energetikos sektoriaus krizėms arba kad jos būtų tinkamai valdomos. </w:t>
            </w:r>
          </w:p>
          <w:p w14:paraId="1635B4FA" w14:textId="77777777" w:rsidR="004D5D1C" w:rsidRPr="005A4D3E" w:rsidRDefault="004D5D1C" w:rsidP="004D5D1C">
            <w:pPr>
              <w:jc w:val="both"/>
            </w:pPr>
            <w:r>
              <w:t>14. Regioninės (dvišalės) priemonės turi apimti Reglamento (ES) 2019/941 12 straipsnio 1 dalyje nurodytas ir kitas priemones, dėl kurių susitarta Reglamento (ES) 2019/941 12 straipsnio 1 ir 2 dalyse</w:t>
            </w:r>
            <w:r w:rsidRPr="28C9FF46">
              <w:t xml:space="preserve"> nustatyta tvarka</w:t>
            </w:r>
            <w:r>
              <w:t>.</w:t>
            </w:r>
          </w:p>
          <w:p w14:paraId="27165791" w14:textId="77777777" w:rsidR="00F73B35" w:rsidRDefault="00F73B35" w:rsidP="00DB7282">
            <w:pPr>
              <w:jc w:val="both"/>
              <w:rPr>
                <w:rFonts w:eastAsia="Calibri"/>
                <w:lang w:eastAsia="en-US"/>
              </w:rPr>
            </w:pPr>
          </w:p>
          <w:p w14:paraId="4B13630E" w14:textId="77777777" w:rsidR="004E0078" w:rsidRDefault="004E0078" w:rsidP="00DB7282">
            <w:pPr>
              <w:jc w:val="both"/>
              <w:rPr>
                <w:rFonts w:eastAsia="Calibri"/>
                <w:lang w:eastAsia="en-US"/>
              </w:rPr>
            </w:pPr>
          </w:p>
          <w:p w14:paraId="4A1015C8" w14:textId="77777777" w:rsidR="004E0078" w:rsidRDefault="004E0078" w:rsidP="00DB7282">
            <w:pPr>
              <w:jc w:val="both"/>
              <w:rPr>
                <w:rFonts w:eastAsia="Calibri"/>
                <w:lang w:eastAsia="en-US"/>
              </w:rPr>
            </w:pPr>
          </w:p>
          <w:p w14:paraId="33BCEBD5" w14:textId="77777777" w:rsidR="004E0078" w:rsidRDefault="004E0078" w:rsidP="00DB7282">
            <w:pPr>
              <w:jc w:val="both"/>
              <w:rPr>
                <w:rFonts w:eastAsia="Calibri"/>
                <w:lang w:eastAsia="en-US"/>
              </w:rPr>
            </w:pPr>
          </w:p>
          <w:p w14:paraId="0B34037F" w14:textId="77777777" w:rsidR="00D16B96" w:rsidRDefault="00D16B96" w:rsidP="00DB7282">
            <w:pPr>
              <w:jc w:val="both"/>
              <w:rPr>
                <w:rFonts w:eastAsia="Calibri"/>
                <w:lang w:eastAsia="en-US"/>
              </w:rPr>
            </w:pPr>
          </w:p>
          <w:p w14:paraId="1B5AD89F" w14:textId="77777777" w:rsidR="00D16B96" w:rsidRDefault="00D16B96" w:rsidP="00DB7282">
            <w:pPr>
              <w:jc w:val="both"/>
              <w:rPr>
                <w:rFonts w:eastAsia="Calibri"/>
                <w:lang w:eastAsia="en-US"/>
              </w:rPr>
            </w:pPr>
          </w:p>
          <w:p w14:paraId="1AB1707C" w14:textId="77777777" w:rsidR="00D16B96" w:rsidRDefault="00D16B96" w:rsidP="00DB7282">
            <w:pPr>
              <w:jc w:val="both"/>
              <w:rPr>
                <w:rFonts w:eastAsia="Calibri"/>
                <w:lang w:eastAsia="en-US"/>
              </w:rPr>
            </w:pPr>
          </w:p>
          <w:p w14:paraId="21E69F0F" w14:textId="77777777" w:rsidR="00D16B96" w:rsidRDefault="00D16B96" w:rsidP="00DB7282">
            <w:pPr>
              <w:jc w:val="both"/>
              <w:rPr>
                <w:rFonts w:eastAsia="Calibri"/>
                <w:lang w:eastAsia="en-US"/>
              </w:rPr>
            </w:pPr>
          </w:p>
          <w:p w14:paraId="29F4974A" w14:textId="77777777" w:rsidR="00D16B96" w:rsidRDefault="00D16B96" w:rsidP="00DB7282">
            <w:pPr>
              <w:jc w:val="both"/>
              <w:rPr>
                <w:rFonts w:eastAsia="Calibri"/>
                <w:lang w:eastAsia="en-US"/>
              </w:rPr>
            </w:pPr>
          </w:p>
          <w:p w14:paraId="2AA7B06B" w14:textId="77777777" w:rsidR="00D16B96" w:rsidRDefault="00D16B96" w:rsidP="00DB7282">
            <w:pPr>
              <w:jc w:val="both"/>
              <w:rPr>
                <w:rFonts w:eastAsia="Calibri"/>
                <w:lang w:eastAsia="en-US"/>
              </w:rPr>
            </w:pPr>
          </w:p>
          <w:p w14:paraId="58CB61CA" w14:textId="77777777" w:rsidR="00D16B96" w:rsidRDefault="00D16B96" w:rsidP="00DB7282">
            <w:pPr>
              <w:jc w:val="both"/>
              <w:rPr>
                <w:rFonts w:eastAsia="Calibri"/>
                <w:lang w:eastAsia="en-US"/>
              </w:rPr>
            </w:pPr>
          </w:p>
          <w:p w14:paraId="1D9A48E6" w14:textId="77777777" w:rsidR="00D16B96" w:rsidRDefault="00D16B96" w:rsidP="00DB7282">
            <w:pPr>
              <w:jc w:val="both"/>
              <w:rPr>
                <w:rFonts w:eastAsia="Calibri"/>
                <w:lang w:eastAsia="en-US"/>
              </w:rPr>
            </w:pPr>
          </w:p>
          <w:p w14:paraId="5B444FE7" w14:textId="77777777" w:rsidR="00D16B96" w:rsidRDefault="00D16B96" w:rsidP="00DB7282">
            <w:pPr>
              <w:jc w:val="both"/>
              <w:rPr>
                <w:rFonts w:eastAsia="Calibri"/>
                <w:lang w:eastAsia="en-US"/>
              </w:rPr>
            </w:pPr>
          </w:p>
          <w:p w14:paraId="0F072627" w14:textId="77777777" w:rsidR="00D16B96" w:rsidRDefault="00D16B96" w:rsidP="00DB7282">
            <w:pPr>
              <w:jc w:val="both"/>
              <w:rPr>
                <w:rFonts w:eastAsia="Calibri"/>
                <w:lang w:eastAsia="en-US"/>
              </w:rPr>
            </w:pPr>
          </w:p>
          <w:p w14:paraId="1F1DA164" w14:textId="77777777" w:rsidR="00D16B96" w:rsidRDefault="00D16B96" w:rsidP="00DB7282">
            <w:pPr>
              <w:jc w:val="both"/>
              <w:rPr>
                <w:rFonts w:eastAsia="Calibri"/>
                <w:lang w:eastAsia="en-US"/>
              </w:rPr>
            </w:pPr>
          </w:p>
          <w:p w14:paraId="00F8029C" w14:textId="1C55BE36" w:rsidR="00D16B96" w:rsidRDefault="00D16B96" w:rsidP="00DB7282">
            <w:pPr>
              <w:jc w:val="both"/>
              <w:rPr>
                <w:rFonts w:eastAsia="Calibri"/>
                <w:lang w:eastAsia="en-US"/>
              </w:rPr>
            </w:pPr>
          </w:p>
          <w:p w14:paraId="206EF06A" w14:textId="153BD67B" w:rsidR="00400D41" w:rsidRDefault="00400D41" w:rsidP="00DB7282">
            <w:pPr>
              <w:jc w:val="both"/>
              <w:rPr>
                <w:rFonts w:eastAsia="Calibri"/>
                <w:lang w:eastAsia="en-US"/>
              </w:rPr>
            </w:pPr>
          </w:p>
          <w:p w14:paraId="339FE362" w14:textId="77777777" w:rsidR="004D5D1C" w:rsidRDefault="004D5D1C" w:rsidP="00DB7282">
            <w:pPr>
              <w:jc w:val="both"/>
              <w:rPr>
                <w:rFonts w:eastAsia="Calibri"/>
                <w:lang w:eastAsia="en-US"/>
              </w:rPr>
            </w:pPr>
          </w:p>
          <w:p w14:paraId="2D678D53" w14:textId="25248385" w:rsidR="00D16B96" w:rsidRDefault="00D16B96" w:rsidP="00DB7282">
            <w:pPr>
              <w:jc w:val="both"/>
              <w:rPr>
                <w:rFonts w:eastAsia="Calibri"/>
                <w:lang w:eastAsia="en-US"/>
              </w:rPr>
            </w:pPr>
          </w:p>
          <w:p w14:paraId="3149CD9F" w14:textId="77777777" w:rsidR="00F12027" w:rsidRDefault="00F12027" w:rsidP="00DB7282">
            <w:pPr>
              <w:jc w:val="both"/>
              <w:rPr>
                <w:rFonts w:eastAsia="Calibri"/>
                <w:lang w:eastAsia="en-US"/>
              </w:rPr>
            </w:pPr>
          </w:p>
          <w:p w14:paraId="4A55FE0B" w14:textId="77777777" w:rsidR="00F12027" w:rsidRDefault="00F12027" w:rsidP="00F12027">
            <w:pPr>
              <w:jc w:val="both"/>
            </w:pPr>
            <w:r w:rsidRPr="006451FB">
              <w:t>2</w:t>
            </w:r>
            <w:r>
              <w:t>2</w:t>
            </w:r>
            <w:r w:rsidRPr="006451FB">
              <w:t>.   </w:t>
            </w:r>
            <w:r>
              <w:t xml:space="preserve">Energetikos ministerija </w:t>
            </w:r>
            <w:r w:rsidRPr="006451FB">
              <w:t>periodiškai</w:t>
            </w:r>
            <w:r>
              <w:t>, bet ne rečiau kaip kas dvejus metus,</w:t>
            </w:r>
            <w:r w:rsidRPr="006451FB">
              <w:t xml:space="preserve"> bando pasirengimo valdyti riziką planuose sukurtų procedūrų, skirtų užkirsti kelią elektros energijos sektoriaus krizei, įskaitant dalijimosi informacija ir bendradarbiavimo mechanizmus, veiksmingumą ir atlieka elektros energijos sektoriaus krizių modeliavimą</w:t>
            </w:r>
            <w:r>
              <w:t>.</w:t>
            </w:r>
          </w:p>
          <w:p w14:paraId="5A42041C" w14:textId="05D8F322" w:rsidR="00D16B96" w:rsidRDefault="00D16B96" w:rsidP="00DB7282">
            <w:pPr>
              <w:jc w:val="both"/>
              <w:rPr>
                <w:rFonts w:eastAsia="Calibri"/>
                <w:lang w:eastAsia="en-US"/>
              </w:rPr>
            </w:pPr>
          </w:p>
        </w:tc>
        <w:tc>
          <w:tcPr>
            <w:tcW w:w="1800" w:type="dxa"/>
          </w:tcPr>
          <w:p w14:paraId="31A49AD6" w14:textId="46FC388B" w:rsidR="005F7D88" w:rsidRDefault="002325CC" w:rsidP="0077486A">
            <w:pPr>
              <w:rPr>
                <w:b/>
                <w:bCs/>
              </w:rPr>
            </w:pPr>
            <w:r>
              <w:rPr>
                <w:b/>
                <w:bCs/>
              </w:rPr>
              <w:lastRenderedPageBreak/>
              <w:t>Visiškas</w:t>
            </w:r>
          </w:p>
        </w:tc>
      </w:tr>
      <w:tr w:rsidR="00A02530" w:rsidRPr="00E921FC" w14:paraId="230FE8A9" w14:textId="77777777" w:rsidTr="00960674">
        <w:trPr>
          <w:trHeight w:val="70"/>
        </w:trPr>
        <w:tc>
          <w:tcPr>
            <w:tcW w:w="6237" w:type="dxa"/>
          </w:tcPr>
          <w:p w14:paraId="2581B142" w14:textId="5DE76D48" w:rsidR="00726343" w:rsidRPr="00726343" w:rsidRDefault="00726343" w:rsidP="00726343">
            <w:pPr>
              <w:jc w:val="both"/>
              <w:rPr>
                <w:b/>
                <w:bCs/>
                <w:color w:val="000000"/>
                <w:shd w:val="clear" w:color="auto" w:fill="FFFFFF"/>
              </w:rPr>
            </w:pPr>
            <w:r w:rsidRPr="00726343">
              <w:rPr>
                <w:b/>
                <w:bCs/>
                <w:color w:val="000000"/>
                <w:shd w:val="clear" w:color="auto" w:fill="FFFFFF"/>
              </w:rPr>
              <w:t>13 straipsnis. Komisijos atliekamas pasirengimo valdyti riziką planų vertinimas</w:t>
            </w:r>
          </w:p>
          <w:p w14:paraId="7B79E8A5" w14:textId="77777777" w:rsidR="00726343" w:rsidRPr="00726343" w:rsidRDefault="00726343" w:rsidP="00726343">
            <w:pPr>
              <w:jc w:val="both"/>
              <w:rPr>
                <w:color w:val="000000"/>
                <w:shd w:val="clear" w:color="auto" w:fill="FFFFFF"/>
              </w:rPr>
            </w:pPr>
          </w:p>
          <w:p w14:paraId="1C25B9FB" w14:textId="5E5E2CBE" w:rsidR="00726343" w:rsidRPr="00726343" w:rsidRDefault="00726343" w:rsidP="00726343">
            <w:pPr>
              <w:jc w:val="both"/>
              <w:rPr>
                <w:color w:val="000000"/>
                <w:shd w:val="clear" w:color="auto" w:fill="FFFFFF"/>
              </w:rPr>
            </w:pPr>
            <w:r w:rsidRPr="00726343">
              <w:rPr>
                <w:color w:val="000000"/>
                <w:shd w:val="clear" w:color="auto" w:fill="FFFFFF"/>
              </w:rPr>
              <w:t>1.   Per keturis mėnesius nuo tada, kai kompetentinga institucija pranešė apie patvirtintą pasirengimo valdyti riziką planą, Komisija tą planą įvertina, tinkamai atsižvelgdama į ECG pareikštas nuomones.</w:t>
            </w:r>
          </w:p>
          <w:p w14:paraId="05E154BE" w14:textId="75C0AC93" w:rsidR="00726343" w:rsidRPr="00726343" w:rsidRDefault="00726343" w:rsidP="00726343">
            <w:pPr>
              <w:jc w:val="both"/>
              <w:rPr>
                <w:color w:val="000000"/>
                <w:shd w:val="clear" w:color="auto" w:fill="FFFFFF"/>
              </w:rPr>
            </w:pPr>
            <w:r w:rsidRPr="00726343">
              <w:rPr>
                <w:color w:val="000000"/>
                <w:shd w:val="clear" w:color="auto" w:fill="FFFFFF"/>
              </w:rPr>
              <w:t>2.   Komisija, pasikonsultavusi su ECG, parengia neprivalomą nuomonę, kurioje nurodomos išsamios priežastys, ir pateikia ją kompetentingai institucijai kartu su rekomendacija persvarstyti savo pasirengimo valdyti riziką planą, jei tas planas:</w:t>
            </w:r>
            <w:r w:rsidR="002325CC">
              <w:rPr>
                <w:color w:val="000000"/>
                <w:shd w:val="clear" w:color="auto" w:fill="FFFFFF"/>
              </w:rPr>
              <w:t xml:space="preserve"> (...). </w:t>
            </w:r>
          </w:p>
          <w:p w14:paraId="3AFC0B21" w14:textId="5D7AA67F" w:rsidR="00726343" w:rsidRPr="00726343" w:rsidRDefault="00726343" w:rsidP="00726343">
            <w:pPr>
              <w:jc w:val="both"/>
              <w:rPr>
                <w:color w:val="000000"/>
                <w:shd w:val="clear" w:color="auto" w:fill="FFFFFF"/>
              </w:rPr>
            </w:pPr>
            <w:r w:rsidRPr="00726343">
              <w:rPr>
                <w:color w:val="000000"/>
                <w:shd w:val="clear" w:color="auto" w:fill="FFFFFF"/>
              </w:rPr>
              <w:t>3.   Per tris mėnesius nuo 2 dalyje nurodytos Komisijos nuomonės gavimo dienos atitinkama kompetentinga institucija visapusiškai atsižvelgia į Komisijos rekomendaciją ir pateikia Komisijai iš dalies pakeistą pasirengimo valdyti riziką planą arba praneša Komisijai apie priežastis, kodėl ji rekomendacijai prieštarauja.</w:t>
            </w:r>
          </w:p>
          <w:p w14:paraId="40D21D11" w14:textId="0C86ECB7" w:rsidR="00D17967" w:rsidRPr="00726343" w:rsidRDefault="00726343" w:rsidP="00A02530">
            <w:pPr>
              <w:jc w:val="both"/>
              <w:rPr>
                <w:color w:val="000000"/>
                <w:shd w:val="clear" w:color="auto" w:fill="FFFFFF"/>
              </w:rPr>
            </w:pPr>
            <w:r w:rsidRPr="00726343">
              <w:rPr>
                <w:color w:val="000000"/>
                <w:shd w:val="clear" w:color="auto" w:fill="FFFFFF"/>
              </w:rPr>
              <w:lastRenderedPageBreak/>
              <w:t>4.   Jei kompetentinga institucija Komisijos rekomendacijai prieštarauja, Komisija per keturis mėnesius nuo kompetentingos institucijos pranešimo apie jos prieštaravimo priežastis gavimo gali atsiimti savo rekomendaciją arba sušaukti posėdį su kompetentinga institucija ir, jei Komisija mano, kad tai būtina, su ECG, kad įvertintų tą klausimą. Komisija pateikia išsamias priežastis, dėl kurių ji prašo pakeisti pasirengimo valdyti riziką planą. Kai galutinė atitinkamos kompetentingos institucijos pozicija skiriasi nuo Komisijos nurodytų išsamių priežasčių, ta kompetentinga institucija per du mėnesius nuo Komisijos nurodytų išsamių priežasčių gavimo dienos pateikia Komisijai savo poziciją pagrindžiančias priežastis.</w:t>
            </w:r>
          </w:p>
        </w:tc>
        <w:tc>
          <w:tcPr>
            <w:tcW w:w="6811" w:type="dxa"/>
          </w:tcPr>
          <w:p w14:paraId="00CA502C" w14:textId="77777777" w:rsidR="00A02530" w:rsidRDefault="00A02530" w:rsidP="00A02530">
            <w:pPr>
              <w:jc w:val="both"/>
              <w:rPr>
                <w:rFonts w:eastAsia="Calibri"/>
                <w:lang w:eastAsia="en-US"/>
              </w:rPr>
            </w:pPr>
          </w:p>
          <w:p w14:paraId="7A2E6F68" w14:textId="77777777" w:rsidR="002325CC" w:rsidRDefault="002325CC" w:rsidP="00A02530">
            <w:pPr>
              <w:jc w:val="both"/>
              <w:rPr>
                <w:rFonts w:eastAsia="Calibri"/>
                <w:lang w:eastAsia="en-US"/>
              </w:rPr>
            </w:pPr>
          </w:p>
          <w:p w14:paraId="3B291123" w14:textId="77777777" w:rsidR="002325CC" w:rsidRDefault="002325CC" w:rsidP="00A02530">
            <w:pPr>
              <w:jc w:val="both"/>
              <w:rPr>
                <w:rFonts w:eastAsia="Calibri"/>
                <w:lang w:eastAsia="en-US"/>
              </w:rPr>
            </w:pPr>
          </w:p>
          <w:p w14:paraId="6BD11C32" w14:textId="77777777" w:rsidR="00D4400F" w:rsidRPr="006451FB" w:rsidRDefault="00D4400F" w:rsidP="00D4400F">
            <w:pPr>
              <w:jc w:val="both"/>
            </w:pPr>
            <w:r>
              <w:t xml:space="preserve">21. Europos Komisijos atliekamo Plano vertinimo tvarka nustatyta Reglamento (ES) 2019/941 13 straipsnyje. </w:t>
            </w:r>
          </w:p>
          <w:p w14:paraId="57B1F77B" w14:textId="6274F006" w:rsidR="002325CC" w:rsidRDefault="002325CC" w:rsidP="00A02530">
            <w:pPr>
              <w:jc w:val="both"/>
              <w:rPr>
                <w:rFonts w:eastAsia="Calibri"/>
                <w:lang w:eastAsia="en-US"/>
              </w:rPr>
            </w:pPr>
          </w:p>
        </w:tc>
        <w:tc>
          <w:tcPr>
            <w:tcW w:w="1800" w:type="dxa"/>
          </w:tcPr>
          <w:p w14:paraId="61700F82" w14:textId="1C64D29F" w:rsidR="00A02530" w:rsidRDefault="002325CC" w:rsidP="00A02530">
            <w:pPr>
              <w:rPr>
                <w:b/>
                <w:bCs/>
              </w:rPr>
            </w:pPr>
            <w:r>
              <w:rPr>
                <w:b/>
                <w:bCs/>
              </w:rPr>
              <w:t>Visiškas</w:t>
            </w:r>
          </w:p>
        </w:tc>
      </w:tr>
      <w:tr w:rsidR="002325CC" w:rsidRPr="00E921FC" w14:paraId="4D50B694" w14:textId="77777777" w:rsidTr="00960674">
        <w:trPr>
          <w:trHeight w:val="70"/>
        </w:trPr>
        <w:tc>
          <w:tcPr>
            <w:tcW w:w="6237" w:type="dxa"/>
          </w:tcPr>
          <w:p w14:paraId="41590F39" w14:textId="075ED554" w:rsidR="00D17967" w:rsidRPr="00D17967" w:rsidRDefault="00D17967" w:rsidP="00D17967">
            <w:pPr>
              <w:jc w:val="both"/>
              <w:rPr>
                <w:b/>
                <w:bCs/>
                <w:color w:val="000000"/>
                <w:shd w:val="clear" w:color="auto" w:fill="FFFFFF"/>
              </w:rPr>
            </w:pPr>
            <w:r w:rsidRPr="00D17967">
              <w:rPr>
                <w:b/>
                <w:bCs/>
                <w:color w:val="000000"/>
                <w:shd w:val="clear" w:color="auto" w:fill="FFFFFF"/>
              </w:rPr>
              <w:t>14 straipsnis. Išankstinis perspėjimas ir elektros energijos sektoriaus krizės paskelbimas</w:t>
            </w:r>
          </w:p>
          <w:p w14:paraId="10A9DCDF" w14:textId="77777777" w:rsidR="00D17967" w:rsidRPr="00D17967" w:rsidRDefault="00D17967" w:rsidP="00D17967">
            <w:pPr>
              <w:jc w:val="both"/>
              <w:rPr>
                <w:color w:val="000000"/>
                <w:shd w:val="clear" w:color="auto" w:fill="FFFFFF"/>
              </w:rPr>
            </w:pPr>
          </w:p>
          <w:p w14:paraId="5F8AFE59" w14:textId="77777777" w:rsidR="00D17967" w:rsidRPr="00D17967" w:rsidRDefault="00D17967" w:rsidP="00D17967">
            <w:pPr>
              <w:jc w:val="both"/>
              <w:rPr>
                <w:color w:val="000000"/>
                <w:shd w:val="clear" w:color="auto" w:fill="FFFFFF"/>
              </w:rPr>
            </w:pPr>
            <w:r w:rsidRPr="00D17967">
              <w:rPr>
                <w:color w:val="000000"/>
                <w:shd w:val="clear" w:color="auto" w:fill="FFFFFF"/>
              </w:rPr>
              <w:t>1.   Jei sezoninio adekvatumo vertinimas arba kiti kompetentingi šaltiniai suteikia konkrečios, rimtos ir patikimos informacijos, kad valstybėje narėje gali įvykti elektros energijos sektoriaus krizė, tos valstybės narės kompetentinga institucija nepagrįstai nedelsdama iš anksto perspėja Komisiją, to paties regiono valstybių narių kompetentingas institucijas ir, jei valstybės narės nėra tame pačiame regione, tiesiogiai sujungtų valstybių narių kompetentingas institucijas. Atitinkama kompetentinga institucija taip pat pateikia informaciją apie galimos elektros energijos sektoriaus krizės priežastis, planuojamas arba vykdomas priemones, kuriomis siekiama užkirsti kelią elektros energijos sektoriaus krizei, ir ar gali reikėti pagalbos iš kitų valstybių narių. Informacijoje nurodomas galimas priemonių poveikis elektros energijos vidaus rinkai. Komisija tą informaciją pateikia ECG.</w:t>
            </w:r>
          </w:p>
          <w:p w14:paraId="724C8408" w14:textId="40CA9FDB" w:rsidR="00D17967" w:rsidRDefault="00D17967" w:rsidP="00D17967">
            <w:pPr>
              <w:jc w:val="both"/>
              <w:rPr>
                <w:color w:val="000000"/>
                <w:shd w:val="clear" w:color="auto" w:fill="FFFFFF"/>
              </w:rPr>
            </w:pPr>
          </w:p>
          <w:p w14:paraId="386377D7" w14:textId="5AF9406E" w:rsidR="00D96C98" w:rsidRDefault="00D96C98" w:rsidP="00D17967">
            <w:pPr>
              <w:jc w:val="both"/>
              <w:rPr>
                <w:color w:val="000000"/>
                <w:shd w:val="clear" w:color="auto" w:fill="FFFFFF"/>
              </w:rPr>
            </w:pPr>
          </w:p>
          <w:p w14:paraId="2729A72F" w14:textId="77777777" w:rsidR="00D96C98" w:rsidRPr="00D17967" w:rsidRDefault="00D96C98" w:rsidP="00D17967">
            <w:pPr>
              <w:jc w:val="both"/>
              <w:rPr>
                <w:color w:val="000000"/>
                <w:shd w:val="clear" w:color="auto" w:fill="FFFFFF"/>
              </w:rPr>
            </w:pPr>
          </w:p>
          <w:p w14:paraId="685169A5" w14:textId="1E43D72C" w:rsidR="00D17967" w:rsidRDefault="00D17967" w:rsidP="00D17967">
            <w:pPr>
              <w:jc w:val="both"/>
              <w:rPr>
                <w:color w:val="000000"/>
                <w:shd w:val="clear" w:color="auto" w:fill="FFFFFF"/>
              </w:rPr>
            </w:pPr>
            <w:r w:rsidRPr="00D17967">
              <w:rPr>
                <w:color w:val="000000"/>
                <w:shd w:val="clear" w:color="auto" w:fill="FFFFFF"/>
              </w:rPr>
              <w:lastRenderedPageBreak/>
              <w:t>2.   Susidarius elektros energijos sektoriaus krizei, kompetentinga institucija, pasikonsultavusi su atitinkamu perdavimo sistemos operatoriumi, paskelbia, kad susidarė elektros energijos sektoriaus krizė, ir nepagrįstai nedelsdama informuoja apie tai to paties regiono valstybių narių kompetentingas institucijas ir, jei valstybės narės nėra tame pačiame regione, tiesiogiai sujungtų valstybių narių kompetentingas institucijas ir Komisiją. Ta informacija apima priežastis, kodėl pablogėjo elektros energijos tiekimo padėtis, priežastis, dėl kurių paskelbta elektros energijos sektoriaus krizė, planuojamas arba vykdomas priemones, kuriomis siekiama ją sušvelninti, ir bet kokios pagalbos iš kitų valstybių narių poreikį.</w:t>
            </w:r>
          </w:p>
          <w:p w14:paraId="73B21DD7" w14:textId="77777777" w:rsidR="002D1283" w:rsidRPr="00D17967" w:rsidRDefault="002D1283" w:rsidP="00D17967">
            <w:pPr>
              <w:jc w:val="both"/>
              <w:rPr>
                <w:color w:val="000000"/>
                <w:shd w:val="clear" w:color="auto" w:fill="FFFFFF"/>
              </w:rPr>
            </w:pPr>
          </w:p>
          <w:p w14:paraId="787A0DFE" w14:textId="164EBF87" w:rsidR="002325CC" w:rsidRPr="00D17967" w:rsidRDefault="00D17967" w:rsidP="00D17967">
            <w:pPr>
              <w:jc w:val="both"/>
              <w:rPr>
                <w:color w:val="000000"/>
                <w:shd w:val="clear" w:color="auto" w:fill="FFFFFF"/>
              </w:rPr>
            </w:pPr>
            <w:r w:rsidRPr="00D17967">
              <w:rPr>
                <w:color w:val="000000"/>
                <w:shd w:val="clear" w:color="auto" w:fill="FFFFFF"/>
              </w:rPr>
              <w:t>4.   Kai kompetentinga institucija iš anksto perspėja arba paskelbia apie elektros energijos sektoriaus krizę, kiek įmanoma taikomos pasirengimo valdyti krizę plane nustatytos priemonės.</w:t>
            </w:r>
          </w:p>
        </w:tc>
        <w:tc>
          <w:tcPr>
            <w:tcW w:w="6811" w:type="dxa"/>
          </w:tcPr>
          <w:p w14:paraId="5A081C95" w14:textId="77777777" w:rsidR="002325CC" w:rsidRDefault="002325CC" w:rsidP="00A02530">
            <w:pPr>
              <w:jc w:val="both"/>
              <w:rPr>
                <w:rFonts w:eastAsia="Calibri"/>
                <w:lang w:eastAsia="en-US"/>
              </w:rPr>
            </w:pPr>
          </w:p>
          <w:p w14:paraId="44772550" w14:textId="77777777" w:rsidR="00766976" w:rsidRDefault="00766976" w:rsidP="00A02530">
            <w:pPr>
              <w:jc w:val="both"/>
              <w:rPr>
                <w:rFonts w:eastAsia="Calibri"/>
                <w:lang w:eastAsia="en-US"/>
              </w:rPr>
            </w:pPr>
          </w:p>
          <w:p w14:paraId="753B0192" w14:textId="77777777" w:rsidR="00766976" w:rsidRDefault="00766976" w:rsidP="00A02530">
            <w:pPr>
              <w:jc w:val="both"/>
              <w:rPr>
                <w:rFonts w:eastAsia="Calibri"/>
                <w:lang w:eastAsia="en-US"/>
              </w:rPr>
            </w:pPr>
          </w:p>
          <w:p w14:paraId="1B5B34D7" w14:textId="77777777" w:rsidR="00441542" w:rsidRPr="00441542" w:rsidRDefault="00441542" w:rsidP="00441542">
            <w:pPr>
              <w:jc w:val="both"/>
              <w:rPr>
                <w:rFonts w:eastAsia="Calibri"/>
                <w:lang w:eastAsia="en-US"/>
              </w:rPr>
            </w:pPr>
            <w:r w:rsidRPr="00441542">
              <w:rPr>
                <w:rFonts w:eastAsia="Calibri"/>
                <w:lang w:eastAsia="en-US"/>
              </w:rPr>
              <w:t xml:space="preserve">23. Išankstinis perspėjimas skelbiamas, kai Energetikos ministerija, gavusi konkrečios ir patikimos informacijos, nusprendžia, kad gali įvykti </w:t>
            </w:r>
            <w:bookmarkStart w:id="0" w:name="_Hlk47608526"/>
            <w:r w:rsidRPr="00441542">
              <w:rPr>
                <w:rFonts w:eastAsia="Calibri"/>
                <w:lang w:eastAsia="en-US"/>
              </w:rPr>
              <w:t>elektros energetikos sektoriaus krizė</w:t>
            </w:r>
            <w:bookmarkEnd w:id="0"/>
            <w:r w:rsidRPr="00441542">
              <w:rPr>
                <w:rFonts w:eastAsia="Calibri"/>
                <w:lang w:eastAsia="en-US"/>
              </w:rPr>
              <w:t>.</w:t>
            </w:r>
          </w:p>
          <w:p w14:paraId="170AFB77" w14:textId="5B15A6F1" w:rsidR="00766976" w:rsidRPr="00766976" w:rsidRDefault="00E936C1" w:rsidP="00766976">
            <w:pPr>
              <w:jc w:val="both"/>
              <w:rPr>
                <w:rFonts w:eastAsia="Calibri"/>
                <w:lang w:eastAsia="en-US"/>
              </w:rPr>
            </w:pPr>
            <w:r w:rsidRPr="00E936C1">
              <w:rPr>
                <w:rFonts w:eastAsia="Calibri"/>
                <w:lang w:eastAsia="en-US"/>
              </w:rPr>
              <w:t>25. Energetikos ministerija, paskelbusi išankstinį perspėjimą, nedelsdama informuoja Priešgaisrinės apsaugos ir gelbėjimo departamentą prie Vidaus reikalų ministerijos, Lietuvos Respublikos Vyriausybę, Europos Komisiją, to paties regiono valstybių narių kompetentingas institucijas ir, jeigu valstybės narės nėra tame pačiame regione, tiesiogiai sujungtų valstybių narių kompetentingas institucijas.</w:t>
            </w:r>
          </w:p>
          <w:p w14:paraId="4B634279" w14:textId="77777777" w:rsidR="002777F8" w:rsidRPr="002777F8" w:rsidRDefault="002777F8" w:rsidP="002777F8">
            <w:pPr>
              <w:jc w:val="both"/>
              <w:rPr>
                <w:rFonts w:eastAsia="Calibri"/>
                <w:lang w:eastAsia="en-US"/>
              </w:rPr>
            </w:pPr>
            <w:r w:rsidRPr="002777F8">
              <w:rPr>
                <w:rFonts w:eastAsia="Calibri"/>
                <w:lang w:eastAsia="en-US"/>
              </w:rPr>
              <w:t>27. Energetikos ministerija, paskelbusi išankstinį perspėjimą, Aprašo 25 punkte nurodytiems subjektams pateikia informaciją apie galimos elektros energetikos sektoriaus krizės priežastis, planuojamas arba vykdomas priemones, kuriomis siekiama užkirsti kelią elektros energetikos sektoriaus krizei, taip pat nurodo, ar gali reikėti pagalbos iš kitų valstybių narių, ir galimą vykdomų priemonių poveikį elektros energetikos vidaus rinkai.</w:t>
            </w:r>
          </w:p>
          <w:p w14:paraId="50C3840B" w14:textId="38EEA712" w:rsidR="00766976" w:rsidRDefault="00766976" w:rsidP="00766976">
            <w:pPr>
              <w:jc w:val="both"/>
              <w:rPr>
                <w:rFonts w:eastAsia="Calibri"/>
                <w:lang w:eastAsia="en-US"/>
              </w:rPr>
            </w:pPr>
          </w:p>
          <w:p w14:paraId="4BE9618F" w14:textId="77777777" w:rsidR="0095396C" w:rsidRPr="0095396C" w:rsidRDefault="0095396C" w:rsidP="0095396C">
            <w:pPr>
              <w:jc w:val="both"/>
              <w:rPr>
                <w:rFonts w:eastAsia="Calibri"/>
                <w:lang w:eastAsia="en-US"/>
              </w:rPr>
            </w:pPr>
            <w:r w:rsidRPr="0095396C">
              <w:rPr>
                <w:rFonts w:eastAsia="Calibri"/>
                <w:lang w:eastAsia="en-US"/>
              </w:rPr>
              <w:lastRenderedPageBreak/>
              <w:t xml:space="preserve">34. Įvertinusi PSO ir (ar) STO pateiktą informaciją, Energetikos ministerija inicijuoja ekstremaliosios situacijos paskelbimą. </w:t>
            </w:r>
          </w:p>
          <w:p w14:paraId="033ADB14" w14:textId="16747309" w:rsidR="00A50C5E" w:rsidRPr="00A50C5E" w:rsidRDefault="00A50C5E" w:rsidP="00A50C5E">
            <w:pPr>
              <w:jc w:val="both"/>
              <w:rPr>
                <w:rFonts w:eastAsia="Calibri"/>
                <w:lang w:eastAsia="en-US"/>
              </w:rPr>
            </w:pPr>
            <w:r w:rsidRPr="00A50C5E">
              <w:rPr>
                <w:rFonts w:eastAsia="Calibri"/>
                <w:lang w:eastAsia="en-US"/>
              </w:rPr>
              <w:t xml:space="preserve">35. Valstybės lygio ekstremaliąją situaciją skelbia Vyriausybė Energetikos įstatymo 33 straipsnio nustatyta tvarka. </w:t>
            </w:r>
          </w:p>
          <w:p w14:paraId="13EADACC" w14:textId="77777777" w:rsidR="00F87C31" w:rsidRPr="00F87C31" w:rsidRDefault="00F87C31" w:rsidP="00F87C31">
            <w:pPr>
              <w:jc w:val="both"/>
              <w:rPr>
                <w:rFonts w:eastAsia="Calibri"/>
                <w:lang w:eastAsia="en-US"/>
              </w:rPr>
            </w:pPr>
            <w:r w:rsidRPr="00F87C31">
              <w:rPr>
                <w:rFonts w:eastAsia="Calibri"/>
                <w:lang w:eastAsia="en-US"/>
              </w:rPr>
              <w:t xml:space="preserve">36. Paskelbus ekstremaliąją situaciją, Energetikos ministerija nedelsdama apie tai informuoja to paties regiono valstybių narių kompetentingas institucijas ir, jei valstybės narės nėra tame pačiame regione, tiesiogiai sujungtų valstybių narių kompetentingas institucijas, Komisiją ir pateikia joms Aprašo 33 punkte nurodytą informaciją. </w:t>
            </w:r>
          </w:p>
          <w:p w14:paraId="1C124B86" w14:textId="77777777" w:rsidR="007F172F" w:rsidRDefault="007F172F" w:rsidP="00235B69">
            <w:pPr>
              <w:jc w:val="both"/>
              <w:rPr>
                <w:rFonts w:eastAsia="Calibri"/>
                <w:lang w:eastAsia="en-US"/>
              </w:rPr>
            </w:pPr>
          </w:p>
          <w:p w14:paraId="58978AF7" w14:textId="77777777" w:rsidR="007F172F" w:rsidRDefault="007F172F" w:rsidP="00235B69">
            <w:pPr>
              <w:jc w:val="both"/>
              <w:rPr>
                <w:rFonts w:eastAsia="Calibri"/>
                <w:lang w:eastAsia="en-US"/>
              </w:rPr>
            </w:pPr>
          </w:p>
          <w:p w14:paraId="48757B03" w14:textId="2BA28089" w:rsidR="007F172F" w:rsidRDefault="007F172F" w:rsidP="00235B69">
            <w:pPr>
              <w:jc w:val="both"/>
              <w:rPr>
                <w:rFonts w:eastAsia="Calibri"/>
                <w:lang w:eastAsia="en-US"/>
              </w:rPr>
            </w:pPr>
          </w:p>
          <w:p w14:paraId="1429E189" w14:textId="77777777" w:rsidR="007F172F" w:rsidRDefault="007F172F" w:rsidP="00235B69">
            <w:pPr>
              <w:jc w:val="both"/>
              <w:rPr>
                <w:rFonts w:eastAsia="Calibri"/>
                <w:lang w:eastAsia="en-US"/>
              </w:rPr>
            </w:pPr>
          </w:p>
          <w:p w14:paraId="3ADBF21E" w14:textId="77777777" w:rsidR="00690B53" w:rsidRPr="00690B53" w:rsidRDefault="00690B53" w:rsidP="00690B53">
            <w:pPr>
              <w:jc w:val="both"/>
              <w:rPr>
                <w:rFonts w:eastAsia="Calibri"/>
                <w:lang w:eastAsia="en-US"/>
              </w:rPr>
            </w:pPr>
            <w:r w:rsidRPr="00690B53">
              <w:rPr>
                <w:rFonts w:eastAsia="Calibri"/>
                <w:lang w:eastAsia="en-US"/>
              </w:rPr>
              <w:t>26. Paskelbus išankstinį perspėjimą taikomos Plane numatytos priemonės.</w:t>
            </w:r>
          </w:p>
          <w:p w14:paraId="7501F4C2" w14:textId="77777777" w:rsidR="00766976" w:rsidRDefault="00363305" w:rsidP="00E27803">
            <w:pPr>
              <w:jc w:val="both"/>
              <w:rPr>
                <w:rFonts w:eastAsia="Calibri"/>
                <w:lang w:eastAsia="en-US"/>
              </w:rPr>
            </w:pPr>
            <w:r w:rsidRPr="00363305">
              <w:rPr>
                <w:rFonts w:eastAsia="Calibri"/>
                <w:lang w:eastAsia="en-US"/>
              </w:rPr>
              <w:t>38.  Paskelbus ekstremaliąją situaciją taikomos Plane, Energetikos įstatyme, Civilinės saugos įstatyme, Valstybiname ekstremaliųjų situacijų valdymo plane, patvirtintame Lietuvos Respublikos Vyriausybės 2010 m. spalio 20 d. nutarimu Nr. 1503 „Dėl Valstybinio ekstremaliųjų situacijų valdymo plano patvirtinimo“, Vartotojų aprūpinimo energija ir (ar) energijos ištekliais esant ekstremaliai energetikos padėčiai tvarkoje, patvirtintoje Lietuvos Respublikos Vyriausybės 2003 m. sausio 13 d. nutarimu Nr. 12 „Dėl Vartotojų aprūpinimo energija ir (ar) energijos ištekliais esant ekstremaliai energetikos padėčiai tvarkos patvirtinimo“, Energetikos ministerijos ekstremaliųjų situacijų valdymo plane, patvirtintame Lietuvos Respublikos energetikos ministro 2012 m. kovo 13 d. įsakymu Nr. 1-47 „Dėl Energetikos ministerijos ekstremaliųjų situacijų valdymo plano patvirtinimo“,  ir kituose ekstremaliųjų situacijų valdymą reguliuojančiuose teisės aktuose nustatytos priemonės.</w:t>
            </w:r>
          </w:p>
          <w:p w14:paraId="117ABD8C" w14:textId="77777777" w:rsidR="00363305" w:rsidRDefault="00363305" w:rsidP="00E27803">
            <w:pPr>
              <w:jc w:val="both"/>
              <w:rPr>
                <w:rFonts w:eastAsia="Calibri"/>
                <w:lang w:eastAsia="en-US"/>
              </w:rPr>
            </w:pPr>
          </w:p>
          <w:p w14:paraId="7D77CCEB" w14:textId="6717A751" w:rsidR="00363305" w:rsidRDefault="00363305" w:rsidP="00E27803">
            <w:pPr>
              <w:jc w:val="both"/>
              <w:rPr>
                <w:rFonts w:eastAsia="Calibri"/>
                <w:lang w:eastAsia="en-US"/>
              </w:rPr>
            </w:pPr>
          </w:p>
        </w:tc>
        <w:tc>
          <w:tcPr>
            <w:tcW w:w="1800" w:type="dxa"/>
          </w:tcPr>
          <w:p w14:paraId="77FD591D" w14:textId="3D0CE44A" w:rsidR="002325CC" w:rsidRDefault="007B72D9" w:rsidP="00A02530">
            <w:pPr>
              <w:rPr>
                <w:b/>
                <w:bCs/>
              </w:rPr>
            </w:pPr>
            <w:r>
              <w:rPr>
                <w:b/>
                <w:bCs/>
              </w:rPr>
              <w:lastRenderedPageBreak/>
              <w:t>Visiškas</w:t>
            </w:r>
          </w:p>
        </w:tc>
      </w:tr>
      <w:tr w:rsidR="00E27803" w:rsidRPr="00E921FC" w14:paraId="057CFA7F" w14:textId="77777777" w:rsidTr="00960674">
        <w:trPr>
          <w:trHeight w:val="70"/>
        </w:trPr>
        <w:tc>
          <w:tcPr>
            <w:tcW w:w="6237" w:type="dxa"/>
          </w:tcPr>
          <w:p w14:paraId="1C1A12AC" w14:textId="6E7FD941" w:rsidR="00FD56FB" w:rsidRDefault="00FD56FB" w:rsidP="00FD56FB">
            <w:pPr>
              <w:jc w:val="both"/>
              <w:rPr>
                <w:b/>
                <w:bCs/>
                <w:color w:val="000000"/>
                <w:shd w:val="clear" w:color="auto" w:fill="FFFFFF"/>
              </w:rPr>
            </w:pPr>
            <w:r w:rsidRPr="00FD56FB">
              <w:rPr>
                <w:b/>
                <w:bCs/>
                <w:color w:val="000000"/>
                <w:shd w:val="clear" w:color="auto" w:fill="FFFFFF"/>
              </w:rPr>
              <w:lastRenderedPageBreak/>
              <w:t xml:space="preserve">17 straipsnis. </w:t>
            </w:r>
            <w:r w:rsidRPr="00FD56FB">
              <w:rPr>
                <w:b/>
                <w:bCs/>
                <w:i/>
                <w:iCs/>
                <w:color w:val="000000"/>
                <w:shd w:val="clear" w:color="auto" w:fill="FFFFFF"/>
              </w:rPr>
              <w:t>Ex post</w:t>
            </w:r>
            <w:r w:rsidRPr="00FD56FB">
              <w:rPr>
                <w:b/>
                <w:bCs/>
                <w:color w:val="000000"/>
                <w:shd w:val="clear" w:color="auto" w:fill="FFFFFF"/>
              </w:rPr>
              <w:t> vertinimas</w:t>
            </w:r>
          </w:p>
          <w:p w14:paraId="39BE9537" w14:textId="77777777" w:rsidR="00FD56FB" w:rsidRPr="00FD56FB" w:rsidRDefault="00FD56FB" w:rsidP="00FD56FB">
            <w:pPr>
              <w:jc w:val="both"/>
              <w:rPr>
                <w:b/>
                <w:bCs/>
                <w:color w:val="000000"/>
                <w:shd w:val="clear" w:color="auto" w:fill="FFFFFF"/>
              </w:rPr>
            </w:pPr>
          </w:p>
          <w:p w14:paraId="5A32E56D" w14:textId="6266D642" w:rsidR="0007248B" w:rsidRPr="00FD56FB" w:rsidRDefault="00FD56FB" w:rsidP="00FD56FB">
            <w:pPr>
              <w:jc w:val="both"/>
              <w:rPr>
                <w:color w:val="000000"/>
                <w:shd w:val="clear" w:color="auto" w:fill="FFFFFF"/>
              </w:rPr>
            </w:pPr>
            <w:r w:rsidRPr="00FD56FB">
              <w:rPr>
                <w:color w:val="000000"/>
                <w:shd w:val="clear" w:color="auto" w:fill="FFFFFF"/>
              </w:rPr>
              <w:t>1.   Valstybės narės, kuri paskelbė elektros energijos sektoriaus krizę, kompetentinga institucija, pasikonsultavusi su reguliavimo institucija, jei reguliavimo institucija nėra kompetentinga institucija, kuo skubiau ir bet kuriuo atveju per tris mėnesius nuo elektros energijos sektoriaus krizės pabaigos pateikia ECG ir Komisijai </w:t>
            </w:r>
            <w:r w:rsidRPr="00FD56FB">
              <w:rPr>
                <w:i/>
                <w:iCs/>
                <w:color w:val="000000"/>
                <w:shd w:val="clear" w:color="auto" w:fill="FFFFFF"/>
              </w:rPr>
              <w:t>ex post</w:t>
            </w:r>
            <w:r w:rsidRPr="00FD56FB">
              <w:rPr>
                <w:color w:val="000000"/>
                <w:shd w:val="clear" w:color="auto" w:fill="FFFFFF"/>
              </w:rPr>
              <w:t> vertinimo ataskaitą.</w:t>
            </w:r>
          </w:p>
          <w:p w14:paraId="6EE063A3" w14:textId="12B89C0B" w:rsidR="00FD56FB" w:rsidRPr="00FD56FB" w:rsidRDefault="00FD56FB" w:rsidP="00FD56FB">
            <w:pPr>
              <w:jc w:val="both"/>
              <w:rPr>
                <w:color w:val="000000"/>
                <w:shd w:val="clear" w:color="auto" w:fill="FFFFFF"/>
              </w:rPr>
            </w:pPr>
            <w:r w:rsidRPr="00FD56FB">
              <w:rPr>
                <w:color w:val="000000"/>
                <w:shd w:val="clear" w:color="auto" w:fill="FFFFFF"/>
              </w:rPr>
              <w:t>2.   </w:t>
            </w:r>
            <w:r w:rsidRPr="00FD56FB">
              <w:rPr>
                <w:i/>
                <w:iCs/>
                <w:color w:val="000000"/>
                <w:shd w:val="clear" w:color="auto" w:fill="FFFFFF"/>
              </w:rPr>
              <w:t>Ex post</w:t>
            </w:r>
            <w:r w:rsidRPr="00FD56FB">
              <w:rPr>
                <w:color w:val="000000"/>
                <w:shd w:val="clear" w:color="auto" w:fill="FFFFFF"/>
              </w:rPr>
              <w:t> vertinimo ataskaitoje pateikiama bent ši informacija:</w:t>
            </w:r>
            <w:r w:rsidR="0007248B">
              <w:rPr>
                <w:color w:val="000000"/>
                <w:shd w:val="clear" w:color="auto" w:fill="FFFFFF"/>
              </w:rPr>
              <w:t xml:space="preserve"> (...).</w:t>
            </w:r>
          </w:p>
          <w:p w14:paraId="1ECA4E8A" w14:textId="75EB5F1F" w:rsidR="00FD56FB" w:rsidRPr="00FD56FB" w:rsidRDefault="00FD56FB" w:rsidP="00FD56FB">
            <w:pPr>
              <w:jc w:val="both"/>
              <w:rPr>
                <w:color w:val="000000"/>
                <w:shd w:val="clear" w:color="auto" w:fill="FFFFFF"/>
              </w:rPr>
            </w:pPr>
          </w:p>
          <w:p w14:paraId="25414ACB" w14:textId="21ADA8BF" w:rsidR="00E27803" w:rsidRPr="00FD56FB" w:rsidRDefault="00FD56FB" w:rsidP="00D17967">
            <w:pPr>
              <w:jc w:val="both"/>
              <w:rPr>
                <w:color w:val="000000"/>
                <w:shd w:val="clear" w:color="auto" w:fill="FFFFFF"/>
              </w:rPr>
            </w:pPr>
            <w:r w:rsidRPr="00FD56FB">
              <w:rPr>
                <w:color w:val="000000"/>
                <w:shd w:val="clear" w:color="auto" w:fill="FFFFFF"/>
              </w:rPr>
              <w:t>4.   Atitinkama kompetentinga institucija </w:t>
            </w:r>
            <w:r w:rsidRPr="00FD56FB">
              <w:rPr>
                <w:i/>
                <w:iCs/>
                <w:color w:val="000000"/>
                <w:shd w:val="clear" w:color="auto" w:fill="FFFFFF"/>
              </w:rPr>
              <w:t>ex post</w:t>
            </w:r>
            <w:r w:rsidRPr="00FD56FB">
              <w:rPr>
                <w:color w:val="000000"/>
                <w:shd w:val="clear" w:color="auto" w:fill="FFFFFF"/>
              </w:rPr>
              <w:t> vertinimo rezultatus pristato ECG posėdyje. Rezultatai turi atsispindėti atnaujintame pasirengimo valdyti riziką plane.</w:t>
            </w:r>
          </w:p>
        </w:tc>
        <w:tc>
          <w:tcPr>
            <w:tcW w:w="6811" w:type="dxa"/>
          </w:tcPr>
          <w:p w14:paraId="2B0B69F1" w14:textId="77777777" w:rsidR="00E27803" w:rsidRDefault="00E27803" w:rsidP="00E27803">
            <w:pPr>
              <w:jc w:val="both"/>
              <w:rPr>
                <w:rFonts w:eastAsia="Calibri"/>
                <w:lang w:eastAsia="en-US"/>
              </w:rPr>
            </w:pPr>
          </w:p>
          <w:p w14:paraId="4E01B168" w14:textId="77777777" w:rsidR="00E27803" w:rsidRDefault="00E27803" w:rsidP="00E27803">
            <w:pPr>
              <w:jc w:val="both"/>
              <w:rPr>
                <w:rFonts w:eastAsia="Calibri"/>
                <w:lang w:eastAsia="en-US"/>
              </w:rPr>
            </w:pPr>
          </w:p>
          <w:p w14:paraId="535B52B3" w14:textId="77777777" w:rsidR="00B64378" w:rsidRPr="00B64378" w:rsidRDefault="00B64378" w:rsidP="00B64378">
            <w:pPr>
              <w:jc w:val="both"/>
              <w:rPr>
                <w:rFonts w:eastAsia="Calibri"/>
                <w:lang w:eastAsia="en-US"/>
              </w:rPr>
            </w:pPr>
            <w:r w:rsidRPr="00B64378">
              <w:rPr>
                <w:rFonts w:eastAsia="Calibri"/>
                <w:lang w:eastAsia="en-US"/>
              </w:rPr>
              <w:t>40. Pasibaigus ekstremaliajai situacijai, Energetikos ministerija, pasikonsultavusi su Taryba, nedelsdama, bet nė vėliau kaip per tris mėnesius po to, kai Vyriausybė paskelbia ekstremaliosios situacijos pabaigą, pateikia Elektros energetikos sektoriaus veiklos koordinavimo grupei ir Komisijai </w:t>
            </w:r>
            <w:r w:rsidRPr="00B64378">
              <w:rPr>
                <w:rFonts w:eastAsia="Calibri"/>
                <w:i/>
                <w:iCs/>
                <w:lang w:eastAsia="en-US"/>
              </w:rPr>
              <w:t>ex post</w:t>
            </w:r>
            <w:r w:rsidRPr="00B64378">
              <w:rPr>
                <w:rFonts w:eastAsia="Calibri"/>
                <w:lang w:eastAsia="en-US"/>
              </w:rPr>
              <w:t> vertinimo ataskaitą. Informacija, kuri turi būti pateikta </w:t>
            </w:r>
            <w:r w:rsidRPr="00B64378">
              <w:rPr>
                <w:rFonts w:eastAsia="Calibri"/>
                <w:i/>
                <w:iCs/>
                <w:lang w:eastAsia="en-US"/>
              </w:rPr>
              <w:t>ex post</w:t>
            </w:r>
            <w:r w:rsidRPr="00B64378">
              <w:rPr>
                <w:rFonts w:eastAsia="Calibri"/>
                <w:lang w:eastAsia="en-US"/>
              </w:rPr>
              <w:t> vertinimo ataskaitoje, nurodyta Reglamento (ES) 2019/941 17 straipsnio 2 dalyje.</w:t>
            </w:r>
          </w:p>
          <w:p w14:paraId="5405295F" w14:textId="7D702C2A" w:rsidR="00E27803" w:rsidRDefault="00E27803" w:rsidP="00E27803">
            <w:pPr>
              <w:jc w:val="both"/>
              <w:rPr>
                <w:rFonts w:eastAsia="Calibri"/>
                <w:lang w:eastAsia="en-US"/>
              </w:rPr>
            </w:pPr>
          </w:p>
          <w:p w14:paraId="0616389D" w14:textId="77777777" w:rsidR="0007248B" w:rsidRPr="00E27803" w:rsidRDefault="0007248B" w:rsidP="00E27803">
            <w:pPr>
              <w:jc w:val="both"/>
              <w:rPr>
                <w:rFonts w:eastAsia="Calibri"/>
                <w:lang w:eastAsia="en-US"/>
              </w:rPr>
            </w:pPr>
          </w:p>
          <w:p w14:paraId="54DF0E55" w14:textId="2E39BE1E" w:rsidR="00E27803" w:rsidRDefault="00592436" w:rsidP="00A02530">
            <w:pPr>
              <w:jc w:val="both"/>
              <w:rPr>
                <w:rFonts w:eastAsia="Calibri"/>
                <w:lang w:eastAsia="en-US"/>
              </w:rPr>
            </w:pPr>
            <w:r w:rsidRPr="00592436">
              <w:rPr>
                <w:rFonts w:eastAsia="Calibri"/>
                <w:lang w:eastAsia="en-US"/>
              </w:rPr>
              <w:t>41. Energetikos ministerija</w:t>
            </w:r>
            <w:r w:rsidRPr="00592436">
              <w:rPr>
                <w:rFonts w:eastAsia="Calibri"/>
                <w:i/>
                <w:iCs/>
                <w:lang w:eastAsia="en-US"/>
              </w:rPr>
              <w:t xml:space="preserve"> ex post</w:t>
            </w:r>
            <w:r w:rsidRPr="00592436">
              <w:rPr>
                <w:rFonts w:eastAsia="Calibri"/>
                <w:lang w:eastAsia="en-US"/>
              </w:rPr>
              <w:t> vertinimo rezultatus pristato Elektros energetikos sektoriaus veiklos koordinavimo grupės posėdyje. Rezultatai turi būti įvertinami atnaujinant Planą.</w:t>
            </w:r>
          </w:p>
        </w:tc>
        <w:tc>
          <w:tcPr>
            <w:tcW w:w="1800" w:type="dxa"/>
          </w:tcPr>
          <w:p w14:paraId="0C35C2C0" w14:textId="343A56B7" w:rsidR="00E27803" w:rsidRDefault="007B72D9" w:rsidP="00A02530">
            <w:pPr>
              <w:rPr>
                <w:b/>
                <w:bCs/>
              </w:rPr>
            </w:pPr>
            <w:r>
              <w:rPr>
                <w:b/>
                <w:bCs/>
              </w:rPr>
              <w:t>Visiškas</w:t>
            </w:r>
          </w:p>
        </w:tc>
      </w:tr>
      <w:tr w:rsidR="007B72D9" w:rsidRPr="00E921FC" w14:paraId="28F576D6" w14:textId="77777777" w:rsidTr="00960674">
        <w:trPr>
          <w:trHeight w:val="70"/>
        </w:trPr>
        <w:tc>
          <w:tcPr>
            <w:tcW w:w="6237" w:type="dxa"/>
          </w:tcPr>
          <w:p w14:paraId="34D91CE9" w14:textId="66525A76" w:rsidR="00222A34" w:rsidRDefault="00222A34" w:rsidP="00222A34">
            <w:pPr>
              <w:jc w:val="both"/>
              <w:rPr>
                <w:b/>
                <w:bCs/>
                <w:color w:val="000000"/>
                <w:shd w:val="clear" w:color="auto" w:fill="FFFFFF"/>
              </w:rPr>
            </w:pPr>
            <w:r w:rsidRPr="00222A34">
              <w:rPr>
                <w:b/>
                <w:bCs/>
                <w:color w:val="000000"/>
                <w:shd w:val="clear" w:color="auto" w:fill="FFFFFF"/>
              </w:rPr>
              <w:t>19 straipsnis</w:t>
            </w:r>
            <w:r>
              <w:rPr>
                <w:b/>
                <w:bCs/>
                <w:color w:val="000000"/>
                <w:shd w:val="clear" w:color="auto" w:fill="FFFFFF"/>
              </w:rPr>
              <w:t xml:space="preserve">. </w:t>
            </w:r>
            <w:r w:rsidRPr="00222A34">
              <w:rPr>
                <w:b/>
                <w:bCs/>
                <w:color w:val="000000"/>
                <w:shd w:val="clear" w:color="auto" w:fill="FFFFFF"/>
              </w:rPr>
              <w:t>Konfidencialios informacijos tvarkymas</w:t>
            </w:r>
          </w:p>
          <w:p w14:paraId="00655B14" w14:textId="77777777" w:rsidR="00222A34" w:rsidRPr="00222A34" w:rsidRDefault="00222A34" w:rsidP="00222A34">
            <w:pPr>
              <w:jc w:val="both"/>
              <w:rPr>
                <w:b/>
                <w:bCs/>
                <w:color w:val="000000"/>
                <w:shd w:val="clear" w:color="auto" w:fill="FFFFFF"/>
              </w:rPr>
            </w:pPr>
          </w:p>
          <w:p w14:paraId="0836F848" w14:textId="7C3A6394" w:rsidR="00222A34" w:rsidRDefault="00222A34" w:rsidP="00222A34">
            <w:pPr>
              <w:jc w:val="both"/>
              <w:rPr>
                <w:color w:val="000000"/>
                <w:shd w:val="clear" w:color="auto" w:fill="FFFFFF"/>
              </w:rPr>
            </w:pPr>
            <w:r w:rsidRPr="00222A34">
              <w:rPr>
                <w:color w:val="000000"/>
                <w:shd w:val="clear" w:color="auto" w:fill="FFFFFF"/>
              </w:rPr>
              <w:t>1.   Valstybės narės ir kompetentingos institucijos įgyvendina šiame reglamente nurodytas procedūras, laikydamosi taikytinų taisyklių, įskaitant nacionalines taisykles, susijusias su konfidencialios informacijos tvarkymu ir procesais. Jei įgyvendinant tas taisykles informacija neatskleidžiama, be kita ko, laikantis pasirengimo valdyti riziką planų, valstybė narė arba institucija gali pateikti nekonfidencialią tokios informacijos santrauką, ir taip padaro gavusi prašymą.</w:t>
            </w:r>
          </w:p>
          <w:p w14:paraId="670B1D66" w14:textId="77777777" w:rsidR="006C1F0E" w:rsidRPr="00222A34" w:rsidRDefault="006C1F0E" w:rsidP="00222A34">
            <w:pPr>
              <w:jc w:val="both"/>
              <w:rPr>
                <w:color w:val="000000"/>
                <w:shd w:val="clear" w:color="auto" w:fill="FFFFFF"/>
              </w:rPr>
            </w:pPr>
          </w:p>
          <w:p w14:paraId="3822FC65" w14:textId="6B3D98C3" w:rsidR="007B72D9" w:rsidRPr="002F74DF" w:rsidRDefault="00222A34" w:rsidP="00FD56FB">
            <w:pPr>
              <w:jc w:val="both"/>
              <w:rPr>
                <w:color w:val="000000"/>
                <w:shd w:val="clear" w:color="auto" w:fill="FFFFFF"/>
              </w:rPr>
            </w:pPr>
            <w:r w:rsidRPr="00222A34">
              <w:rPr>
                <w:color w:val="000000"/>
                <w:shd w:val="clear" w:color="auto" w:fill="FFFFFF"/>
              </w:rPr>
              <w:t>2.   Komisija, ACER, ECG, ENTSO-E, valstybės narės, kompetentingos institucijos, reguliavimo institucijos ir kitos atitinkamos įstaigos, subjektai ar asmenys, gaunantys konfidencialią informaciją pagal šį reglamentą, užtikrina neskelbtinos informacijos konfidencialumą.</w:t>
            </w:r>
          </w:p>
        </w:tc>
        <w:tc>
          <w:tcPr>
            <w:tcW w:w="6811" w:type="dxa"/>
          </w:tcPr>
          <w:p w14:paraId="4E84F6C1" w14:textId="77777777" w:rsidR="007B72D9" w:rsidRDefault="007B72D9" w:rsidP="00E27803">
            <w:pPr>
              <w:jc w:val="both"/>
              <w:rPr>
                <w:rFonts w:eastAsia="Calibri"/>
                <w:lang w:eastAsia="en-US"/>
              </w:rPr>
            </w:pPr>
          </w:p>
          <w:p w14:paraId="084B660C" w14:textId="77777777" w:rsidR="00222A34" w:rsidRDefault="00222A34" w:rsidP="00E27803">
            <w:pPr>
              <w:jc w:val="both"/>
              <w:rPr>
                <w:rFonts w:eastAsia="Calibri"/>
                <w:lang w:eastAsia="en-US"/>
              </w:rPr>
            </w:pPr>
          </w:p>
          <w:p w14:paraId="4F5A5125" w14:textId="2EB591C7" w:rsidR="006C1F0E" w:rsidRDefault="006C1F0E" w:rsidP="006C1F0E">
            <w:pPr>
              <w:jc w:val="both"/>
              <w:rPr>
                <w:rFonts w:eastAsia="Calibri"/>
                <w:lang w:eastAsia="en-US"/>
              </w:rPr>
            </w:pPr>
            <w:r w:rsidRPr="006C1F0E">
              <w:rPr>
                <w:rFonts w:eastAsia="Calibri"/>
                <w:lang w:eastAsia="en-US"/>
              </w:rPr>
              <w:t>4</w:t>
            </w:r>
            <w:r w:rsidR="00592436">
              <w:rPr>
                <w:rFonts w:eastAsia="Calibri"/>
                <w:lang w:eastAsia="en-US"/>
              </w:rPr>
              <w:t>2</w:t>
            </w:r>
            <w:r w:rsidRPr="006C1F0E">
              <w:rPr>
                <w:rFonts w:eastAsia="Calibri"/>
                <w:lang w:eastAsia="en-US"/>
              </w:rPr>
              <w:t>. Nustatytas procedūras atsakingos institucijos įgyvendina vadovaudamosi teisės aktais, susijusiais su konfidencialios informacijos tvarkymu ir procesais. Jei, vadovaujantis šiais teisės aktais, informacija neatskleidžiama, kompetentinga institucija, gavusi prašymą, gali pateikti nekonfidencialią tokios informacijos santrauką.</w:t>
            </w:r>
          </w:p>
          <w:p w14:paraId="31CD5CF0" w14:textId="2E732E7E" w:rsidR="006C1F0E" w:rsidRDefault="006C1F0E" w:rsidP="006C1F0E">
            <w:pPr>
              <w:jc w:val="both"/>
              <w:rPr>
                <w:rFonts w:eastAsia="Calibri"/>
                <w:lang w:eastAsia="en-US"/>
              </w:rPr>
            </w:pPr>
          </w:p>
          <w:p w14:paraId="13CB604F" w14:textId="3073BCFB" w:rsidR="006C1F0E" w:rsidRDefault="006C1F0E" w:rsidP="006C1F0E">
            <w:pPr>
              <w:jc w:val="both"/>
              <w:rPr>
                <w:rFonts w:eastAsia="Calibri"/>
                <w:lang w:eastAsia="en-US"/>
              </w:rPr>
            </w:pPr>
          </w:p>
          <w:p w14:paraId="6325A460" w14:textId="77777777" w:rsidR="006C1F0E" w:rsidRPr="006C1F0E" w:rsidRDefault="006C1F0E" w:rsidP="006C1F0E">
            <w:pPr>
              <w:jc w:val="both"/>
              <w:rPr>
                <w:rFonts w:eastAsia="Calibri"/>
                <w:lang w:eastAsia="en-US"/>
              </w:rPr>
            </w:pPr>
          </w:p>
          <w:p w14:paraId="56E7D7E6" w14:textId="354C0F52" w:rsidR="006C1F0E" w:rsidRPr="006C1F0E" w:rsidRDefault="006C1F0E" w:rsidP="006C1F0E">
            <w:pPr>
              <w:jc w:val="both"/>
              <w:rPr>
                <w:rFonts w:eastAsia="Calibri"/>
                <w:lang w:eastAsia="en-US"/>
              </w:rPr>
            </w:pPr>
            <w:r w:rsidRPr="006C1F0E">
              <w:rPr>
                <w:rFonts w:eastAsia="Calibri"/>
                <w:lang w:eastAsia="en-US"/>
              </w:rPr>
              <w:t>4</w:t>
            </w:r>
            <w:r w:rsidR="00592436">
              <w:rPr>
                <w:rFonts w:eastAsia="Calibri"/>
                <w:lang w:eastAsia="en-US"/>
              </w:rPr>
              <w:t>3</w:t>
            </w:r>
            <w:r w:rsidRPr="006C1F0E">
              <w:rPr>
                <w:rFonts w:eastAsia="Calibri"/>
                <w:lang w:eastAsia="en-US"/>
              </w:rPr>
              <w:t>.   Visi subjektai, gaunantys konfidencialią informaciją, užtikrina neskelbtinos informacijos konfidencialumą.</w:t>
            </w:r>
          </w:p>
          <w:p w14:paraId="313978A6" w14:textId="5DFB2F1D" w:rsidR="00222A34" w:rsidRDefault="00222A34" w:rsidP="00E27803">
            <w:pPr>
              <w:jc w:val="both"/>
              <w:rPr>
                <w:rFonts w:eastAsia="Calibri"/>
                <w:lang w:eastAsia="en-US"/>
              </w:rPr>
            </w:pPr>
          </w:p>
        </w:tc>
        <w:tc>
          <w:tcPr>
            <w:tcW w:w="1800" w:type="dxa"/>
          </w:tcPr>
          <w:p w14:paraId="04D63680" w14:textId="7A42FF13" w:rsidR="007B72D9" w:rsidRDefault="006C1F0E" w:rsidP="00A02530">
            <w:pPr>
              <w:rPr>
                <w:b/>
                <w:bCs/>
              </w:rPr>
            </w:pPr>
            <w:r>
              <w:rPr>
                <w:b/>
                <w:bCs/>
              </w:rPr>
              <w:t>Visiškas</w:t>
            </w:r>
          </w:p>
        </w:tc>
      </w:tr>
    </w:tbl>
    <w:p w14:paraId="3BC31CD2" w14:textId="77777777" w:rsidR="006E4841" w:rsidRPr="00E921FC" w:rsidRDefault="001E0A17" w:rsidP="00735105">
      <w:pPr>
        <w:jc w:val="center"/>
      </w:pPr>
      <w:r w:rsidRPr="00E921FC">
        <w:t>_______________</w:t>
      </w:r>
    </w:p>
    <w:sectPr w:rsidR="006E4841" w:rsidRPr="00E921FC" w:rsidSect="00960674">
      <w:headerReference w:type="even" r:id="rId11"/>
      <w:footnotePr>
        <w:numFmt w:val="chicago"/>
      </w:footnotePr>
      <w:pgSz w:w="16838" w:h="11906" w:orient="landscape" w:code="9"/>
      <w:pgMar w:top="1135" w:right="567" w:bottom="113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71086" w14:textId="77777777" w:rsidR="00F04C5F" w:rsidRDefault="00F04C5F">
      <w:r>
        <w:separator/>
      </w:r>
    </w:p>
  </w:endnote>
  <w:endnote w:type="continuationSeparator" w:id="0">
    <w:p w14:paraId="74276DE0" w14:textId="77777777" w:rsidR="00F04C5F" w:rsidRDefault="00F0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66849" w14:textId="77777777" w:rsidR="00F04C5F" w:rsidRDefault="00F04C5F">
      <w:r>
        <w:separator/>
      </w:r>
    </w:p>
  </w:footnote>
  <w:footnote w:type="continuationSeparator" w:id="0">
    <w:p w14:paraId="6C635101" w14:textId="77777777" w:rsidR="00F04C5F" w:rsidRDefault="00F0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34FF" w14:textId="77777777" w:rsidR="006050C1" w:rsidRDefault="006050C1" w:rsidP="002457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D12D3" w14:textId="77777777" w:rsidR="006050C1" w:rsidRDefault="00605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D2D7111"/>
    <w:multiLevelType w:val="hybridMultilevel"/>
    <w:tmpl w:val="F3E646B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7750E4"/>
    <w:multiLevelType w:val="hybridMultilevel"/>
    <w:tmpl w:val="0742D5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40"/>
    <w:rsid w:val="000071DD"/>
    <w:rsid w:val="00011FCA"/>
    <w:rsid w:val="00013A8F"/>
    <w:rsid w:val="00013E1B"/>
    <w:rsid w:val="00014F37"/>
    <w:rsid w:val="00017708"/>
    <w:rsid w:val="0002034A"/>
    <w:rsid w:val="00020C76"/>
    <w:rsid w:val="000223AC"/>
    <w:rsid w:val="00024051"/>
    <w:rsid w:val="00025F9A"/>
    <w:rsid w:val="00030606"/>
    <w:rsid w:val="00031564"/>
    <w:rsid w:val="00034676"/>
    <w:rsid w:val="00037517"/>
    <w:rsid w:val="00040177"/>
    <w:rsid w:val="00054218"/>
    <w:rsid w:val="00057731"/>
    <w:rsid w:val="00061E0B"/>
    <w:rsid w:val="000632E4"/>
    <w:rsid w:val="000637F8"/>
    <w:rsid w:val="000659BC"/>
    <w:rsid w:val="000674E0"/>
    <w:rsid w:val="00067D13"/>
    <w:rsid w:val="0007248B"/>
    <w:rsid w:val="00087C29"/>
    <w:rsid w:val="00091BD0"/>
    <w:rsid w:val="0009691C"/>
    <w:rsid w:val="000A0A01"/>
    <w:rsid w:val="000A4237"/>
    <w:rsid w:val="000A4DF7"/>
    <w:rsid w:val="000A50FF"/>
    <w:rsid w:val="000A6DAF"/>
    <w:rsid w:val="000B142A"/>
    <w:rsid w:val="000B2959"/>
    <w:rsid w:val="000B313B"/>
    <w:rsid w:val="000B735B"/>
    <w:rsid w:val="000B7D14"/>
    <w:rsid w:val="000C42DC"/>
    <w:rsid w:val="000D02B0"/>
    <w:rsid w:val="000D0DE3"/>
    <w:rsid w:val="000D1D0D"/>
    <w:rsid w:val="000D3BC0"/>
    <w:rsid w:val="000E2480"/>
    <w:rsid w:val="000F0768"/>
    <w:rsid w:val="000F13B5"/>
    <w:rsid w:val="000F2B61"/>
    <w:rsid w:val="000F2F9F"/>
    <w:rsid w:val="000F49EF"/>
    <w:rsid w:val="00102644"/>
    <w:rsid w:val="001138D4"/>
    <w:rsid w:val="0011556A"/>
    <w:rsid w:val="00116F1E"/>
    <w:rsid w:val="00117E32"/>
    <w:rsid w:val="001206CB"/>
    <w:rsid w:val="00121ED2"/>
    <w:rsid w:val="001230DB"/>
    <w:rsid w:val="001239EE"/>
    <w:rsid w:val="00127B12"/>
    <w:rsid w:val="0013016D"/>
    <w:rsid w:val="00140E2E"/>
    <w:rsid w:val="00147B98"/>
    <w:rsid w:val="00150E2E"/>
    <w:rsid w:val="00164EF2"/>
    <w:rsid w:val="0016557D"/>
    <w:rsid w:val="001663AB"/>
    <w:rsid w:val="00167EE2"/>
    <w:rsid w:val="001748CB"/>
    <w:rsid w:val="00174EDC"/>
    <w:rsid w:val="0017533B"/>
    <w:rsid w:val="0017605C"/>
    <w:rsid w:val="00176D4F"/>
    <w:rsid w:val="00181919"/>
    <w:rsid w:val="001852D8"/>
    <w:rsid w:val="001869F0"/>
    <w:rsid w:val="001911BD"/>
    <w:rsid w:val="00193075"/>
    <w:rsid w:val="0019714C"/>
    <w:rsid w:val="001A2B96"/>
    <w:rsid w:val="001A2D4F"/>
    <w:rsid w:val="001A4482"/>
    <w:rsid w:val="001A4518"/>
    <w:rsid w:val="001A6D3E"/>
    <w:rsid w:val="001B2E22"/>
    <w:rsid w:val="001B3989"/>
    <w:rsid w:val="001B4062"/>
    <w:rsid w:val="001B4E39"/>
    <w:rsid w:val="001B5640"/>
    <w:rsid w:val="001B64DA"/>
    <w:rsid w:val="001B6666"/>
    <w:rsid w:val="001C3016"/>
    <w:rsid w:val="001C414A"/>
    <w:rsid w:val="001C6007"/>
    <w:rsid w:val="001C7DD5"/>
    <w:rsid w:val="001D0A4A"/>
    <w:rsid w:val="001D3278"/>
    <w:rsid w:val="001D55A4"/>
    <w:rsid w:val="001E0A17"/>
    <w:rsid w:val="001E0AB3"/>
    <w:rsid w:val="001E1202"/>
    <w:rsid w:val="001E2735"/>
    <w:rsid w:val="001E3F6C"/>
    <w:rsid w:val="001F4692"/>
    <w:rsid w:val="001F4EAA"/>
    <w:rsid w:val="00205734"/>
    <w:rsid w:val="00216ED4"/>
    <w:rsid w:val="00217631"/>
    <w:rsid w:val="002209A0"/>
    <w:rsid w:val="00220F48"/>
    <w:rsid w:val="00222A0A"/>
    <w:rsid w:val="00222A34"/>
    <w:rsid w:val="002249DB"/>
    <w:rsid w:val="002325CC"/>
    <w:rsid w:val="002332B2"/>
    <w:rsid w:val="0023406A"/>
    <w:rsid w:val="00235B69"/>
    <w:rsid w:val="002365BB"/>
    <w:rsid w:val="00236FB0"/>
    <w:rsid w:val="00241D2F"/>
    <w:rsid w:val="00241E3B"/>
    <w:rsid w:val="00243A76"/>
    <w:rsid w:val="00243EC8"/>
    <w:rsid w:val="00244431"/>
    <w:rsid w:val="00245021"/>
    <w:rsid w:val="00245117"/>
    <w:rsid w:val="002454C8"/>
    <w:rsid w:val="00245784"/>
    <w:rsid w:val="00247A04"/>
    <w:rsid w:val="0025174A"/>
    <w:rsid w:val="00253C7E"/>
    <w:rsid w:val="00255192"/>
    <w:rsid w:val="00260D7E"/>
    <w:rsid w:val="00263009"/>
    <w:rsid w:val="0026462E"/>
    <w:rsid w:val="002647B3"/>
    <w:rsid w:val="002702FF"/>
    <w:rsid w:val="00270BD9"/>
    <w:rsid w:val="00273FC2"/>
    <w:rsid w:val="002777F8"/>
    <w:rsid w:val="0028046C"/>
    <w:rsid w:val="002823B6"/>
    <w:rsid w:val="0028417F"/>
    <w:rsid w:val="002875D1"/>
    <w:rsid w:val="002938AE"/>
    <w:rsid w:val="0029425F"/>
    <w:rsid w:val="002942DE"/>
    <w:rsid w:val="002A14A7"/>
    <w:rsid w:val="002A2278"/>
    <w:rsid w:val="002A6BE2"/>
    <w:rsid w:val="002B24F0"/>
    <w:rsid w:val="002B787F"/>
    <w:rsid w:val="002C3C5B"/>
    <w:rsid w:val="002D1283"/>
    <w:rsid w:val="002D5DCF"/>
    <w:rsid w:val="002E15B0"/>
    <w:rsid w:val="002F1D0F"/>
    <w:rsid w:val="002F25D1"/>
    <w:rsid w:val="002F29BB"/>
    <w:rsid w:val="002F74DF"/>
    <w:rsid w:val="00313135"/>
    <w:rsid w:val="003154B8"/>
    <w:rsid w:val="0032337F"/>
    <w:rsid w:val="00324A08"/>
    <w:rsid w:val="003262DF"/>
    <w:rsid w:val="003265BD"/>
    <w:rsid w:val="00327F17"/>
    <w:rsid w:val="0033013F"/>
    <w:rsid w:val="003304F2"/>
    <w:rsid w:val="0033368F"/>
    <w:rsid w:val="00335E3E"/>
    <w:rsid w:val="00336B97"/>
    <w:rsid w:val="00337870"/>
    <w:rsid w:val="00343BD9"/>
    <w:rsid w:val="003451DD"/>
    <w:rsid w:val="00353FB0"/>
    <w:rsid w:val="00355E55"/>
    <w:rsid w:val="00363305"/>
    <w:rsid w:val="00363BCF"/>
    <w:rsid w:val="00363F19"/>
    <w:rsid w:val="003645D6"/>
    <w:rsid w:val="00365708"/>
    <w:rsid w:val="00376855"/>
    <w:rsid w:val="003814AC"/>
    <w:rsid w:val="00387300"/>
    <w:rsid w:val="003919FB"/>
    <w:rsid w:val="00397EDA"/>
    <w:rsid w:val="003A1F30"/>
    <w:rsid w:val="003A24E4"/>
    <w:rsid w:val="003A5276"/>
    <w:rsid w:val="003A6099"/>
    <w:rsid w:val="003B149D"/>
    <w:rsid w:val="003B16B7"/>
    <w:rsid w:val="003C6314"/>
    <w:rsid w:val="003D12C3"/>
    <w:rsid w:val="003D3F79"/>
    <w:rsid w:val="003D61B0"/>
    <w:rsid w:val="003E0E0B"/>
    <w:rsid w:val="003E6932"/>
    <w:rsid w:val="003E6C7E"/>
    <w:rsid w:val="003F10CF"/>
    <w:rsid w:val="003F7F02"/>
    <w:rsid w:val="00400833"/>
    <w:rsid w:val="00400B42"/>
    <w:rsid w:val="00400D41"/>
    <w:rsid w:val="00401169"/>
    <w:rsid w:val="004016CB"/>
    <w:rsid w:val="00402C72"/>
    <w:rsid w:val="0040748B"/>
    <w:rsid w:val="00410C3B"/>
    <w:rsid w:val="00411317"/>
    <w:rsid w:val="00413A27"/>
    <w:rsid w:val="00413BE7"/>
    <w:rsid w:val="00420F8E"/>
    <w:rsid w:val="00423ACD"/>
    <w:rsid w:val="004264FA"/>
    <w:rsid w:val="0042751A"/>
    <w:rsid w:val="004332B8"/>
    <w:rsid w:val="004333EC"/>
    <w:rsid w:val="00434361"/>
    <w:rsid w:val="00437451"/>
    <w:rsid w:val="00441542"/>
    <w:rsid w:val="0044454D"/>
    <w:rsid w:val="00454C10"/>
    <w:rsid w:val="0045734D"/>
    <w:rsid w:val="00460BC6"/>
    <w:rsid w:val="00465A3B"/>
    <w:rsid w:val="00471398"/>
    <w:rsid w:val="00474A83"/>
    <w:rsid w:val="0048700C"/>
    <w:rsid w:val="004871D5"/>
    <w:rsid w:val="00494BD0"/>
    <w:rsid w:val="004A514D"/>
    <w:rsid w:val="004B6085"/>
    <w:rsid w:val="004C595E"/>
    <w:rsid w:val="004C7107"/>
    <w:rsid w:val="004C7B29"/>
    <w:rsid w:val="004D5D1C"/>
    <w:rsid w:val="004D7BDD"/>
    <w:rsid w:val="004E0078"/>
    <w:rsid w:val="004E2533"/>
    <w:rsid w:val="004E2CFD"/>
    <w:rsid w:val="004E7C66"/>
    <w:rsid w:val="004F121C"/>
    <w:rsid w:val="004F3D82"/>
    <w:rsid w:val="004F5006"/>
    <w:rsid w:val="004F5DB6"/>
    <w:rsid w:val="0050531E"/>
    <w:rsid w:val="00510372"/>
    <w:rsid w:val="005134E9"/>
    <w:rsid w:val="005146AD"/>
    <w:rsid w:val="00514AA7"/>
    <w:rsid w:val="00521642"/>
    <w:rsid w:val="00521F05"/>
    <w:rsid w:val="00524E4D"/>
    <w:rsid w:val="005469CD"/>
    <w:rsid w:val="0055216C"/>
    <w:rsid w:val="00560488"/>
    <w:rsid w:val="0056601A"/>
    <w:rsid w:val="00577759"/>
    <w:rsid w:val="00584ED6"/>
    <w:rsid w:val="00585C9A"/>
    <w:rsid w:val="00586B6C"/>
    <w:rsid w:val="00586CBE"/>
    <w:rsid w:val="00592436"/>
    <w:rsid w:val="00592503"/>
    <w:rsid w:val="0059251C"/>
    <w:rsid w:val="005926A2"/>
    <w:rsid w:val="005A0A09"/>
    <w:rsid w:val="005A28EA"/>
    <w:rsid w:val="005A37F3"/>
    <w:rsid w:val="005A3A39"/>
    <w:rsid w:val="005A59DA"/>
    <w:rsid w:val="005B3677"/>
    <w:rsid w:val="005B4335"/>
    <w:rsid w:val="005B463E"/>
    <w:rsid w:val="005B7627"/>
    <w:rsid w:val="005C3061"/>
    <w:rsid w:val="005D003C"/>
    <w:rsid w:val="005D07D3"/>
    <w:rsid w:val="005D2C4C"/>
    <w:rsid w:val="005E3926"/>
    <w:rsid w:val="005F2025"/>
    <w:rsid w:val="005F5ADF"/>
    <w:rsid w:val="005F6B19"/>
    <w:rsid w:val="005F7D88"/>
    <w:rsid w:val="00604104"/>
    <w:rsid w:val="006050C1"/>
    <w:rsid w:val="006113C4"/>
    <w:rsid w:val="00612B09"/>
    <w:rsid w:val="00622499"/>
    <w:rsid w:val="006249D3"/>
    <w:rsid w:val="00625929"/>
    <w:rsid w:val="00625CA8"/>
    <w:rsid w:val="00626BC9"/>
    <w:rsid w:val="006307FB"/>
    <w:rsid w:val="006451C6"/>
    <w:rsid w:val="00646E9D"/>
    <w:rsid w:val="00650DF3"/>
    <w:rsid w:val="006523FA"/>
    <w:rsid w:val="00654124"/>
    <w:rsid w:val="00654391"/>
    <w:rsid w:val="006643FA"/>
    <w:rsid w:val="006644E6"/>
    <w:rsid w:val="006649D0"/>
    <w:rsid w:val="00664CD6"/>
    <w:rsid w:val="00666B90"/>
    <w:rsid w:val="00667F86"/>
    <w:rsid w:val="006702F0"/>
    <w:rsid w:val="00673DB7"/>
    <w:rsid w:val="00676D19"/>
    <w:rsid w:val="0068240C"/>
    <w:rsid w:val="00682EC6"/>
    <w:rsid w:val="00684298"/>
    <w:rsid w:val="0068621A"/>
    <w:rsid w:val="0068720A"/>
    <w:rsid w:val="0068744F"/>
    <w:rsid w:val="00690B53"/>
    <w:rsid w:val="00693913"/>
    <w:rsid w:val="006A2CE8"/>
    <w:rsid w:val="006A45BC"/>
    <w:rsid w:val="006A6646"/>
    <w:rsid w:val="006B0295"/>
    <w:rsid w:val="006B1340"/>
    <w:rsid w:val="006C086E"/>
    <w:rsid w:val="006C1F0E"/>
    <w:rsid w:val="006C72C0"/>
    <w:rsid w:val="006C77AA"/>
    <w:rsid w:val="006D1075"/>
    <w:rsid w:val="006D3754"/>
    <w:rsid w:val="006D3A84"/>
    <w:rsid w:val="006E42F7"/>
    <w:rsid w:val="006E4841"/>
    <w:rsid w:val="006E6E81"/>
    <w:rsid w:val="007008C4"/>
    <w:rsid w:val="00706F9B"/>
    <w:rsid w:val="00710ED2"/>
    <w:rsid w:val="00711C1C"/>
    <w:rsid w:val="00714148"/>
    <w:rsid w:val="00714570"/>
    <w:rsid w:val="00717F1E"/>
    <w:rsid w:val="00721BE3"/>
    <w:rsid w:val="007221D2"/>
    <w:rsid w:val="007248EA"/>
    <w:rsid w:val="00726343"/>
    <w:rsid w:val="007319CC"/>
    <w:rsid w:val="007320A2"/>
    <w:rsid w:val="007321DD"/>
    <w:rsid w:val="00735105"/>
    <w:rsid w:val="007408EA"/>
    <w:rsid w:val="00742056"/>
    <w:rsid w:val="00746341"/>
    <w:rsid w:val="007566A7"/>
    <w:rsid w:val="00756DEC"/>
    <w:rsid w:val="0076205C"/>
    <w:rsid w:val="007622AE"/>
    <w:rsid w:val="00765FEB"/>
    <w:rsid w:val="00766976"/>
    <w:rsid w:val="007678A3"/>
    <w:rsid w:val="0077170B"/>
    <w:rsid w:val="00772C7D"/>
    <w:rsid w:val="00773646"/>
    <w:rsid w:val="00773A40"/>
    <w:rsid w:val="0077486A"/>
    <w:rsid w:val="00781006"/>
    <w:rsid w:val="007820B2"/>
    <w:rsid w:val="007823CA"/>
    <w:rsid w:val="007824B5"/>
    <w:rsid w:val="0078527B"/>
    <w:rsid w:val="007913DD"/>
    <w:rsid w:val="007955ED"/>
    <w:rsid w:val="00796224"/>
    <w:rsid w:val="00796666"/>
    <w:rsid w:val="007974D9"/>
    <w:rsid w:val="007A18D6"/>
    <w:rsid w:val="007A76A7"/>
    <w:rsid w:val="007B1119"/>
    <w:rsid w:val="007B2654"/>
    <w:rsid w:val="007B4AC8"/>
    <w:rsid w:val="007B72D9"/>
    <w:rsid w:val="007C0CB6"/>
    <w:rsid w:val="007C0FC4"/>
    <w:rsid w:val="007C145C"/>
    <w:rsid w:val="007C1C7C"/>
    <w:rsid w:val="007C5EFE"/>
    <w:rsid w:val="007D0A3B"/>
    <w:rsid w:val="007D38AE"/>
    <w:rsid w:val="007D7808"/>
    <w:rsid w:val="007E6DF4"/>
    <w:rsid w:val="007F172F"/>
    <w:rsid w:val="007F6EE3"/>
    <w:rsid w:val="00801E64"/>
    <w:rsid w:val="00803C13"/>
    <w:rsid w:val="00807A9E"/>
    <w:rsid w:val="0081054D"/>
    <w:rsid w:val="00810815"/>
    <w:rsid w:val="00813D3A"/>
    <w:rsid w:val="00816D33"/>
    <w:rsid w:val="00822A65"/>
    <w:rsid w:val="008243FB"/>
    <w:rsid w:val="00825513"/>
    <w:rsid w:val="008261E3"/>
    <w:rsid w:val="008268EC"/>
    <w:rsid w:val="00826A82"/>
    <w:rsid w:val="00827FA7"/>
    <w:rsid w:val="008303FC"/>
    <w:rsid w:val="008507D7"/>
    <w:rsid w:val="00852007"/>
    <w:rsid w:val="00856B27"/>
    <w:rsid w:val="0085790C"/>
    <w:rsid w:val="008678C9"/>
    <w:rsid w:val="0087532C"/>
    <w:rsid w:val="0087616F"/>
    <w:rsid w:val="00877498"/>
    <w:rsid w:val="00881454"/>
    <w:rsid w:val="00884A23"/>
    <w:rsid w:val="00892763"/>
    <w:rsid w:val="00892C27"/>
    <w:rsid w:val="00892E20"/>
    <w:rsid w:val="00896910"/>
    <w:rsid w:val="00897541"/>
    <w:rsid w:val="008A3A4A"/>
    <w:rsid w:val="008A4F51"/>
    <w:rsid w:val="008A7345"/>
    <w:rsid w:val="008A7C24"/>
    <w:rsid w:val="008B5343"/>
    <w:rsid w:val="008B5FE0"/>
    <w:rsid w:val="008B70D9"/>
    <w:rsid w:val="008C12D5"/>
    <w:rsid w:val="008C2461"/>
    <w:rsid w:val="008C641E"/>
    <w:rsid w:val="008D0847"/>
    <w:rsid w:val="008D204B"/>
    <w:rsid w:val="008E78D7"/>
    <w:rsid w:val="008F0670"/>
    <w:rsid w:val="008F0878"/>
    <w:rsid w:val="008F1AB5"/>
    <w:rsid w:val="008F2C0C"/>
    <w:rsid w:val="008F5502"/>
    <w:rsid w:val="008F612B"/>
    <w:rsid w:val="0090373C"/>
    <w:rsid w:val="0090415B"/>
    <w:rsid w:val="009049E6"/>
    <w:rsid w:val="00904C85"/>
    <w:rsid w:val="009054E6"/>
    <w:rsid w:val="00916AF9"/>
    <w:rsid w:val="00924F2C"/>
    <w:rsid w:val="00925F66"/>
    <w:rsid w:val="00927B2A"/>
    <w:rsid w:val="009325F1"/>
    <w:rsid w:val="00943717"/>
    <w:rsid w:val="00944219"/>
    <w:rsid w:val="00945BF2"/>
    <w:rsid w:val="00945DA4"/>
    <w:rsid w:val="009472A8"/>
    <w:rsid w:val="0095396C"/>
    <w:rsid w:val="00954442"/>
    <w:rsid w:val="0095447E"/>
    <w:rsid w:val="0095534F"/>
    <w:rsid w:val="0095550D"/>
    <w:rsid w:val="00955AB6"/>
    <w:rsid w:val="009572EC"/>
    <w:rsid w:val="00960674"/>
    <w:rsid w:val="00961E6B"/>
    <w:rsid w:val="00967FC9"/>
    <w:rsid w:val="0097199D"/>
    <w:rsid w:val="00971A48"/>
    <w:rsid w:val="00973DC8"/>
    <w:rsid w:val="009823B0"/>
    <w:rsid w:val="00982E1D"/>
    <w:rsid w:val="00983A60"/>
    <w:rsid w:val="009850A6"/>
    <w:rsid w:val="0098665F"/>
    <w:rsid w:val="00991731"/>
    <w:rsid w:val="00997C08"/>
    <w:rsid w:val="009A3676"/>
    <w:rsid w:val="009A389E"/>
    <w:rsid w:val="009A3F77"/>
    <w:rsid w:val="009A453B"/>
    <w:rsid w:val="009A4CAA"/>
    <w:rsid w:val="009A5A44"/>
    <w:rsid w:val="009A61C1"/>
    <w:rsid w:val="009B073D"/>
    <w:rsid w:val="009B289D"/>
    <w:rsid w:val="009B77BF"/>
    <w:rsid w:val="009B7E03"/>
    <w:rsid w:val="009C302C"/>
    <w:rsid w:val="009D0310"/>
    <w:rsid w:val="009D063B"/>
    <w:rsid w:val="009D274B"/>
    <w:rsid w:val="009D2FF8"/>
    <w:rsid w:val="009D6CD1"/>
    <w:rsid w:val="009D7776"/>
    <w:rsid w:val="009E097B"/>
    <w:rsid w:val="009E159B"/>
    <w:rsid w:val="009E31F0"/>
    <w:rsid w:val="009E428D"/>
    <w:rsid w:val="009F133B"/>
    <w:rsid w:val="009F289D"/>
    <w:rsid w:val="009F41D2"/>
    <w:rsid w:val="009F675C"/>
    <w:rsid w:val="00A00D09"/>
    <w:rsid w:val="00A01566"/>
    <w:rsid w:val="00A02530"/>
    <w:rsid w:val="00A07800"/>
    <w:rsid w:val="00A11D09"/>
    <w:rsid w:val="00A15BD7"/>
    <w:rsid w:val="00A16EAA"/>
    <w:rsid w:val="00A171E9"/>
    <w:rsid w:val="00A3027F"/>
    <w:rsid w:val="00A321E4"/>
    <w:rsid w:val="00A3482F"/>
    <w:rsid w:val="00A34FD1"/>
    <w:rsid w:val="00A35905"/>
    <w:rsid w:val="00A359A4"/>
    <w:rsid w:val="00A360FF"/>
    <w:rsid w:val="00A37EB7"/>
    <w:rsid w:val="00A40C6D"/>
    <w:rsid w:val="00A418A2"/>
    <w:rsid w:val="00A4215F"/>
    <w:rsid w:val="00A4362C"/>
    <w:rsid w:val="00A4621E"/>
    <w:rsid w:val="00A50C5E"/>
    <w:rsid w:val="00A57B03"/>
    <w:rsid w:val="00A60FAC"/>
    <w:rsid w:val="00A65015"/>
    <w:rsid w:val="00A766F6"/>
    <w:rsid w:val="00A7755F"/>
    <w:rsid w:val="00A8397C"/>
    <w:rsid w:val="00A8657C"/>
    <w:rsid w:val="00A91FFA"/>
    <w:rsid w:val="00A942FF"/>
    <w:rsid w:val="00A95EF3"/>
    <w:rsid w:val="00A95FCC"/>
    <w:rsid w:val="00AA0B5C"/>
    <w:rsid w:val="00AA2A8E"/>
    <w:rsid w:val="00AA4757"/>
    <w:rsid w:val="00AB0515"/>
    <w:rsid w:val="00AB68F3"/>
    <w:rsid w:val="00AB6D54"/>
    <w:rsid w:val="00AC0417"/>
    <w:rsid w:val="00AC11E0"/>
    <w:rsid w:val="00AC459E"/>
    <w:rsid w:val="00AF6E3B"/>
    <w:rsid w:val="00B03C5D"/>
    <w:rsid w:val="00B05921"/>
    <w:rsid w:val="00B10CB5"/>
    <w:rsid w:val="00B154EA"/>
    <w:rsid w:val="00B162EF"/>
    <w:rsid w:val="00B16D7C"/>
    <w:rsid w:val="00B27FFD"/>
    <w:rsid w:val="00B333D2"/>
    <w:rsid w:val="00B36A30"/>
    <w:rsid w:val="00B40376"/>
    <w:rsid w:val="00B42CC9"/>
    <w:rsid w:val="00B43476"/>
    <w:rsid w:val="00B43544"/>
    <w:rsid w:val="00B43CB2"/>
    <w:rsid w:val="00B455B9"/>
    <w:rsid w:val="00B465E8"/>
    <w:rsid w:val="00B52E57"/>
    <w:rsid w:val="00B540ED"/>
    <w:rsid w:val="00B54A3A"/>
    <w:rsid w:val="00B54D41"/>
    <w:rsid w:val="00B640F0"/>
    <w:rsid w:val="00B64378"/>
    <w:rsid w:val="00B675D3"/>
    <w:rsid w:val="00B75EA4"/>
    <w:rsid w:val="00B77D7E"/>
    <w:rsid w:val="00B805EA"/>
    <w:rsid w:val="00B82ABF"/>
    <w:rsid w:val="00B874D6"/>
    <w:rsid w:val="00B904C3"/>
    <w:rsid w:val="00B92914"/>
    <w:rsid w:val="00B9374B"/>
    <w:rsid w:val="00B9645F"/>
    <w:rsid w:val="00BB75D9"/>
    <w:rsid w:val="00BD37BD"/>
    <w:rsid w:val="00BD3D64"/>
    <w:rsid w:val="00BD6469"/>
    <w:rsid w:val="00BD69A5"/>
    <w:rsid w:val="00BE621A"/>
    <w:rsid w:val="00BE74D8"/>
    <w:rsid w:val="00BE7651"/>
    <w:rsid w:val="00BE7EFE"/>
    <w:rsid w:val="00BF198B"/>
    <w:rsid w:val="00BF32FA"/>
    <w:rsid w:val="00BF3DD9"/>
    <w:rsid w:val="00BF4A5E"/>
    <w:rsid w:val="00C0030A"/>
    <w:rsid w:val="00C02A2A"/>
    <w:rsid w:val="00C12553"/>
    <w:rsid w:val="00C16787"/>
    <w:rsid w:val="00C20F60"/>
    <w:rsid w:val="00C21B51"/>
    <w:rsid w:val="00C24C94"/>
    <w:rsid w:val="00C2524D"/>
    <w:rsid w:val="00C27F79"/>
    <w:rsid w:val="00C3056C"/>
    <w:rsid w:val="00C308A1"/>
    <w:rsid w:val="00C31AE7"/>
    <w:rsid w:val="00C33439"/>
    <w:rsid w:val="00C37895"/>
    <w:rsid w:val="00C44EF7"/>
    <w:rsid w:val="00C47CA1"/>
    <w:rsid w:val="00C533B4"/>
    <w:rsid w:val="00C64D5B"/>
    <w:rsid w:val="00C66789"/>
    <w:rsid w:val="00C70D36"/>
    <w:rsid w:val="00C726E6"/>
    <w:rsid w:val="00C753F8"/>
    <w:rsid w:val="00C75ED9"/>
    <w:rsid w:val="00C760E1"/>
    <w:rsid w:val="00C84832"/>
    <w:rsid w:val="00C907E6"/>
    <w:rsid w:val="00C92505"/>
    <w:rsid w:val="00CA6954"/>
    <w:rsid w:val="00CB23D4"/>
    <w:rsid w:val="00CB5903"/>
    <w:rsid w:val="00CB652E"/>
    <w:rsid w:val="00CB67D6"/>
    <w:rsid w:val="00CC010A"/>
    <w:rsid w:val="00CC0341"/>
    <w:rsid w:val="00CC74C1"/>
    <w:rsid w:val="00CD7FC2"/>
    <w:rsid w:val="00CE05D5"/>
    <w:rsid w:val="00CE2A64"/>
    <w:rsid w:val="00CE6E1C"/>
    <w:rsid w:val="00CF1F23"/>
    <w:rsid w:val="00CF3887"/>
    <w:rsid w:val="00CF47AC"/>
    <w:rsid w:val="00CF5239"/>
    <w:rsid w:val="00CF5B3C"/>
    <w:rsid w:val="00CF7ABC"/>
    <w:rsid w:val="00D078BE"/>
    <w:rsid w:val="00D07DCF"/>
    <w:rsid w:val="00D10547"/>
    <w:rsid w:val="00D10DAA"/>
    <w:rsid w:val="00D1359E"/>
    <w:rsid w:val="00D15246"/>
    <w:rsid w:val="00D16B96"/>
    <w:rsid w:val="00D17967"/>
    <w:rsid w:val="00D21131"/>
    <w:rsid w:val="00D34134"/>
    <w:rsid w:val="00D37D32"/>
    <w:rsid w:val="00D40D7E"/>
    <w:rsid w:val="00D432DA"/>
    <w:rsid w:val="00D4397E"/>
    <w:rsid w:val="00D4400F"/>
    <w:rsid w:val="00D47000"/>
    <w:rsid w:val="00D54F4A"/>
    <w:rsid w:val="00D61E81"/>
    <w:rsid w:val="00D622D3"/>
    <w:rsid w:val="00D726F9"/>
    <w:rsid w:val="00D73F0F"/>
    <w:rsid w:val="00D96C98"/>
    <w:rsid w:val="00DA05DA"/>
    <w:rsid w:val="00DA17B5"/>
    <w:rsid w:val="00DA4421"/>
    <w:rsid w:val="00DA54E6"/>
    <w:rsid w:val="00DA6DBB"/>
    <w:rsid w:val="00DA7034"/>
    <w:rsid w:val="00DB0B83"/>
    <w:rsid w:val="00DB23DE"/>
    <w:rsid w:val="00DB280E"/>
    <w:rsid w:val="00DB35FB"/>
    <w:rsid w:val="00DB6B92"/>
    <w:rsid w:val="00DB7282"/>
    <w:rsid w:val="00DC2C8B"/>
    <w:rsid w:val="00DC3565"/>
    <w:rsid w:val="00DC528B"/>
    <w:rsid w:val="00DC5640"/>
    <w:rsid w:val="00DC7822"/>
    <w:rsid w:val="00DD1A91"/>
    <w:rsid w:val="00DD3BD2"/>
    <w:rsid w:val="00DD5BF2"/>
    <w:rsid w:val="00DD664E"/>
    <w:rsid w:val="00DD6FAB"/>
    <w:rsid w:val="00DE158B"/>
    <w:rsid w:val="00DE1D54"/>
    <w:rsid w:val="00DE560B"/>
    <w:rsid w:val="00E01AEA"/>
    <w:rsid w:val="00E06858"/>
    <w:rsid w:val="00E0685C"/>
    <w:rsid w:val="00E07062"/>
    <w:rsid w:val="00E140CA"/>
    <w:rsid w:val="00E1413A"/>
    <w:rsid w:val="00E150F5"/>
    <w:rsid w:val="00E1523B"/>
    <w:rsid w:val="00E16BFD"/>
    <w:rsid w:val="00E2298E"/>
    <w:rsid w:val="00E24254"/>
    <w:rsid w:val="00E24B19"/>
    <w:rsid w:val="00E270E9"/>
    <w:rsid w:val="00E27803"/>
    <w:rsid w:val="00E304DC"/>
    <w:rsid w:val="00E30BF2"/>
    <w:rsid w:val="00E3192D"/>
    <w:rsid w:val="00E34A9C"/>
    <w:rsid w:val="00E36B64"/>
    <w:rsid w:val="00E40538"/>
    <w:rsid w:val="00E43339"/>
    <w:rsid w:val="00E4473C"/>
    <w:rsid w:val="00E46415"/>
    <w:rsid w:val="00E476BB"/>
    <w:rsid w:val="00E53B03"/>
    <w:rsid w:val="00E53BCB"/>
    <w:rsid w:val="00E54CB4"/>
    <w:rsid w:val="00E5557E"/>
    <w:rsid w:val="00E56CA3"/>
    <w:rsid w:val="00E5778D"/>
    <w:rsid w:val="00E63031"/>
    <w:rsid w:val="00E70401"/>
    <w:rsid w:val="00E75097"/>
    <w:rsid w:val="00E759E7"/>
    <w:rsid w:val="00E779EE"/>
    <w:rsid w:val="00E77C9B"/>
    <w:rsid w:val="00E8132A"/>
    <w:rsid w:val="00E84B28"/>
    <w:rsid w:val="00E907A7"/>
    <w:rsid w:val="00E90D2F"/>
    <w:rsid w:val="00E91720"/>
    <w:rsid w:val="00E921FC"/>
    <w:rsid w:val="00E936C1"/>
    <w:rsid w:val="00E966EF"/>
    <w:rsid w:val="00EA07F6"/>
    <w:rsid w:val="00EA0AD9"/>
    <w:rsid w:val="00EA1346"/>
    <w:rsid w:val="00EA3FDF"/>
    <w:rsid w:val="00EA72D5"/>
    <w:rsid w:val="00EC0212"/>
    <w:rsid w:val="00EC1DC2"/>
    <w:rsid w:val="00EC76A8"/>
    <w:rsid w:val="00EC7ABB"/>
    <w:rsid w:val="00ED130E"/>
    <w:rsid w:val="00EE2B80"/>
    <w:rsid w:val="00EE2E29"/>
    <w:rsid w:val="00EE4FEF"/>
    <w:rsid w:val="00EE596F"/>
    <w:rsid w:val="00EE7D96"/>
    <w:rsid w:val="00EF3169"/>
    <w:rsid w:val="00EF6227"/>
    <w:rsid w:val="00F04C5F"/>
    <w:rsid w:val="00F069B9"/>
    <w:rsid w:val="00F12027"/>
    <w:rsid w:val="00F14946"/>
    <w:rsid w:val="00F15410"/>
    <w:rsid w:val="00F22671"/>
    <w:rsid w:val="00F251FC"/>
    <w:rsid w:val="00F3339A"/>
    <w:rsid w:val="00F33C02"/>
    <w:rsid w:val="00F33E60"/>
    <w:rsid w:val="00F34FA0"/>
    <w:rsid w:val="00F37A13"/>
    <w:rsid w:val="00F42DFA"/>
    <w:rsid w:val="00F4417E"/>
    <w:rsid w:val="00F447C3"/>
    <w:rsid w:val="00F4573C"/>
    <w:rsid w:val="00F52E1E"/>
    <w:rsid w:val="00F56663"/>
    <w:rsid w:val="00F6332D"/>
    <w:rsid w:val="00F660D9"/>
    <w:rsid w:val="00F71A14"/>
    <w:rsid w:val="00F7353D"/>
    <w:rsid w:val="00F73B35"/>
    <w:rsid w:val="00F744A6"/>
    <w:rsid w:val="00F87C31"/>
    <w:rsid w:val="00F970D0"/>
    <w:rsid w:val="00FA574C"/>
    <w:rsid w:val="00FA7425"/>
    <w:rsid w:val="00FA7CEF"/>
    <w:rsid w:val="00FB1ED9"/>
    <w:rsid w:val="00FC2F4C"/>
    <w:rsid w:val="00FC4AA8"/>
    <w:rsid w:val="00FC77E0"/>
    <w:rsid w:val="00FD0E06"/>
    <w:rsid w:val="00FD1DAE"/>
    <w:rsid w:val="00FD56FB"/>
    <w:rsid w:val="00FE2240"/>
    <w:rsid w:val="00FE26B2"/>
    <w:rsid w:val="00FE3B8D"/>
    <w:rsid w:val="00FF0D51"/>
    <w:rsid w:val="00FF3523"/>
    <w:rsid w:val="00FF3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06CB"/>
  <w15:docId w15:val="{42D73D86-C02F-42CE-A7C3-AA4FD2E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EF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D063B"/>
    <w:pPr>
      <w:spacing w:before="129" w:after="129"/>
      <w:ind w:left="579" w:right="450"/>
    </w:pPr>
    <w:rPr>
      <w:sz w:val="19"/>
      <w:szCs w:val="19"/>
    </w:rPr>
  </w:style>
  <w:style w:type="paragraph" w:customStyle="1" w:styleId="prastasistinklapis8">
    <w:name w:val="Įprastasis (tinklapis)8"/>
    <w:basedOn w:val="Normal"/>
    <w:rsid w:val="009D063B"/>
    <w:pPr>
      <w:spacing w:before="100" w:after="100"/>
      <w:ind w:left="300" w:right="300"/>
    </w:pPr>
    <w:rPr>
      <w:sz w:val="22"/>
      <w:szCs w:val="22"/>
    </w:rPr>
  </w:style>
  <w:style w:type="paragraph" w:styleId="BodyText">
    <w:name w:val="Body Text"/>
    <w:basedOn w:val="Normal"/>
    <w:rsid w:val="00A07800"/>
    <w:pPr>
      <w:spacing w:before="100" w:beforeAutospacing="1" w:after="100" w:afterAutospacing="1"/>
    </w:pPr>
  </w:style>
  <w:style w:type="character" w:styleId="Hyperlink">
    <w:name w:val="Hyperlink"/>
    <w:rsid w:val="00CC010A"/>
    <w:rPr>
      <w:color w:val="0000FF"/>
      <w:u w:val="single"/>
    </w:rPr>
  </w:style>
  <w:style w:type="character" w:styleId="Strong">
    <w:name w:val="Strong"/>
    <w:qFormat/>
    <w:rsid w:val="009F289D"/>
    <w:rPr>
      <w:b/>
      <w:bCs/>
    </w:rPr>
  </w:style>
  <w:style w:type="character" w:styleId="Emphasis">
    <w:name w:val="Emphasis"/>
    <w:qFormat/>
    <w:rsid w:val="009A389E"/>
    <w:rPr>
      <w:i/>
      <w:iCs/>
    </w:rPr>
  </w:style>
  <w:style w:type="paragraph" w:styleId="BodyTextIndent">
    <w:name w:val="Body Text Indent"/>
    <w:basedOn w:val="Normal"/>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127B12"/>
    <w:pPr>
      <w:spacing w:after="160" w:line="240" w:lineRule="exact"/>
    </w:pPr>
    <w:rPr>
      <w:rFonts w:ascii="Tahoma" w:hAnsi="Tahoma"/>
      <w:sz w:val="20"/>
      <w:szCs w:val="20"/>
      <w:lang w:val="en-US" w:eastAsia="en-US"/>
    </w:rPr>
  </w:style>
  <w:style w:type="paragraph" w:styleId="Footer">
    <w:name w:val="footer"/>
    <w:basedOn w:val="Normal"/>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Normal"/>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Normal"/>
    <w:rsid w:val="00B54D41"/>
    <w:pPr>
      <w:spacing w:after="160" w:line="240" w:lineRule="exact"/>
    </w:pPr>
    <w:rPr>
      <w:rFonts w:ascii="Tahoma" w:hAnsi="Tahoma"/>
      <w:sz w:val="20"/>
      <w:szCs w:val="20"/>
      <w:lang w:val="en-US" w:eastAsia="en-US"/>
    </w:rPr>
  </w:style>
  <w:style w:type="paragraph" w:styleId="Header">
    <w:name w:val="header"/>
    <w:basedOn w:val="Normal"/>
    <w:rsid w:val="00245784"/>
    <w:pPr>
      <w:tabs>
        <w:tab w:val="center" w:pos="4986"/>
        <w:tab w:val="right" w:pos="9972"/>
      </w:tabs>
    </w:pPr>
  </w:style>
  <w:style w:type="character" w:styleId="PageNumber">
    <w:name w:val="page number"/>
    <w:basedOn w:val="DefaultParagraphFont"/>
    <w:rsid w:val="00245784"/>
  </w:style>
  <w:style w:type="paragraph" w:styleId="BalloonText">
    <w:name w:val="Balloon Text"/>
    <w:basedOn w:val="Normal"/>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Normal"/>
    <w:rsid w:val="00205734"/>
    <w:pPr>
      <w:spacing w:after="160" w:line="240" w:lineRule="exact"/>
    </w:pPr>
    <w:rPr>
      <w:rFonts w:ascii="Tahoma" w:hAnsi="Tahoma"/>
      <w:sz w:val="20"/>
      <w:szCs w:val="20"/>
      <w:lang w:val="en-US" w:eastAsia="en-US"/>
    </w:rPr>
  </w:style>
  <w:style w:type="character" w:styleId="CommentReference">
    <w:name w:val="annotation reference"/>
    <w:uiPriority w:val="99"/>
    <w:semiHidden/>
    <w:rsid w:val="00991731"/>
    <w:rPr>
      <w:sz w:val="16"/>
      <w:szCs w:val="16"/>
    </w:rPr>
  </w:style>
  <w:style w:type="paragraph" w:styleId="CommentText">
    <w:name w:val="annotation text"/>
    <w:basedOn w:val="Normal"/>
    <w:link w:val="CommentTextChar"/>
    <w:uiPriority w:val="99"/>
    <w:rsid w:val="00991731"/>
    <w:rPr>
      <w:sz w:val="20"/>
      <w:szCs w:val="20"/>
    </w:rPr>
  </w:style>
  <w:style w:type="paragraph" w:styleId="CommentSubject">
    <w:name w:val="annotation subject"/>
    <w:basedOn w:val="CommentText"/>
    <w:next w:val="CommentText"/>
    <w:semiHidden/>
    <w:rsid w:val="00991731"/>
    <w:rPr>
      <w:b/>
      <w:bCs/>
    </w:rPr>
  </w:style>
  <w:style w:type="paragraph" w:styleId="BodyText3">
    <w:name w:val="Body Text 3"/>
    <w:basedOn w:val="Normal"/>
    <w:link w:val="BodyText3Char"/>
    <w:rsid w:val="009C302C"/>
    <w:pPr>
      <w:spacing w:after="120"/>
    </w:pPr>
    <w:rPr>
      <w:sz w:val="16"/>
      <w:szCs w:val="16"/>
    </w:rPr>
  </w:style>
  <w:style w:type="character" w:customStyle="1" w:styleId="BodyText3Char">
    <w:name w:val="Body Text 3 Char"/>
    <w:link w:val="BodyText3"/>
    <w:rsid w:val="009C302C"/>
    <w:rPr>
      <w:sz w:val="16"/>
      <w:szCs w:val="16"/>
    </w:rPr>
  </w:style>
  <w:style w:type="paragraph" w:styleId="FootnoteText">
    <w:name w:val="footnote text"/>
    <w:basedOn w:val="Normal"/>
    <w:link w:val="FootnoteTextChar"/>
    <w:rsid w:val="008678C9"/>
    <w:rPr>
      <w:sz w:val="20"/>
      <w:szCs w:val="20"/>
    </w:rPr>
  </w:style>
  <w:style w:type="character" w:customStyle="1" w:styleId="FootnoteTextChar">
    <w:name w:val="Footnote Text Char"/>
    <w:basedOn w:val="DefaultParagraphFont"/>
    <w:link w:val="FootnoteText"/>
    <w:rsid w:val="008678C9"/>
  </w:style>
  <w:style w:type="character" w:styleId="FootnoteReference">
    <w:name w:val="footnote reference"/>
    <w:rsid w:val="008678C9"/>
    <w:rPr>
      <w:vertAlign w:val="superscript"/>
    </w:rPr>
  </w:style>
  <w:style w:type="paragraph" w:styleId="ListParagraph">
    <w:name w:val="List Paragraph"/>
    <w:basedOn w:val="Normal"/>
    <w:uiPriority w:val="34"/>
    <w:qFormat/>
    <w:rsid w:val="00400833"/>
    <w:pPr>
      <w:ind w:left="720"/>
      <w:contextualSpacing/>
    </w:pPr>
  </w:style>
  <w:style w:type="character" w:customStyle="1" w:styleId="CommentTextChar">
    <w:name w:val="Comment Text Char"/>
    <w:basedOn w:val="DefaultParagraphFont"/>
    <w:link w:val="CommentText"/>
    <w:uiPriority w:val="99"/>
    <w:rsid w:val="00CC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4252">
      <w:bodyDiv w:val="1"/>
      <w:marLeft w:val="0"/>
      <w:marRight w:val="0"/>
      <w:marTop w:val="0"/>
      <w:marBottom w:val="0"/>
      <w:divBdr>
        <w:top w:val="none" w:sz="0" w:space="0" w:color="auto"/>
        <w:left w:val="none" w:sz="0" w:space="0" w:color="auto"/>
        <w:bottom w:val="none" w:sz="0" w:space="0" w:color="auto"/>
        <w:right w:val="none" w:sz="0" w:space="0" w:color="auto"/>
      </w:divBdr>
      <w:divsChild>
        <w:div w:id="71971680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2602510">
      <w:bodyDiv w:val="1"/>
      <w:marLeft w:val="0"/>
      <w:marRight w:val="0"/>
      <w:marTop w:val="0"/>
      <w:marBottom w:val="0"/>
      <w:divBdr>
        <w:top w:val="none" w:sz="0" w:space="0" w:color="auto"/>
        <w:left w:val="none" w:sz="0" w:space="0" w:color="auto"/>
        <w:bottom w:val="none" w:sz="0" w:space="0" w:color="auto"/>
        <w:right w:val="none" w:sz="0" w:space="0" w:color="auto"/>
      </w:divBdr>
      <w:divsChild>
        <w:div w:id="20867604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59202010">
      <w:bodyDiv w:val="1"/>
      <w:marLeft w:val="0"/>
      <w:marRight w:val="0"/>
      <w:marTop w:val="0"/>
      <w:marBottom w:val="0"/>
      <w:divBdr>
        <w:top w:val="none" w:sz="0" w:space="0" w:color="auto"/>
        <w:left w:val="none" w:sz="0" w:space="0" w:color="auto"/>
        <w:bottom w:val="none" w:sz="0" w:space="0" w:color="auto"/>
        <w:right w:val="none" w:sz="0" w:space="0" w:color="auto"/>
      </w:divBdr>
    </w:div>
    <w:div w:id="168369117">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468868">
      <w:bodyDiv w:val="1"/>
      <w:marLeft w:val="0"/>
      <w:marRight w:val="0"/>
      <w:marTop w:val="0"/>
      <w:marBottom w:val="0"/>
      <w:divBdr>
        <w:top w:val="none" w:sz="0" w:space="0" w:color="auto"/>
        <w:left w:val="none" w:sz="0" w:space="0" w:color="auto"/>
        <w:bottom w:val="none" w:sz="0" w:space="0" w:color="auto"/>
        <w:right w:val="none" w:sz="0" w:space="0" w:color="auto"/>
      </w:divBdr>
    </w:div>
    <w:div w:id="228922915">
      <w:bodyDiv w:val="1"/>
      <w:marLeft w:val="0"/>
      <w:marRight w:val="0"/>
      <w:marTop w:val="0"/>
      <w:marBottom w:val="0"/>
      <w:divBdr>
        <w:top w:val="none" w:sz="0" w:space="0" w:color="auto"/>
        <w:left w:val="none" w:sz="0" w:space="0" w:color="auto"/>
        <w:bottom w:val="none" w:sz="0" w:space="0" w:color="auto"/>
        <w:right w:val="none" w:sz="0" w:space="0" w:color="auto"/>
      </w:divBdr>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48540284">
      <w:bodyDiv w:val="1"/>
      <w:marLeft w:val="0"/>
      <w:marRight w:val="0"/>
      <w:marTop w:val="0"/>
      <w:marBottom w:val="0"/>
      <w:divBdr>
        <w:top w:val="none" w:sz="0" w:space="0" w:color="auto"/>
        <w:left w:val="none" w:sz="0" w:space="0" w:color="auto"/>
        <w:bottom w:val="none" w:sz="0" w:space="0" w:color="auto"/>
        <w:right w:val="none" w:sz="0" w:space="0" w:color="auto"/>
      </w:divBdr>
      <w:divsChild>
        <w:div w:id="322125536">
          <w:marLeft w:val="0"/>
          <w:marRight w:val="0"/>
          <w:marTop w:val="0"/>
          <w:marBottom w:val="0"/>
          <w:divBdr>
            <w:top w:val="none" w:sz="0" w:space="0" w:color="auto"/>
            <w:left w:val="none" w:sz="0" w:space="0" w:color="auto"/>
            <w:bottom w:val="none" w:sz="0" w:space="0" w:color="auto"/>
            <w:right w:val="none" w:sz="0" w:space="0" w:color="auto"/>
          </w:divBdr>
        </w:div>
        <w:div w:id="851529515">
          <w:marLeft w:val="0"/>
          <w:marRight w:val="0"/>
          <w:marTop w:val="0"/>
          <w:marBottom w:val="0"/>
          <w:divBdr>
            <w:top w:val="none" w:sz="0" w:space="0" w:color="auto"/>
            <w:left w:val="none" w:sz="0" w:space="0" w:color="auto"/>
            <w:bottom w:val="none" w:sz="0" w:space="0" w:color="auto"/>
            <w:right w:val="none" w:sz="0" w:space="0" w:color="auto"/>
          </w:divBdr>
        </w:div>
        <w:div w:id="1247961552">
          <w:marLeft w:val="0"/>
          <w:marRight w:val="0"/>
          <w:marTop w:val="0"/>
          <w:marBottom w:val="0"/>
          <w:divBdr>
            <w:top w:val="none" w:sz="0" w:space="0" w:color="auto"/>
            <w:left w:val="none" w:sz="0" w:space="0" w:color="auto"/>
            <w:bottom w:val="none" w:sz="0" w:space="0" w:color="auto"/>
            <w:right w:val="none" w:sz="0" w:space="0" w:color="auto"/>
          </w:divBdr>
        </w:div>
      </w:divsChild>
    </w:div>
    <w:div w:id="294020607">
      <w:bodyDiv w:val="1"/>
      <w:marLeft w:val="0"/>
      <w:marRight w:val="0"/>
      <w:marTop w:val="0"/>
      <w:marBottom w:val="0"/>
      <w:divBdr>
        <w:top w:val="none" w:sz="0" w:space="0" w:color="auto"/>
        <w:left w:val="none" w:sz="0" w:space="0" w:color="auto"/>
        <w:bottom w:val="none" w:sz="0" w:space="0" w:color="auto"/>
        <w:right w:val="none" w:sz="0" w:space="0" w:color="auto"/>
      </w:divBdr>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120516834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19164939">
      <w:bodyDiv w:val="1"/>
      <w:marLeft w:val="0"/>
      <w:marRight w:val="0"/>
      <w:marTop w:val="0"/>
      <w:marBottom w:val="0"/>
      <w:divBdr>
        <w:top w:val="none" w:sz="0" w:space="0" w:color="auto"/>
        <w:left w:val="none" w:sz="0" w:space="0" w:color="auto"/>
        <w:bottom w:val="none" w:sz="0" w:space="0" w:color="auto"/>
        <w:right w:val="none" w:sz="0" w:space="0" w:color="auto"/>
      </w:divBdr>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07044383">
      <w:bodyDiv w:val="1"/>
      <w:marLeft w:val="0"/>
      <w:marRight w:val="0"/>
      <w:marTop w:val="0"/>
      <w:marBottom w:val="0"/>
      <w:divBdr>
        <w:top w:val="none" w:sz="0" w:space="0" w:color="auto"/>
        <w:left w:val="none" w:sz="0" w:space="0" w:color="auto"/>
        <w:bottom w:val="none" w:sz="0" w:space="0" w:color="auto"/>
        <w:right w:val="none" w:sz="0" w:space="0" w:color="auto"/>
      </w:divBdr>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5973949">
      <w:bodyDiv w:val="1"/>
      <w:marLeft w:val="0"/>
      <w:marRight w:val="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28824475">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68278744">
      <w:bodyDiv w:val="1"/>
      <w:marLeft w:val="0"/>
      <w:marRight w:val="0"/>
      <w:marTop w:val="0"/>
      <w:marBottom w:val="0"/>
      <w:divBdr>
        <w:top w:val="none" w:sz="0" w:space="0" w:color="auto"/>
        <w:left w:val="none" w:sz="0" w:space="0" w:color="auto"/>
        <w:bottom w:val="none" w:sz="0" w:space="0" w:color="auto"/>
        <w:right w:val="none" w:sz="0" w:space="0" w:color="auto"/>
      </w:divBdr>
    </w:div>
    <w:div w:id="829098088">
      <w:bodyDiv w:val="1"/>
      <w:marLeft w:val="0"/>
      <w:marRight w:val="0"/>
      <w:marTop w:val="0"/>
      <w:marBottom w:val="0"/>
      <w:divBdr>
        <w:top w:val="none" w:sz="0" w:space="0" w:color="auto"/>
        <w:left w:val="none" w:sz="0" w:space="0" w:color="auto"/>
        <w:bottom w:val="none" w:sz="0" w:space="0" w:color="auto"/>
        <w:right w:val="none" w:sz="0" w:space="0" w:color="auto"/>
      </w:divBdr>
      <w:divsChild>
        <w:div w:id="767114005">
          <w:marLeft w:val="0"/>
          <w:marRight w:val="0"/>
          <w:marTop w:val="0"/>
          <w:marBottom w:val="0"/>
          <w:divBdr>
            <w:top w:val="none" w:sz="0" w:space="0" w:color="auto"/>
            <w:left w:val="none" w:sz="0" w:space="0" w:color="auto"/>
            <w:bottom w:val="none" w:sz="0" w:space="0" w:color="auto"/>
            <w:right w:val="none" w:sz="0" w:space="0" w:color="auto"/>
          </w:divBdr>
        </w:div>
      </w:divsChild>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107697805">
      <w:bodyDiv w:val="1"/>
      <w:marLeft w:val="0"/>
      <w:marRight w:val="0"/>
      <w:marTop w:val="0"/>
      <w:marBottom w:val="0"/>
      <w:divBdr>
        <w:top w:val="none" w:sz="0" w:space="0" w:color="auto"/>
        <w:left w:val="none" w:sz="0" w:space="0" w:color="auto"/>
        <w:bottom w:val="none" w:sz="0" w:space="0" w:color="auto"/>
        <w:right w:val="none" w:sz="0" w:space="0" w:color="auto"/>
      </w:divBdr>
      <w:divsChild>
        <w:div w:id="3620191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7480229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05481524">
      <w:bodyDiv w:val="1"/>
      <w:marLeft w:val="0"/>
      <w:marRight w:val="0"/>
      <w:marTop w:val="0"/>
      <w:marBottom w:val="0"/>
      <w:divBdr>
        <w:top w:val="none" w:sz="0" w:space="0" w:color="auto"/>
        <w:left w:val="none" w:sz="0" w:space="0" w:color="auto"/>
        <w:bottom w:val="none" w:sz="0" w:space="0" w:color="auto"/>
        <w:right w:val="none" w:sz="0" w:space="0" w:color="auto"/>
      </w:divBdr>
      <w:divsChild>
        <w:div w:id="2077705122">
          <w:marLeft w:val="0"/>
          <w:marRight w:val="0"/>
          <w:marTop w:val="0"/>
          <w:marBottom w:val="0"/>
          <w:divBdr>
            <w:top w:val="none" w:sz="0" w:space="0" w:color="auto"/>
            <w:left w:val="none" w:sz="0" w:space="0" w:color="auto"/>
            <w:bottom w:val="none" w:sz="0" w:space="0" w:color="auto"/>
            <w:right w:val="none" w:sz="0" w:space="0" w:color="auto"/>
          </w:divBdr>
        </w:div>
      </w:divsChild>
    </w:div>
    <w:div w:id="1274435374">
      <w:bodyDiv w:val="1"/>
      <w:marLeft w:val="0"/>
      <w:marRight w:val="0"/>
      <w:marTop w:val="0"/>
      <w:marBottom w:val="0"/>
      <w:divBdr>
        <w:top w:val="none" w:sz="0" w:space="0" w:color="auto"/>
        <w:left w:val="none" w:sz="0" w:space="0" w:color="auto"/>
        <w:bottom w:val="none" w:sz="0" w:space="0" w:color="auto"/>
        <w:right w:val="none" w:sz="0" w:space="0" w:color="auto"/>
      </w:divBdr>
      <w:divsChild>
        <w:div w:id="1405569231">
          <w:marLeft w:val="0"/>
          <w:marRight w:val="0"/>
          <w:marTop w:val="0"/>
          <w:marBottom w:val="0"/>
          <w:divBdr>
            <w:top w:val="none" w:sz="0" w:space="0" w:color="auto"/>
            <w:left w:val="none" w:sz="0" w:space="0" w:color="auto"/>
            <w:bottom w:val="none" w:sz="0" w:space="0" w:color="auto"/>
            <w:right w:val="none" w:sz="0" w:space="0" w:color="auto"/>
          </w:divBdr>
        </w:div>
        <w:div w:id="1260984180">
          <w:marLeft w:val="0"/>
          <w:marRight w:val="0"/>
          <w:marTop w:val="0"/>
          <w:marBottom w:val="0"/>
          <w:divBdr>
            <w:top w:val="none" w:sz="0" w:space="0" w:color="auto"/>
            <w:left w:val="none" w:sz="0" w:space="0" w:color="auto"/>
            <w:bottom w:val="none" w:sz="0" w:space="0" w:color="auto"/>
            <w:right w:val="none" w:sz="0" w:space="0" w:color="auto"/>
          </w:divBdr>
        </w:div>
        <w:div w:id="1009018916">
          <w:marLeft w:val="0"/>
          <w:marRight w:val="0"/>
          <w:marTop w:val="0"/>
          <w:marBottom w:val="0"/>
          <w:divBdr>
            <w:top w:val="none" w:sz="0" w:space="0" w:color="auto"/>
            <w:left w:val="none" w:sz="0" w:space="0" w:color="auto"/>
            <w:bottom w:val="none" w:sz="0" w:space="0" w:color="auto"/>
            <w:right w:val="none" w:sz="0" w:space="0" w:color="auto"/>
          </w:divBdr>
        </w:div>
      </w:divsChild>
    </w:div>
    <w:div w:id="1277717360">
      <w:bodyDiv w:val="1"/>
      <w:marLeft w:val="223"/>
      <w:marRight w:val="223"/>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 w:id="1287202156">
      <w:bodyDiv w:val="1"/>
      <w:marLeft w:val="0"/>
      <w:marRight w:val="0"/>
      <w:marTop w:val="0"/>
      <w:marBottom w:val="0"/>
      <w:divBdr>
        <w:top w:val="none" w:sz="0" w:space="0" w:color="auto"/>
        <w:left w:val="none" w:sz="0" w:space="0" w:color="auto"/>
        <w:bottom w:val="none" w:sz="0" w:space="0" w:color="auto"/>
        <w:right w:val="none" w:sz="0" w:space="0" w:color="auto"/>
      </w:divBdr>
    </w:div>
    <w:div w:id="1288974027">
      <w:bodyDiv w:val="1"/>
      <w:marLeft w:val="0"/>
      <w:marRight w:val="0"/>
      <w:marTop w:val="0"/>
      <w:marBottom w:val="0"/>
      <w:divBdr>
        <w:top w:val="none" w:sz="0" w:space="0" w:color="auto"/>
        <w:left w:val="none" w:sz="0" w:space="0" w:color="auto"/>
        <w:bottom w:val="none" w:sz="0" w:space="0" w:color="auto"/>
        <w:right w:val="none" w:sz="0" w:space="0" w:color="auto"/>
      </w:divBdr>
    </w:div>
    <w:div w:id="1290934320">
      <w:bodyDiv w:val="1"/>
      <w:marLeft w:val="0"/>
      <w:marRight w:val="0"/>
      <w:marTop w:val="0"/>
      <w:marBottom w:val="0"/>
      <w:divBdr>
        <w:top w:val="none" w:sz="0" w:space="0" w:color="auto"/>
        <w:left w:val="none" w:sz="0" w:space="0" w:color="auto"/>
        <w:bottom w:val="none" w:sz="0" w:space="0" w:color="auto"/>
        <w:right w:val="none" w:sz="0" w:space="0" w:color="auto"/>
      </w:divBdr>
    </w:div>
    <w:div w:id="1294940375">
      <w:bodyDiv w:val="1"/>
      <w:marLeft w:val="0"/>
      <w:marRight w:val="0"/>
      <w:marTop w:val="0"/>
      <w:marBottom w:val="0"/>
      <w:divBdr>
        <w:top w:val="none" w:sz="0" w:space="0" w:color="auto"/>
        <w:left w:val="none" w:sz="0" w:space="0" w:color="auto"/>
        <w:bottom w:val="none" w:sz="0" w:space="0" w:color="auto"/>
        <w:right w:val="none" w:sz="0" w:space="0" w:color="auto"/>
      </w:divBdr>
      <w:divsChild>
        <w:div w:id="2008366059">
          <w:marLeft w:val="0"/>
          <w:marRight w:val="0"/>
          <w:marTop w:val="0"/>
          <w:marBottom w:val="0"/>
          <w:divBdr>
            <w:top w:val="none" w:sz="0" w:space="0" w:color="auto"/>
            <w:left w:val="none" w:sz="0" w:space="0" w:color="auto"/>
            <w:bottom w:val="none" w:sz="0" w:space="0" w:color="auto"/>
            <w:right w:val="none" w:sz="0" w:space="0" w:color="auto"/>
          </w:divBdr>
        </w:div>
        <w:div w:id="926958350">
          <w:marLeft w:val="0"/>
          <w:marRight w:val="0"/>
          <w:marTop w:val="0"/>
          <w:marBottom w:val="0"/>
          <w:divBdr>
            <w:top w:val="none" w:sz="0" w:space="0" w:color="auto"/>
            <w:left w:val="none" w:sz="0" w:space="0" w:color="auto"/>
            <w:bottom w:val="none" w:sz="0" w:space="0" w:color="auto"/>
            <w:right w:val="none" w:sz="0" w:space="0" w:color="auto"/>
          </w:divBdr>
        </w:div>
        <w:div w:id="1464737216">
          <w:marLeft w:val="0"/>
          <w:marRight w:val="0"/>
          <w:marTop w:val="0"/>
          <w:marBottom w:val="0"/>
          <w:divBdr>
            <w:top w:val="none" w:sz="0" w:space="0" w:color="auto"/>
            <w:left w:val="none" w:sz="0" w:space="0" w:color="auto"/>
            <w:bottom w:val="none" w:sz="0" w:space="0" w:color="auto"/>
            <w:right w:val="none" w:sz="0" w:space="0" w:color="auto"/>
          </w:divBdr>
        </w:div>
      </w:divsChild>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59163529">
      <w:bodyDiv w:val="1"/>
      <w:marLeft w:val="0"/>
      <w:marRight w:val="0"/>
      <w:marTop w:val="0"/>
      <w:marBottom w:val="0"/>
      <w:divBdr>
        <w:top w:val="none" w:sz="0" w:space="0" w:color="auto"/>
        <w:left w:val="none" w:sz="0" w:space="0" w:color="auto"/>
        <w:bottom w:val="none" w:sz="0" w:space="0" w:color="auto"/>
        <w:right w:val="none" w:sz="0" w:space="0" w:color="auto"/>
      </w:divBdr>
      <w:divsChild>
        <w:div w:id="817578278">
          <w:marLeft w:val="0"/>
          <w:marRight w:val="0"/>
          <w:marTop w:val="0"/>
          <w:marBottom w:val="0"/>
          <w:divBdr>
            <w:top w:val="none" w:sz="0" w:space="0" w:color="auto"/>
            <w:left w:val="none" w:sz="0" w:space="0" w:color="auto"/>
            <w:bottom w:val="none" w:sz="0" w:space="0" w:color="auto"/>
            <w:right w:val="none" w:sz="0" w:space="0" w:color="auto"/>
          </w:divBdr>
        </w:div>
        <w:div w:id="1838689545">
          <w:marLeft w:val="0"/>
          <w:marRight w:val="0"/>
          <w:marTop w:val="0"/>
          <w:marBottom w:val="0"/>
          <w:divBdr>
            <w:top w:val="none" w:sz="0" w:space="0" w:color="auto"/>
            <w:left w:val="none" w:sz="0" w:space="0" w:color="auto"/>
            <w:bottom w:val="none" w:sz="0" w:space="0" w:color="auto"/>
            <w:right w:val="none" w:sz="0" w:space="0" w:color="auto"/>
          </w:divBdr>
        </w:div>
      </w:divsChild>
    </w:div>
    <w:div w:id="1395350210">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26942806">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43210808">
      <w:bodyDiv w:val="1"/>
      <w:marLeft w:val="0"/>
      <w:marRight w:val="0"/>
      <w:marTop w:val="0"/>
      <w:marBottom w:val="0"/>
      <w:divBdr>
        <w:top w:val="none" w:sz="0" w:space="0" w:color="auto"/>
        <w:left w:val="none" w:sz="0" w:space="0" w:color="auto"/>
        <w:bottom w:val="none" w:sz="0" w:space="0" w:color="auto"/>
        <w:right w:val="none" w:sz="0" w:space="0" w:color="auto"/>
      </w:divBdr>
      <w:divsChild>
        <w:div w:id="1321808403">
          <w:marLeft w:val="0"/>
          <w:marRight w:val="0"/>
          <w:marTop w:val="0"/>
          <w:marBottom w:val="0"/>
          <w:divBdr>
            <w:top w:val="none" w:sz="0" w:space="0" w:color="auto"/>
            <w:left w:val="none" w:sz="0" w:space="0" w:color="auto"/>
            <w:bottom w:val="none" w:sz="0" w:space="0" w:color="auto"/>
            <w:right w:val="none" w:sz="0" w:space="0" w:color="auto"/>
          </w:divBdr>
        </w:div>
        <w:div w:id="1987313862">
          <w:marLeft w:val="0"/>
          <w:marRight w:val="0"/>
          <w:marTop w:val="0"/>
          <w:marBottom w:val="0"/>
          <w:divBdr>
            <w:top w:val="none" w:sz="0" w:space="0" w:color="auto"/>
            <w:left w:val="none" w:sz="0" w:space="0" w:color="auto"/>
            <w:bottom w:val="none" w:sz="0" w:space="0" w:color="auto"/>
            <w:right w:val="none" w:sz="0" w:space="0" w:color="auto"/>
          </w:divBdr>
        </w:div>
        <w:div w:id="822820834">
          <w:marLeft w:val="0"/>
          <w:marRight w:val="0"/>
          <w:marTop w:val="0"/>
          <w:marBottom w:val="0"/>
          <w:divBdr>
            <w:top w:val="none" w:sz="0" w:space="0" w:color="auto"/>
            <w:left w:val="none" w:sz="0" w:space="0" w:color="auto"/>
            <w:bottom w:val="none" w:sz="0" w:space="0" w:color="auto"/>
            <w:right w:val="none" w:sz="0" w:space="0" w:color="auto"/>
          </w:divBdr>
        </w:div>
        <w:div w:id="1263144797">
          <w:marLeft w:val="0"/>
          <w:marRight w:val="0"/>
          <w:marTop w:val="0"/>
          <w:marBottom w:val="0"/>
          <w:divBdr>
            <w:top w:val="none" w:sz="0" w:space="0" w:color="auto"/>
            <w:left w:val="none" w:sz="0" w:space="0" w:color="auto"/>
            <w:bottom w:val="none" w:sz="0" w:space="0" w:color="auto"/>
            <w:right w:val="none" w:sz="0" w:space="0" w:color="auto"/>
          </w:divBdr>
        </w:div>
      </w:divsChild>
    </w:div>
    <w:div w:id="175200562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23347508">
      <w:bodyDiv w:val="1"/>
      <w:marLeft w:val="0"/>
      <w:marRight w:val="0"/>
      <w:marTop w:val="0"/>
      <w:marBottom w:val="0"/>
      <w:divBdr>
        <w:top w:val="none" w:sz="0" w:space="0" w:color="auto"/>
        <w:left w:val="none" w:sz="0" w:space="0" w:color="auto"/>
        <w:bottom w:val="none" w:sz="0" w:space="0" w:color="auto"/>
        <w:right w:val="none" w:sz="0" w:space="0" w:color="auto"/>
      </w:divBdr>
      <w:divsChild>
        <w:div w:id="2017342895">
          <w:marLeft w:val="0"/>
          <w:marRight w:val="0"/>
          <w:marTop w:val="0"/>
          <w:marBottom w:val="0"/>
          <w:divBdr>
            <w:top w:val="none" w:sz="0" w:space="0" w:color="auto"/>
            <w:left w:val="none" w:sz="0" w:space="0" w:color="auto"/>
            <w:bottom w:val="none" w:sz="0" w:space="0" w:color="auto"/>
            <w:right w:val="none" w:sz="0" w:space="0" w:color="auto"/>
          </w:divBdr>
        </w:div>
        <w:div w:id="220408981">
          <w:marLeft w:val="0"/>
          <w:marRight w:val="0"/>
          <w:marTop w:val="0"/>
          <w:marBottom w:val="0"/>
          <w:divBdr>
            <w:top w:val="none" w:sz="0" w:space="0" w:color="auto"/>
            <w:left w:val="none" w:sz="0" w:space="0" w:color="auto"/>
            <w:bottom w:val="none" w:sz="0" w:space="0" w:color="auto"/>
            <w:right w:val="none" w:sz="0" w:space="0" w:color="auto"/>
          </w:divBdr>
        </w:div>
      </w:divsChild>
    </w:div>
    <w:div w:id="1831366808">
      <w:bodyDiv w:val="1"/>
      <w:marLeft w:val="0"/>
      <w:marRight w:val="0"/>
      <w:marTop w:val="0"/>
      <w:marBottom w:val="0"/>
      <w:divBdr>
        <w:top w:val="none" w:sz="0" w:space="0" w:color="auto"/>
        <w:left w:val="none" w:sz="0" w:space="0" w:color="auto"/>
        <w:bottom w:val="none" w:sz="0" w:space="0" w:color="auto"/>
        <w:right w:val="none" w:sz="0" w:space="0" w:color="auto"/>
      </w:divBdr>
    </w:div>
    <w:div w:id="1847548692">
      <w:bodyDiv w:val="1"/>
      <w:marLeft w:val="0"/>
      <w:marRight w:val="0"/>
      <w:marTop w:val="0"/>
      <w:marBottom w:val="0"/>
      <w:divBdr>
        <w:top w:val="none" w:sz="0" w:space="0" w:color="auto"/>
        <w:left w:val="none" w:sz="0" w:space="0" w:color="auto"/>
        <w:bottom w:val="none" w:sz="0" w:space="0" w:color="auto"/>
        <w:right w:val="none" w:sz="0" w:space="0" w:color="auto"/>
      </w:divBdr>
      <w:divsChild>
        <w:div w:id="757025648">
          <w:marLeft w:val="0"/>
          <w:marRight w:val="0"/>
          <w:marTop w:val="0"/>
          <w:marBottom w:val="0"/>
          <w:divBdr>
            <w:top w:val="none" w:sz="0" w:space="0" w:color="auto"/>
            <w:left w:val="none" w:sz="0" w:space="0" w:color="auto"/>
            <w:bottom w:val="none" w:sz="0" w:space="0" w:color="auto"/>
            <w:right w:val="none" w:sz="0" w:space="0" w:color="auto"/>
          </w:divBdr>
        </w:div>
        <w:div w:id="553391467">
          <w:marLeft w:val="0"/>
          <w:marRight w:val="0"/>
          <w:marTop w:val="0"/>
          <w:marBottom w:val="0"/>
          <w:divBdr>
            <w:top w:val="none" w:sz="0" w:space="0" w:color="auto"/>
            <w:left w:val="none" w:sz="0" w:space="0" w:color="auto"/>
            <w:bottom w:val="none" w:sz="0" w:space="0" w:color="auto"/>
            <w:right w:val="none" w:sz="0" w:space="0" w:color="auto"/>
          </w:divBdr>
        </w:div>
        <w:div w:id="871917664">
          <w:marLeft w:val="0"/>
          <w:marRight w:val="0"/>
          <w:marTop w:val="0"/>
          <w:marBottom w:val="0"/>
          <w:divBdr>
            <w:top w:val="none" w:sz="0" w:space="0" w:color="auto"/>
            <w:left w:val="none" w:sz="0" w:space="0" w:color="auto"/>
            <w:bottom w:val="none" w:sz="0" w:space="0" w:color="auto"/>
            <w:right w:val="none" w:sz="0" w:space="0" w:color="auto"/>
          </w:divBdr>
        </w:div>
        <w:div w:id="1116757492">
          <w:marLeft w:val="0"/>
          <w:marRight w:val="0"/>
          <w:marTop w:val="0"/>
          <w:marBottom w:val="0"/>
          <w:divBdr>
            <w:top w:val="none" w:sz="0" w:space="0" w:color="auto"/>
            <w:left w:val="none" w:sz="0" w:space="0" w:color="auto"/>
            <w:bottom w:val="none" w:sz="0" w:space="0" w:color="auto"/>
            <w:right w:val="none" w:sz="0" w:space="0" w:color="auto"/>
          </w:divBdr>
        </w:div>
      </w:divsChild>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97667378">
      <w:bodyDiv w:val="1"/>
      <w:marLeft w:val="0"/>
      <w:marRight w:val="0"/>
      <w:marTop w:val="0"/>
      <w:marBottom w:val="0"/>
      <w:divBdr>
        <w:top w:val="none" w:sz="0" w:space="0" w:color="auto"/>
        <w:left w:val="none" w:sz="0" w:space="0" w:color="auto"/>
        <w:bottom w:val="none" w:sz="0" w:space="0" w:color="auto"/>
        <w:right w:val="none" w:sz="0" w:space="0" w:color="auto"/>
      </w:divBdr>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25936948">
      <w:bodyDiv w:val="1"/>
      <w:marLeft w:val="0"/>
      <w:marRight w:val="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 w:id="21451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ACE4EDB046710498508FFDAC518E0C3" ma:contentTypeVersion="10" ma:contentTypeDescription="Kurkite naują dokumentą." ma:contentTypeScope="" ma:versionID="0ed17a8008feb2578184f45c12166411">
  <xsd:schema xmlns:xsd="http://www.w3.org/2001/XMLSchema" xmlns:xs="http://www.w3.org/2001/XMLSchema" xmlns:p="http://schemas.microsoft.com/office/2006/metadata/properties" xmlns:ns3="0f2d233e-5e21-4e29-91b1-9fb330271489" xmlns:ns4="bb015fb8-b812-438c-864a-626a01cc84fb" targetNamespace="http://schemas.microsoft.com/office/2006/metadata/properties" ma:root="true" ma:fieldsID="c0fded709206d4455563a9b55dac4505" ns3:_="" ns4:_="">
    <xsd:import namespace="0f2d233e-5e21-4e29-91b1-9fb330271489"/>
    <xsd:import namespace="bb015fb8-b812-438c-864a-626a01cc84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d233e-5e21-4e29-91b1-9fb33027148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5fb8-b812-438c-864a-626a01cc84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AF71-E190-4883-BB26-582B55F9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d233e-5e21-4e29-91b1-9fb330271489"/>
    <ds:schemaRef ds:uri="bb015fb8-b812-438c-864a-626a01cc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9B1DB-3DAB-491C-BC82-9F0B2064B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372BE6-5E93-45D0-A62B-57D202FA5B36}">
  <ds:schemaRefs>
    <ds:schemaRef ds:uri="http://schemas.microsoft.com/sharepoint/v3/contenttype/forms"/>
  </ds:schemaRefs>
</ds:datastoreItem>
</file>

<file path=customXml/itemProps4.xml><?xml version="1.0" encoding="utf-8"?>
<ds:datastoreItem xmlns:ds="http://schemas.openxmlformats.org/officeDocument/2006/customXml" ds:itemID="{B3703DB9-CE33-4E7B-8940-2ED0A456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13708</Words>
  <Characters>7814</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DIREKTYVŲ (KITŲ ES TEISĖS AKTŲ) IR LIETUVOS RESPUBLIKOS</vt:lpstr>
    </vt:vector>
  </TitlesOfParts>
  <Company>LR Finansų ministerija</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2020-09-23T07:09:00Z</dcterms:created>
  <dc:creator>FM</dc:creator>
  <cp:lastModifiedBy>Sandra Romienė</cp:lastModifiedBy>
  <cp:lastPrinted>2010-06-10T11:49:00Z</cp:lastPrinted>
  <dcterms:modified xsi:type="dcterms:W3CDTF">2020-09-23T07:47:00Z</dcterms:modified>
  <cp:revision>32</cp:revision>
  <dc:title>DIREKTYVŲ (KITŲ ES TEISĖS AKTŲ) IR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