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591a29f0cad14dc7b1231baeb63a4527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</w:pPr>
        </w:p>
        <w:p>
          <w:pPr>
            <w:ind w:left="5184" w:firstLine="900"/>
            <w:jc w:val="center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>
          <w:pPr>
            <w:ind w:left="5184"/>
            <w:jc w:val="center"/>
            <w:rPr>
              <w:sz w:val="22"/>
            </w:rPr>
          </w:pPr>
        </w:p>
        <w:p>
          <w:pPr>
            <w:jc w:val="right"/>
            <w:rPr>
              <w:sz w:val="22"/>
            </w:rPr>
          </w:pPr>
        </w:p>
        <w:p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LIETUVOS RESPUBLIKOS VYRIAUSYBĖ</w:t>
          </w:r>
        </w:p>
        <w:p>
          <w:pPr>
            <w:jc w:val="center"/>
            <w:rPr>
              <w:b/>
              <w:sz w:val="26"/>
            </w:rPr>
          </w:pPr>
        </w:p>
        <w:p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NUTARIMAS</w:t>
          </w:r>
        </w:p>
        <w:p>
          <w:pPr>
            <w:jc w:val="center"/>
            <w:rPr>
              <w:b/>
              <w:bCs/>
              <w:sz w:val="28"/>
              <w:szCs w:val="28"/>
              <w:lang w:eastAsia="lt-LT"/>
            </w:rPr>
          </w:pPr>
          <w:r>
            <w:rPr>
              <w:b/>
              <w:bCs/>
              <w:sz w:val="28"/>
              <w:szCs w:val="28"/>
              <w:lang w:eastAsia="lt-LT"/>
            </w:rPr>
            <w:t>DĖL LIETUVOS RESPUBLIKOS VYRIAUSYBĖS 2004 M. KOVO 17 D. NUTARIMO NR. 285 „DĖL LIETUVOS RESPUBLIKOS ORO ERDVĖS ORGANIZAVIMO TAISYKLIŲ PATVIRTINIMO“ PAKEITIMO</w:t>
          </w:r>
        </w:p>
        <w:p>
          <w:pPr>
            <w:jc w:val="center"/>
            <w:rPr>
              <w:b/>
              <w:bCs/>
              <w:szCs w:val="24"/>
              <w:lang w:eastAsia="lt-LT"/>
            </w:rPr>
          </w:pPr>
        </w:p>
        <w:p>
          <w:pPr>
            <w:jc w:val="center"/>
          </w:pPr>
          <w:r>
            <w:t xml:space="preserve">2019 m.                        d. Nr. </w:t>
          </w:r>
        </w:p>
        <w:p>
          <w:pPr>
            <w:jc w:val="center"/>
          </w:pPr>
          <w:r>
            <w:t>Vilnius</w:t>
          </w:r>
        </w:p>
        <w:p>
          <w:pPr>
            <w:jc w:val="both"/>
            <w:rPr>
              <w:szCs w:val="24"/>
              <w:lang w:eastAsia="lt-LT"/>
            </w:rPr>
          </w:pPr>
        </w:p>
        <w:sdt>
          <w:sdtPr>
            <w:alias w:val="preambule"/>
            <w:tag w:val="part_08bfcb3b3e1247a99987863172e2b43e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color w:val="000000"/>
                  <w:szCs w:val="24"/>
                  <w:lang w:val="en-US"/>
                </w:rPr>
              </w:pPr>
              <w:r>
                <w:rPr>
                  <w:color w:val="000000"/>
                  <w:szCs w:val="24"/>
                </w:rPr>
                <w:t>Lietuvos Respublikos Vyriausybė</w:t>
              </w:r>
              <w:r>
                <w:rPr>
                  <w:color w:val="000000"/>
                  <w:spacing w:val="100"/>
                  <w:szCs w:val="24"/>
                </w:rPr>
                <w:t> nutari</w:t>
              </w:r>
              <w:r>
                <w:rPr>
                  <w:color w:val="000000"/>
                  <w:szCs w:val="24"/>
                </w:rPr>
                <w:t>a:</w:t>
              </w:r>
            </w:p>
          </w:sdtContent>
        </w:sdt>
        <w:sdt>
          <w:sdtPr>
            <w:alias w:val="1 p."/>
            <w:tag w:val="part_5601097431704b65947561456b229df0"/>
            <w:lock w:val="sdtLocked"/>
            <w:richText/>
          </w:sdtPr>
          <w:sdtContent>
            <w:p>
              <w:pPr>
                <w:spacing w:line="360" w:lineRule="auto"/>
                <w:ind w:firstLine="720"/>
                <w:jc w:val="both"/>
                <w:rPr>
                  <w:color w:val="000000"/>
                  <w:szCs w:val="24"/>
                  <w:lang w:val="en-US"/>
                </w:rPr>
              </w:pPr>
              <w:sdt>
                <w:sdtPr>
                  <w:alias w:val="Numeris"/>
                  <w:tag w:val="nr_5601097431704b65947561456b229df0"/>
                  <w:lock w:val="sdtLocked"/>
                  <w:richText/>
                </w:sdtPr>
                <w:sdtContent>
                  <w:r>
                    <w:rPr>
                      <w:color w:val="000000"/>
                      <w:szCs w:val="24"/>
                    </w:rPr>
                    <w:t>1</w:t>
                  </w:r>
                </w:sdtContent>
              </w:sdt>
              <w:r>
                <w:rPr>
                  <w:color w:val="000000"/>
                  <w:szCs w:val="24"/>
                </w:rPr>
                <w:t>. Pakeisti Lietuvos Respublikos Vyriausybės 2004 m. kovo 17 d. nutarimą Nr. 285 „Dėl Lietuvos Respublikos oro erdvės organizavimo taisyklių patvirtinimo“ ir jį išdėstyti nauja redakcija:</w:t>
              </w:r>
            </w:p>
            <w:p>
              <w:pPr>
                <w:jc w:val="both"/>
                <w:rPr>
                  <w:szCs w:val="24"/>
                  <w:lang w:eastAsia="lt-LT"/>
                </w:rPr>
              </w:pPr>
            </w:p>
            <w:sdt>
              <w:sdtPr>
                <w:alias w:val="citata"/>
                <w:tag w:val="part_54d8461cf3214b28bec46e3e60079e63"/>
                <w:lock w:val="sdtLocked"/>
                <w:richText/>
              </w:sdtPr>
              <w:sdtContent>
                <w:sdt>
                  <w:sdtPr>
                    <w:alias w:val="pagrindine"/>
                    <w:tag w:val="part_dcc23acf365549aa9eb719b583291d90"/>
                    <w:lock w:val="sdtLocked"/>
                    <w:richText/>
                  </w:sdtPr>
                  <w:sdtContent>
                    <w:p>
                      <w:pPr>
                        <w:jc w:val="center"/>
                        <w:rPr>
                          <w:b/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„</w:t>
                      </w:r>
                      <w:r>
                        <w:rPr>
                          <w:b/>
                          <w:szCs w:val="24"/>
                          <w:lang w:eastAsia="lt-LT"/>
                        </w:rPr>
                        <w:t>LIETUVOS RESPUBLIKOS VYRIAUSYBĖ</w:t>
                      </w:r>
                    </w:p>
                    <w:p>
                      <w:pPr>
                        <w:jc w:val="center"/>
                        <w:rPr>
                          <w:b/>
                          <w:szCs w:val="24"/>
                          <w:lang w:eastAsia="lt-LT"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szCs w:val="24"/>
                          <w:lang w:eastAsia="lt-LT"/>
                        </w:rPr>
                      </w:pPr>
                      <w:r>
                        <w:rPr>
                          <w:b/>
                          <w:szCs w:val="24"/>
                          <w:lang w:eastAsia="lt-LT"/>
                        </w:rPr>
                        <w:t>NUTARIMAS</w:t>
                      </w:r>
                    </w:p>
                    <w:p>
                      <w:pPr>
                        <w:jc w:val="center"/>
                        <w:rPr>
                          <w:b/>
                          <w:szCs w:val="24"/>
                          <w:lang w:eastAsia="lt-LT"/>
                        </w:rPr>
                      </w:pPr>
                      <w:r>
                        <w:rPr>
                          <w:b/>
                          <w:szCs w:val="24"/>
                          <w:lang w:eastAsia="lt-LT"/>
                        </w:rPr>
                        <w:t>DĖL LIETUVOS RESPUBLIKOS ORO ERDVĖS ORGANIZAVIMO TAISYKLIŲ PATVIRTINIMO</w:t>
                      </w:r>
                    </w:p>
                    <w:p>
                      <w:pPr>
                        <w:jc w:val="both"/>
                        <w:rPr>
                          <w:szCs w:val="24"/>
                          <w:lang w:eastAsia="lt-LT"/>
                        </w:rPr>
                      </w:pPr>
                    </w:p>
                    <w:sdt>
                      <w:sdtPr>
                        <w:alias w:val="preambule"/>
                        <w:tag w:val="part_b42480ac92534eb593d91fcd17b3d598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jc w:val="both"/>
                            <w:rPr>
                              <w:color w:val="000000"/>
                              <w:spacing w:val="-2"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szCs w:val="24"/>
                              <w:lang w:eastAsia="lt-LT"/>
                            </w:rPr>
                            <w:t xml:space="preserve">Vadovaudamasi Lietuvos Respublikos aviacijos įstatymo </w:t>
                          </w:r>
                          <w:r>
                            <w:rPr>
                              <w:bCs/>
                              <w:color w:val="000000"/>
                              <w:spacing w:val="-2"/>
                              <w:szCs w:val="24"/>
                              <w:lang w:eastAsia="lt-LT"/>
                            </w:rPr>
                            <w:t>18</w:t>
                          </w:r>
                          <w:r>
                            <w:rPr>
                              <w:color w:val="000000"/>
                              <w:spacing w:val="-2"/>
                              <w:szCs w:val="24"/>
                              <w:lang w:eastAsia="lt-LT"/>
                            </w:rPr>
                            <w:t xml:space="preserve"> straipsnio 1 dalimi, 43 straipsnio 5 dalimi ir atsižvelgdama į 2005 m. gruodžio 23 d. Komisijos reglamentą (EB) </w:t>
                            <w:br/>
                            <w:t>Nr. 2150/2005, nustatantį lankstaus oro erdvės naudojimo bendrąsias taisykles (OL 2005 L 342, p. 20), 2012 m. rugsėjo 26 d. Komisijos įgyvendinimo reglamentą (ES) Nr. 923/2012, kuriuo nustatomos bendrosios skrydžių taisyklės ir veiklos nuostatos dėl oro navigacijos paslaugų ir procedūrų ir iš dalies keičiami Įgyvendinimo reglamentas (ES) Nr. 1035/2011 ir reglamentai (EB) Nr. 1265/2007, (EB) Nr. 1794/2006, (EB) Nr. 730/2006, (EB) Nr. 1033/2006 ir (ES) Nr. 255/2010 (OL 2012 L 281, p. 1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), su paskutiniais pakeitimais, padarytais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2016 m. liepos 20 d. Komisijos įgyvendinimo reglamentu (ES) 2016/1185</w:t>
                          </w:r>
                          <w:r>
                            <w:rPr>
                              <w:b/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(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OL 2016 L 196, p. 3)</w:t>
                          </w:r>
                          <w:r>
                            <w:rPr>
                              <w:color w:val="000000"/>
                              <w:spacing w:val="-2"/>
                              <w:szCs w:val="24"/>
                              <w:lang w:eastAsia="lt-LT"/>
                            </w:rPr>
                            <w:t xml:space="preserve">, 2015 m. lapkričio 5 d. Komisijos įgyvendinimo reglamentą (ES) 2015/1998, </w:t>
                          </w:r>
                          <w:r>
                            <w:rPr>
                              <w:color w:val="000000"/>
                              <w:szCs w:val="24"/>
                              <w:shd w:val="clear" w:color="auto" w:fill="FFFFFF"/>
                              <w:lang w:eastAsia="lt-LT"/>
                            </w:rPr>
                            <w:t xml:space="preserve">kuriuo nustatomos išsamios bendrųjų pagrindinių aviacijos saugumo standartų įgyvendinimo priemonės (OL 2015 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L 299, p. 1)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, su paskutiniais pakeitimais, padarytais 2018 m. sausio 9 d. Komisijos įgyvendinimo reglamentu (ES) 2018/55 (OL 2018 L 10, p. 5)</w:t>
                          </w:r>
                          <w:r>
                            <w:rPr>
                              <w:color w:val="000000"/>
                              <w:spacing w:val="-2"/>
                              <w:szCs w:val="24"/>
                              <w:lang w:eastAsia="lt-LT"/>
                            </w:rPr>
                            <w:t>, ir 2014 m. balandžio 29 d. Komisijos reglamentą (ES) Nr. 452/2014, kuriuo pagal Europos Parlamento ir Tarybos reglamentą (EB) Nr. 216/2008 nustatomi su orlaivių naudojimu skrydžiams, vykdomiems trečiųjų šalių vežėjų, susiję techniniai reikalavimai ir administracinės procedūros (OL 2014 L 133, p. 12)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, su paskutiniais pakeitimais, padarytais 2016 m. liepos 15 d. Komisijos reglamentu (ES) 2016/1158 (OL 2016 L 192, p. 21)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, Lietuvos Respublikos Vyriausybė</w:t>
                          </w:r>
                          <w:r>
                            <w:rPr>
                              <w:color w:val="000000"/>
                              <w:spacing w:val="100"/>
                              <w:szCs w:val="24"/>
                              <w:lang w:eastAsia="lt-LT"/>
                            </w:rPr>
                            <w:t> nutari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a:</w:t>
                          </w:r>
                        </w:p>
                      </w:sdtContent>
                    </w:sdt>
                    <w:sdt>
                      <w:sdtPr>
                        <w:alias w:val="pastraipa"/>
                        <w:tag w:val="part_468a42f006ce4b0280f30afe0f1d9383"/>
                        <w:lock w:val="sdtLocked"/>
                        <w:richText/>
                      </w:sdtPr>
                      <w:sdtContent>
                        <w:p>
                          <w:pPr>
                            <w:spacing w:line="360" w:lineRule="auto"/>
                            <w:ind w:firstLine="720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Patvirtinti Lietuvos Respublikos oro erdvės organizavimo taisykles (pridedama).“</w:t>
                          </w: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p."/>
            <w:tag w:val="part_3c5e28a04ab246ada3dbcb15e2bed873"/>
            <w:lock w:val="sdtLocked"/>
            <w:richText/>
          </w:sdtPr>
          <w:sdtContent>
            <w:p>
              <w:pPr>
                <w:spacing w:line="360" w:lineRule="auto"/>
                <w:ind w:firstLine="709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3c5e28a04ab246ada3dbcb15e2bed873"/>
                  <w:lock w:val="sdtLocked"/>
                  <w:richText/>
                </w:sdtPr>
                <w:sdtContent>
                  <w:r>
                    <w:rPr>
                      <w:color w:val="000000"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color w:val="000000"/>
                  <w:szCs w:val="24"/>
                  <w:lang w:eastAsia="lt-LT"/>
                </w:rPr>
                <w:t xml:space="preserve">. </w:t>
              </w:r>
              <w:r>
                <w:rPr>
                  <w:szCs w:val="24"/>
                </w:rPr>
                <w:t>Šis nutarimas įsigalioja 2020 m. sausio 2 d.</w:t>
              </w:r>
            </w:p>
            <w:p>
              <w:pPr>
                <w:tabs>
                  <w:tab w:val="right" w:pos="9639"/>
                </w:tabs>
              </w:pPr>
            </w:p>
            <w:tbl>
              <w:tblPr>
                <w:tblW w:w="0" w:type="auto"/>
                <w:tblLayout w:type="fixed"/>
                <w:tblLook w:val="0000" w:firstRow="0" w:lastRow="0" w:firstColumn="0" w:lastColumn="0" w:noHBand="0" w:noVBand="0"/>
              </w:tblPr>
              <w:tblGrid>
                <w:gridCol w:w="5070"/>
                <w:gridCol w:w="567"/>
                <w:gridCol w:w="4213"/>
              </w:tblGrid>
              <w:tr>
                <w:trPr>
                  <w:trHeight w:val="240"/>
                </w:trPr>
                <w:tc>
                  <w:tcPr>
                    <w:tcW w:w="5070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r>
                      <w:t>Ministras Pirmininkas</w:t>
                    </w:r>
                  </w:p>
                </w:tc>
                <w:tc>
                  <w:tcPr>
                    <w:tcW w:w="567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/>
                </w:tc>
                <w:tc>
                  <w:tcPr>
                    <w:tcW w:w="4213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r>
                      <w:t>     </w:t>
                    </w:r>
                  </w:p>
                </w:tc>
              </w:tr>
              <w:tr>
                <w:trPr>
                  <w:trHeight w:val="240"/>
                </w:trPr>
                <w:tc>
                  <w:tcPr>
                    <w:tcW w:w="5070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r>
                      <w:t>Susisiekimo ministras</w:t>
                    </w:r>
                  </w:p>
                </w:tc>
                <w:tc>
                  <w:tcPr>
                    <w:tcW w:w="567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/>
                </w:tc>
                <w:tc>
                  <w:tcPr>
                    <w:tcW w:w="4213" w:type="dxa"/>
                  </w:tcPr>
                  <w:p>
                    <w:pPr>
                      <w:rPr>
                        <w:sz w:val="42"/>
                        <w:szCs w:val="42"/>
                      </w:rPr>
                    </w:pPr>
                  </w:p>
                  <w:p>
                    <w:r>
                      <w:t>     </w:t>
                    </w:r>
                  </w:p>
                </w:tc>
              </w:tr>
            </w:tbl>
            <w:p>
              <w:pPr>
                <w:tabs>
                  <w:tab w:val="right" w:pos="9639"/>
                </w:tabs>
                <w:rPr>
                  <w:color w:val="000000"/>
                </w:rPr>
              </w:pPr>
              <w:r>
                <w:rPr>
                  <w:caps/>
                </w:rPr>
                <w:tab/>
              </w:r>
            </w:p>
            <w:p/>
            <w:p/>
            <w:p/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>
    <w:pPr>
      <w:tabs>
        <w:tab w:val="center" w:pos="4819"/>
        <w:tab w:val="right" w:pos="9638"/>
      </w:tabs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86592d1e8ad54d56adc2ea39185bfc58" PartId="591a29f0cad14dc7b1231baeb63a4527">
    <Part Type="preambule" DocPartId="3db23bc4bffe433696c08cfe73d8715c" PartId="08bfcb3b3e1247a99987863172e2b43e"/>
    <Part Type="punktas" Nr="1" Abbr="1 p." DocPartId="5d433d9328a44b3aa887d9a2d066fd8b" PartId="5601097431704b65947561456b229df0">
      <Part Type="citata" DocPartId="d6003775ece34755b58fca0fa1d06b85" PartId="54d8461cf3214b28bec46e3e60079e63">
        <Part Type="pagrindine" DocPartId="e030e3bf181644288f5acc16b3ab77ac" PartId="dcc23acf365549aa9eb719b583291d90">
          <Part Type="preambule" DocPartId="ff5145bf0b6c47319cee49a7a3326fd2" PartId="b42480ac92534eb593d91fcd17b3d598"/>
          <Part Type="pastraipa" DocPartId="0192b317de3f48dc955f597d551fd172" PartId="468a42f006ce4b0280f30afe0f1d9383"/>
        </Part>
      </Part>
    </Part>
    <Part Type="punktas" Nr="2" Abbr="2 p." DocPartId="e8bf78371a6b413cb036cb8ec8525067" PartId="3c5e28a04ab246ada3dbcb15e2bed873"/>
  </Part>
</Parts>
</file>

<file path=customXml/itemProps1.xml><?xml version="1.0" encoding="utf-8"?>
<ds:datastoreItem xmlns:ds="http://schemas.openxmlformats.org/officeDocument/2006/customXml" ds:itemID="{3ABCA3A0-B70E-44B3-A0DE-8A06CC64CED6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2061</Characters>
  <Application>Microsoft Office Word</Application>
  <DocSecurity>4</DocSecurity>
  <Lines>55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2019-11-11T07:49:00Z</dcterms:created>
  <dc:creator>Sigita Jurkšaitytė</dc:creator>
  <cp:lastModifiedBy>Asseco</cp:lastModifiedBy>
  <dcterms:modified xsi:type="dcterms:W3CDTF">2019-11-11T07:49:00Z</dcterms:modified>
  <cp:revision>2</cp:revision>
</cp:coreProperties>
</file>