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46" w:rsidRPr="002F602E" w:rsidRDefault="00523C46" w:rsidP="00523C46">
      <w:pPr>
        <w:spacing w:after="0" w:line="240" w:lineRule="auto"/>
        <w:jc w:val="center"/>
        <w:rPr>
          <w:rFonts w:eastAsia="Calibri" w:cs="Times New Roman"/>
          <w:b/>
          <w:sz w:val="26"/>
          <w:szCs w:val="26"/>
        </w:rPr>
      </w:pPr>
      <w:r w:rsidRPr="002F602E">
        <w:rPr>
          <w:rFonts w:eastAsia="Calibri" w:cs="Times New Roman"/>
          <w:b/>
          <w:sz w:val="26"/>
          <w:szCs w:val="26"/>
        </w:rPr>
        <w:t>PAŽYMA</w:t>
      </w:r>
    </w:p>
    <w:p w:rsidR="00523C46" w:rsidRPr="002F602E" w:rsidRDefault="00523C46" w:rsidP="00523C46">
      <w:pPr>
        <w:spacing w:after="0" w:line="240" w:lineRule="auto"/>
        <w:ind w:firstLine="720"/>
        <w:jc w:val="center"/>
        <w:rPr>
          <w:rFonts w:eastAsia="Calibri" w:cs="Times New Roman"/>
          <w:b/>
          <w:sz w:val="26"/>
          <w:szCs w:val="26"/>
        </w:rPr>
      </w:pPr>
      <w:r w:rsidRPr="002F602E">
        <w:rPr>
          <w:rFonts w:eastAsia="Calibri" w:cs="Times New Roman"/>
          <w:b/>
          <w:sz w:val="26"/>
          <w:szCs w:val="26"/>
        </w:rPr>
        <w:t xml:space="preserve">Dėl š. m. </w:t>
      </w:r>
      <w:r w:rsidR="00EB073D">
        <w:rPr>
          <w:rFonts w:eastAsia="Calibri" w:cs="Times New Roman"/>
          <w:b/>
          <w:sz w:val="26"/>
          <w:szCs w:val="26"/>
        </w:rPr>
        <w:t>liepos 9</w:t>
      </w:r>
      <w:r w:rsidRPr="002F602E">
        <w:rPr>
          <w:rFonts w:eastAsia="Calibri" w:cs="Times New Roman"/>
          <w:b/>
          <w:sz w:val="26"/>
          <w:szCs w:val="26"/>
        </w:rPr>
        <w:t xml:space="preserve"> d. Ekonomikos ir finansų reikalų (ECOFIN) taryboje svarstomų klausimų</w:t>
      </w:r>
    </w:p>
    <w:p w:rsidR="00523C46" w:rsidRPr="002F602E" w:rsidRDefault="00523C46" w:rsidP="00523C46">
      <w:pPr>
        <w:spacing w:after="0" w:line="240" w:lineRule="auto"/>
        <w:ind w:firstLine="720"/>
        <w:jc w:val="both"/>
        <w:rPr>
          <w:rFonts w:eastAsia="Calibri" w:cs="Times New Roman"/>
          <w:szCs w:val="24"/>
        </w:rPr>
      </w:pPr>
    </w:p>
    <w:p w:rsidR="00DD2365" w:rsidRPr="002F602E" w:rsidRDefault="00DD2365" w:rsidP="00523C46">
      <w:pPr>
        <w:spacing w:after="0" w:line="240" w:lineRule="auto"/>
        <w:ind w:firstLine="720"/>
        <w:jc w:val="both"/>
        <w:rPr>
          <w:rFonts w:eastAsia="Calibri" w:cs="Times New Roman"/>
          <w:szCs w:val="24"/>
        </w:rPr>
      </w:pPr>
    </w:p>
    <w:p w:rsidR="00523C46" w:rsidRPr="002F602E" w:rsidRDefault="00EB073D" w:rsidP="0064710E">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cs="Times New Roman"/>
          <w:iCs/>
          <w:szCs w:val="24"/>
        </w:rPr>
      </w:pPr>
      <w:r>
        <w:rPr>
          <w:rFonts w:cs="Times New Roman"/>
          <w:b/>
          <w:iCs/>
          <w:szCs w:val="24"/>
        </w:rPr>
        <w:t xml:space="preserve">Nuosavi ištekliai </w:t>
      </w:r>
      <w:r w:rsidRPr="00EB073D">
        <w:rPr>
          <w:rFonts w:cs="Times New Roman"/>
          <w:i/>
          <w:iCs/>
          <w:szCs w:val="24"/>
        </w:rPr>
        <w:t>(esama padėtis)</w:t>
      </w:r>
    </w:p>
    <w:p w:rsidR="00523C46" w:rsidRPr="002F602E" w:rsidRDefault="00523C46" w:rsidP="00523C46">
      <w:pPr>
        <w:spacing w:after="0" w:line="240" w:lineRule="auto"/>
        <w:ind w:firstLine="720"/>
        <w:jc w:val="both"/>
        <w:rPr>
          <w:rFonts w:eastAsia="Calibri" w:cs="Times New Roman"/>
          <w:b/>
          <w:szCs w:val="24"/>
        </w:rPr>
      </w:pPr>
    </w:p>
    <w:p w:rsidR="0010259B" w:rsidRPr="005B54DC" w:rsidRDefault="005B54DC" w:rsidP="005B54DC">
      <w:pPr>
        <w:shd w:val="clear" w:color="auto" w:fill="FFFFFF" w:themeFill="background1"/>
        <w:tabs>
          <w:tab w:val="left" w:pos="0"/>
        </w:tabs>
        <w:spacing w:after="0" w:line="240" w:lineRule="auto"/>
        <w:jc w:val="both"/>
        <w:rPr>
          <w:rFonts w:eastAsia="Calibri"/>
          <w:noProof/>
          <w:szCs w:val="24"/>
          <w:lang w:eastAsia="lt-LT" w:bidi="lt-LT"/>
        </w:rPr>
      </w:pPr>
      <w:r w:rsidRPr="005B54DC">
        <w:rPr>
          <w:rFonts w:eastAsia="Calibri"/>
          <w:b/>
          <w:noProof/>
          <w:szCs w:val="24"/>
          <w:u w:val="single"/>
          <w:lang w:eastAsia="lt-LT" w:bidi="lt-LT"/>
        </w:rPr>
        <w:t>Klausimo esmė.</w:t>
      </w:r>
      <w:r w:rsidRPr="005B54DC">
        <w:rPr>
          <w:rFonts w:eastAsia="Calibri"/>
          <w:noProof/>
          <w:szCs w:val="24"/>
          <w:lang w:eastAsia="lt-LT" w:bidi="lt-LT"/>
        </w:rPr>
        <w:t xml:space="preserve"> </w:t>
      </w:r>
      <w:r w:rsidR="0010259B" w:rsidRPr="005B54DC">
        <w:rPr>
          <w:rFonts w:eastAsia="Calibri"/>
          <w:noProof/>
          <w:szCs w:val="24"/>
          <w:lang w:eastAsia="lt-LT" w:bidi="lt-LT"/>
        </w:rPr>
        <w:t>2019 m. liepos 9 d. ECOFIN susitikimo metu bus aptariamas nuosavų išteklių ir galimų naujų pajamų šaltinių klausimas 2021–2027 m. ES daugiametėje finansinėje programoje (DFP).</w:t>
      </w:r>
    </w:p>
    <w:p w:rsidR="0010259B" w:rsidRPr="005B54DC" w:rsidRDefault="0010259B" w:rsidP="005B54DC">
      <w:pPr>
        <w:spacing w:after="0" w:line="240" w:lineRule="auto"/>
        <w:jc w:val="both"/>
        <w:rPr>
          <w:szCs w:val="24"/>
        </w:rPr>
      </w:pPr>
      <w:r w:rsidRPr="005B54DC">
        <w:rPr>
          <w:szCs w:val="24"/>
        </w:rPr>
        <w:t>2019 m. birželio 25 d. Komisijos tarnybos pateikė dokumentą apie nuosavus išteklius ir galimus naujų išteklių šaltinius. Dokumente teigiama, kad Komisija siūlo reformuoti nuosavų išteklių sistemą kitame finansinio programavimo laikotarpyje pateikdama pasiūlymus dėl naujų nuosavų išteklių, tarp kurių: nacionaliniai įnašai apskaičiuoti pagal neperdirbto plastiko pakuočių atliekų kiekį, 20 procentų nuo pajamų gautų iš Europos apyvartinių taršos leidimų prekybos sistemos ir dalimi naujosios Bendrosios konsoliduotosios pelno mokesčio bazės, kai bus priimti reikalingi teisės aktai. Šie trys nauji ištekliai 2021-2027 m. sudarytų 22 mlrd. eurų kasmet, o tai yra apie 12 procentų ES biudžeto pajamų.</w:t>
      </w:r>
    </w:p>
    <w:p w:rsidR="005B54DC" w:rsidRPr="005B54DC" w:rsidRDefault="005B54DC" w:rsidP="005B54DC">
      <w:pPr>
        <w:spacing w:after="0" w:line="240" w:lineRule="auto"/>
        <w:jc w:val="both"/>
        <w:rPr>
          <w:szCs w:val="24"/>
        </w:rPr>
      </w:pPr>
      <w:r w:rsidRPr="005B54DC">
        <w:rPr>
          <w:szCs w:val="24"/>
        </w:rPr>
        <w:t>Dokumente taip pat atkreipiamas dėmesys, kad daugiausia palaikymo iš VN susilaukė pasiūlymas dėl</w:t>
      </w:r>
      <w:r>
        <w:rPr>
          <w:szCs w:val="24"/>
        </w:rPr>
        <w:t xml:space="preserve"> neperdirbto plastiko atliekų. </w:t>
      </w:r>
      <w:r w:rsidRPr="005B54DC">
        <w:rPr>
          <w:szCs w:val="24"/>
        </w:rPr>
        <w:t>Išteklius, susijęs su Europos apyvartini</w:t>
      </w:r>
      <w:r w:rsidR="005C6384">
        <w:rPr>
          <w:szCs w:val="24"/>
        </w:rPr>
        <w:t>ų taršos leidimų prekyba susilau</w:t>
      </w:r>
      <w:r w:rsidRPr="005B54DC">
        <w:rPr>
          <w:szCs w:val="24"/>
        </w:rPr>
        <w:t>kė kai kurių VN paramos. Tuo tarpu išteklius, susijęs su Bendrąja konsoliduotąja pelno mokesčio baze buvo atmestas dėl nepakankamos pažangos šiuo klausimu Taryboje.</w:t>
      </w:r>
    </w:p>
    <w:p w:rsidR="005B54DC" w:rsidRPr="005B54DC" w:rsidRDefault="005B54DC" w:rsidP="005B54DC">
      <w:pPr>
        <w:spacing w:after="0" w:line="240" w:lineRule="auto"/>
        <w:jc w:val="both"/>
        <w:rPr>
          <w:szCs w:val="24"/>
        </w:rPr>
      </w:pPr>
      <w:r w:rsidRPr="005B54DC">
        <w:rPr>
          <w:szCs w:val="24"/>
        </w:rPr>
        <w:t xml:space="preserve">Kai kurios VN taip pat prašė Komisijos panagrinėti galimybę įvesti kitus naujus pajamų šaltinius, ypač tokius, kurie būtų susiję su vidaus rinka ir/ar aplinkos tikslais. Dokumente teigiama, kad Komisija visada išreiškė norą svarstyti galimybę dėl naujų nuosavų išteklių, jeigu jie būtų remiami VN. Nauji pajamų šaltiniai sumažintų nacionalinius įnašus ir taip atlaisvintų resursus, kuriuos kitu atveju tektų mokėti iš nacionalinių biudžetų. </w:t>
      </w:r>
    </w:p>
    <w:p w:rsidR="005B54DC" w:rsidRPr="005B54DC" w:rsidRDefault="005B54DC" w:rsidP="005B54DC">
      <w:pPr>
        <w:spacing w:after="0" w:line="240" w:lineRule="auto"/>
        <w:jc w:val="both"/>
        <w:rPr>
          <w:szCs w:val="24"/>
        </w:rPr>
      </w:pPr>
      <w:r w:rsidRPr="005B54DC">
        <w:rPr>
          <w:szCs w:val="24"/>
        </w:rPr>
        <w:t xml:space="preserve">Dokumente teigiama, kad ministrai galėtų paskatinti Daugiametės finansinės programos </w:t>
      </w:r>
      <w:proofErr w:type="spellStart"/>
      <w:r w:rsidRPr="005B54DC">
        <w:rPr>
          <w:szCs w:val="24"/>
        </w:rPr>
        <w:t>ad</w:t>
      </w:r>
      <w:proofErr w:type="spellEnd"/>
      <w:r w:rsidRPr="005B54DC">
        <w:rPr>
          <w:szCs w:val="24"/>
        </w:rPr>
        <w:t xml:space="preserve"> </w:t>
      </w:r>
      <w:proofErr w:type="spellStart"/>
      <w:r w:rsidRPr="005B54DC">
        <w:rPr>
          <w:szCs w:val="24"/>
        </w:rPr>
        <w:t>hoc</w:t>
      </w:r>
      <w:proofErr w:type="spellEnd"/>
      <w:r w:rsidRPr="005B54DC">
        <w:rPr>
          <w:szCs w:val="24"/>
        </w:rPr>
        <w:t xml:space="preserve"> darbo grupę ir Nuosavų išteklių darbo grupę apsikeisti nuomonėmis dėl galimų naujų nuosavų išteklių. </w:t>
      </w:r>
    </w:p>
    <w:p w:rsidR="005B54DC" w:rsidRPr="005B54DC" w:rsidRDefault="00A819D2" w:rsidP="005B54DC">
      <w:pPr>
        <w:spacing w:after="0" w:line="240" w:lineRule="auto"/>
        <w:jc w:val="both"/>
        <w:rPr>
          <w:szCs w:val="24"/>
        </w:rPr>
      </w:pPr>
      <w:r>
        <w:rPr>
          <w:szCs w:val="24"/>
        </w:rPr>
        <w:t>Manoma</w:t>
      </w:r>
      <w:r w:rsidR="005B54DC" w:rsidRPr="005B54DC">
        <w:rPr>
          <w:szCs w:val="24"/>
        </w:rPr>
        <w:t>, kad greitas sprendimas dėl nuosavų išteklių yra svarbus siekiant sutarimo dėl bendro Daugiametės finansinės programos paketo.</w:t>
      </w:r>
    </w:p>
    <w:p w:rsidR="005B54DC" w:rsidRPr="005C6384" w:rsidRDefault="005B54DC" w:rsidP="005B54DC">
      <w:pPr>
        <w:spacing w:after="0" w:line="240" w:lineRule="auto"/>
        <w:jc w:val="both"/>
        <w:rPr>
          <w:noProof/>
          <w:szCs w:val="24"/>
          <w:lang w:eastAsia="lt-LT"/>
        </w:rPr>
      </w:pPr>
      <w:r w:rsidRPr="005B54DC">
        <w:rPr>
          <w:b/>
          <w:szCs w:val="24"/>
          <w:u w:val="single"/>
        </w:rPr>
        <w:t>Lietuvos pozicija.</w:t>
      </w:r>
      <w:r w:rsidRPr="005B54DC">
        <w:rPr>
          <w:b/>
          <w:szCs w:val="24"/>
        </w:rPr>
        <w:t xml:space="preserve"> </w:t>
      </w:r>
      <w:r w:rsidRPr="005C6384">
        <w:rPr>
          <w:noProof/>
          <w:szCs w:val="24"/>
          <w:lang w:eastAsia="lt-LT"/>
        </w:rPr>
        <w:t>ES nuosavų išteklių sistema turi būti paprasta, skaidri, užtikrinti vienodą šalių traktavimą ir remtis bendrosiomis nacionalinėmis pajamomis (BNPj) pagrįstu nuosavu ištekliumi bei tradiciniais nuosavais ištekliais (muitais), todėl pasisakome už PVM mokesčiu pagrįsto nuosavo ištekliaus panaikinimą.</w:t>
      </w:r>
    </w:p>
    <w:p w:rsidR="005B54DC" w:rsidRPr="005B54DC" w:rsidRDefault="005B54DC" w:rsidP="005B54DC">
      <w:pPr>
        <w:spacing w:after="0" w:line="240" w:lineRule="auto"/>
        <w:jc w:val="both"/>
        <w:rPr>
          <w:b/>
          <w:noProof/>
          <w:szCs w:val="24"/>
          <w:lang w:eastAsia="lt-LT"/>
        </w:rPr>
      </w:pPr>
    </w:p>
    <w:p w:rsidR="0084520E" w:rsidRPr="002F602E" w:rsidRDefault="00EB073D" w:rsidP="005C3976">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iCs/>
          <w:szCs w:val="24"/>
        </w:rPr>
      </w:pPr>
      <w:r>
        <w:rPr>
          <w:rFonts w:cs="Times New Roman"/>
          <w:b/>
          <w:szCs w:val="24"/>
        </w:rPr>
        <w:t xml:space="preserve">Pirmininkaujančios šalies darbo programos pristatymas </w:t>
      </w:r>
      <w:r w:rsidRPr="00EB073D">
        <w:rPr>
          <w:rFonts w:cs="Times New Roman"/>
          <w:i/>
          <w:szCs w:val="24"/>
        </w:rPr>
        <w:t>(nuomonių apsikeitimas)</w:t>
      </w:r>
    </w:p>
    <w:p w:rsidR="0084520E" w:rsidRPr="002F602E" w:rsidRDefault="0084520E" w:rsidP="00827E85">
      <w:pPr>
        <w:spacing w:after="0" w:line="240" w:lineRule="auto"/>
        <w:jc w:val="both"/>
        <w:rPr>
          <w:rFonts w:eastAsia="Calibri" w:cs="Times New Roman"/>
          <w:b/>
          <w:noProof/>
          <w:szCs w:val="24"/>
          <w:u w:val="single"/>
          <w:lang w:bidi="lt-LT"/>
        </w:rPr>
      </w:pPr>
    </w:p>
    <w:p w:rsidR="002879EE" w:rsidRPr="002879EE" w:rsidRDefault="002879EE" w:rsidP="002879EE">
      <w:pPr>
        <w:spacing w:after="0" w:line="240" w:lineRule="auto"/>
        <w:jc w:val="both"/>
        <w:rPr>
          <w:rFonts w:eastAsia="Calibri"/>
          <w:noProof/>
          <w:szCs w:val="24"/>
          <w:lang w:bidi="lt-LT"/>
        </w:rPr>
      </w:pPr>
      <w:r w:rsidRPr="002879EE">
        <w:rPr>
          <w:rFonts w:eastAsia="Calibri"/>
          <w:b/>
          <w:noProof/>
          <w:szCs w:val="24"/>
          <w:u w:val="single"/>
          <w:lang w:bidi="lt-LT"/>
        </w:rPr>
        <w:t>Klausimo esmė.</w:t>
      </w:r>
      <w:r w:rsidRPr="002879EE">
        <w:rPr>
          <w:rFonts w:eastAsia="Calibri"/>
          <w:noProof/>
          <w:szCs w:val="24"/>
          <w:lang w:bidi="lt-LT"/>
        </w:rPr>
        <w:t xml:space="preserve"> ECOFIN metu nuo 2019 m. liepos 1 d. ES Tarybai pirmininkaujanti Suomija pristatys pusmečio darbų programą ekonomikos ir finansų srityse. </w:t>
      </w:r>
    </w:p>
    <w:p w:rsidR="002879EE" w:rsidRPr="002879EE" w:rsidRDefault="002879EE" w:rsidP="002879EE">
      <w:pPr>
        <w:spacing w:after="0" w:line="240" w:lineRule="auto"/>
        <w:jc w:val="both"/>
        <w:rPr>
          <w:rFonts w:eastAsia="Calibri"/>
          <w:noProof/>
          <w:szCs w:val="24"/>
          <w:lang w:bidi="lt-LT"/>
        </w:rPr>
      </w:pPr>
      <w:r w:rsidRPr="002879EE">
        <w:rPr>
          <w:rFonts w:eastAsia="Calibri"/>
          <w:noProof/>
          <w:szCs w:val="24"/>
          <w:lang w:bidi="lt-LT"/>
        </w:rPr>
        <w:t>Suomija turi nusimačiusi kelis horizontalius prioritetus: vidaus rinka, klimatas bei saugumas. Vidaus rinkos srityj</w:t>
      </w:r>
      <w:r w:rsidR="004F0024">
        <w:rPr>
          <w:rFonts w:eastAsia="Calibri"/>
          <w:noProof/>
          <w:szCs w:val="24"/>
          <w:lang w:bidi="lt-LT"/>
        </w:rPr>
        <w:t>e bus toliau dirbama su Kapitalo</w:t>
      </w:r>
      <w:bookmarkStart w:id="0" w:name="_GoBack"/>
      <w:bookmarkEnd w:id="0"/>
      <w:r w:rsidRPr="002879EE">
        <w:rPr>
          <w:rFonts w:eastAsia="Calibri"/>
          <w:noProof/>
          <w:szCs w:val="24"/>
          <w:lang w:bidi="lt-LT"/>
        </w:rPr>
        <w:t xml:space="preserve"> rinkų sąjunga (CMU) bei Ekonominės ir pinigų sąjungos stiprinimu.</w:t>
      </w:r>
    </w:p>
    <w:p w:rsidR="002879EE" w:rsidRPr="002879EE" w:rsidRDefault="002879EE" w:rsidP="002879EE">
      <w:pPr>
        <w:spacing w:after="0" w:line="240" w:lineRule="auto"/>
        <w:jc w:val="both"/>
        <w:rPr>
          <w:rFonts w:eastAsia="Calibri"/>
          <w:noProof/>
          <w:szCs w:val="24"/>
          <w:lang w:bidi="lt-LT"/>
        </w:rPr>
      </w:pPr>
      <w:r w:rsidRPr="002879EE">
        <w:rPr>
          <w:rFonts w:eastAsia="Calibri"/>
          <w:noProof/>
          <w:szCs w:val="24"/>
          <w:lang w:bidi="lt-LT"/>
        </w:rPr>
        <w:t>Taip pat Suomija kelia tikslą kuo labiau ECOFI</w:t>
      </w:r>
      <w:r w:rsidR="005C6384">
        <w:rPr>
          <w:rFonts w:eastAsia="Calibri"/>
          <w:noProof/>
          <w:szCs w:val="24"/>
          <w:lang w:bidi="lt-LT"/>
        </w:rPr>
        <w:t>N tarybą įtraukti  sprendžiant k</w:t>
      </w:r>
      <w:r w:rsidRPr="002879EE">
        <w:rPr>
          <w:rFonts w:eastAsia="Calibri"/>
          <w:noProof/>
          <w:szCs w:val="24"/>
          <w:lang w:bidi="lt-LT"/>
        </w:rPr>
        <w:t>limato kaito klausimus, plėtoti strateginės ilgalaikės klimatui neutralios ekonomikos aspektus, tvarų finansavimą.</w:t>
      </w:r>
    </w:p>
    <w:p w:rsidR="002879EE" w:rsidRPr="002879EE" w:rsidRDefault="002879EE" w:rsidP="002879EE">
      <w:pPr>
        <w:spacing w:after="0" w:line="240" w:lineRule="auto"/>
        <w:jc w:val="both"/>
        <w:rPr>
          <w:rFonts w:eastAsia="Calibri"/>
          <w:noProof/>
          <w:szCs w:val="24"/>
          <w:lang w:bidi="lt-LT"/>
        </w:rPr>
      </w:pPr>
      <w:r w:rsidRPr="002879EE">
        <w:rPr>
          <w:rFonts w:eastAsia="Calibri"/>
          <w:noProof/>
          <w:szCs w:val="24"/>
          <w:lang w:bidi="lt-LT"/>
        </w:rPr>
        <w:t>Pirmininkaujanti narė kels politinius debatus finansinės architektūros kontekste, bus tęsiamos diskusijos dėl fiskalinių taisyklių.</w:t>
      </w:r>
    </w:p>
    <w:p w:rsidR="002879EE" w:rsidRPr="002879EE" w:rsidRDefault="002879EE" w:rsidP="002879EE">
      <w:pPr>
        <w:spacing w:after="0" w:line="240" w:lineRule="auto"/>
        <w:jc w:val="both"/>
        <w:rPr>
          <w:rFonts w:eastAsia="Calibri"/>
          <w:noProof/>
          <w:szCs w:val="24"/>
          <w:lang w:bidi="lt-LT"/>
        </w:rPr>
      </w:pPr>
      <w:r w:rsidRPr="002879EE">
        <w:rPr>
          <w:rFonts w:eastAsia="Calibri"/>
          <w:b/>
          <w:noProof/>
          <w:szCs w:val="24"/>
          <w:u w:val="single"/>
          <w:lang w:bidi="lt-LT"/>
        </w:rPr>
        <w:t>Lietuvos pozicija.</w:t>
      </w:r>
      <w:r w:rsidRPr="002879EE">
        <w:rPr>
          <w:rFonts w:eastAsia="Calibri"/>
          <w:noProof/>
          <w:szCs w:val="24"/>
          <w:lang w:bidi="lt-LT"/>
        </w:rPr>
        <w:t xml:space="preserve"> Sveikiname Suomiją perėmus pirmininkavimą ES Tarybai. Tikimės, kad užsibrėžti tikslai bus sėkmingai įgyvendinti.</w:t>
      </w:r>
    </w:p>
    <w:p w:rsidR="00C81C48" w:rsidRDefault="00C81C48" w:rsidP="00114A4B">
      <w:pPr>
        <w:autoSpaceDE w:val="0"/>
        <w:autoSpaceDN w:val="0"/>
        <w:adjustRightInd w:val="0"/>
        <w:spacing w:after="0" w:line="240" w:lineRule="auto"/>
        <w:jc w:val="both"/>
        <w:rPr>
          <w:rFonts w:cs="Times New Roman"/>
          <w:b/>
          <w:szCs w:val="24"/>
          <w:u w:val="single"/>
        </w:rPr>
      </w:pPr>
    </w:p>
    <w:p w:rsidR="005D6A77" w:rsidRPr="002F602E" w:rsidRDefault="005D6A77" w:rsidP="00114A4B">
      <w:pPr>
        <w:autoSpaceDE w:val="0"/>
        <w:autoSpaceDN w:val="0"/>
        <w:adjustRightInd w:val="0"/>
        <w:spacing w:after="0" w:line="240" w:lineRule="auto"/>
        <w:jc w:val="both"/>
        <w:rPr>
          <w:rFonts w:cs="Times New Roman"/>
          <w:b/>
          <w:szCs w:val="24"/>
          <w:u w:val="single"/>
        </w:rPr>
      </w:pPr>
    </w:p>
    <w:p w:rsidR="000E0FF2" w:rsidRPr="002F602E" w:rsidRDefault="00EB073D" w:rsidP="000E0FF2">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
          <w:szCs w:val="24"/>
        </w:rPr>
      </w:pPr>
      <w:r>
        <w:rPr>
          <w:rFonts w:cs="Times New Roman"/>
          <w:b/>
          <w:szCs w:val="24"/>
        </w:rPr>
        <w:t xml:space="preserve">Europos semestras: tarybos rekomendacijos </w:t>
      </w:r>
      <w:r w:rsidRPr="00EB073D">
        <w:rPr>
          <w:rFonts w:cs="Times New Roman"/>
          <w:i/>
          <w:szCs w:val="24"/>
        </w:rPr>
        <w:t>(priėmimas)</w:t>
      </w:r>
    </w:p>
    <w:p w:rsidR="00827E85" w:rsidRPr="002F602E" w:rsidRDefault="00827E85" w:rsidP="00827E85">
      <w:pPr>
        <w:pStyle w:val="Text1"/>
        <w:tabs>
          <w:tab w:val="left" w:pos="5295"/>
        </w:tabs>
        <w:ind w:left="0" w:right="31"/>
        <w:jc w:val="both"/>
        <w:rPr>
          <w:rFonts w:eastAsiaTheme="minorHAnsi"/>
          <w:szCs w:val="24"/>
          <w:lang w:val="lt-LT"/>
        </w:rPr>
      </w:pPr>
    </w:p>
    <w:p w:rsidR="007168A7" w:rsidRPr="007F0F9B" w:rsidRDefault="007168A7" w:rsidP="007168A7">
      <w:pPr>
        <w:spacing w:after="0" w:line="240" w:lineRule="auto"/>
        <w:contextualSpacing/>
        <w:jc w:val="both"/>
        <w:rPr>
          <w:rFonts w:cs="Times New Roman"/>
          <w:szCs w:val="24"/>
        </w:rPr>
      </w:pPr>
      <w:r w:rsidRPr="002879EE">
        <w:rPr>
          <w:rFonts w:eastAsia="Calibri"/>
          <w:b/>
          <w:noProof/>
          <w:szCs w:val="24"/>
          <w:u w:val="single"/>
          <w:lang w:bidi="lt-LT"/>
        </w:rPr>
        <w:t>Klausimo esmė.</w:t>
      </w:r>
      <w:r w:rsidRPr="002879EE">
        <w:rPr>
          <w:rFonts w:eastAsia="Calibri"/>
          <w:noProof/>
          <w:szCs w:val="24"/>
          <w:lang w:bidi="lt-LT"/>
        </w:rPr>
        <w:t xml:space="preserve"> </w:t>
      </w:r>
      <w:r w:rsidRPr="007F0F9B">
        <w:rPr>
          <w:rFonts w:cs="Times New Roman"/>
          <w:szCs w:val="24"/>
        </w:rPr>
        <w:t>Komisija rekomenduoja Lietuvai 2019-2020 m:</w:t>
      </w:r>
    </w:p>
    <w:p w:rsidR="007168A7" w:rsidRPr="00A819D2" w:rsidRDefault="007168A7" w:rsidP="007168A7">
      <w:pPr>
        <w:numPr>
          <w:ilvl w:val="0"/>
          <w:numId w:val="20"/>
        </w:numPr>
        <w:spacing w:after="0" w:line="240" w:lineRule="auto"/>
        <w:contextualSpacing/>
        <w:jc w:val="both"/>
        <w:rPr>
          <w:rFonts w:cs="Times New Roman"/>
          <w:szCs w:val="24"/>
        </w:rPr>
      </w:pPr>
      <w:r w:rsidRPr="00A819D2">
        <w:rPr>
          <w:rFonts w:cs="Times New Roman"/>
          <w:szCs w:val="24"/>
        </w:rPr>
        <w:lastRenderedPageBreak/>
        <w:t>Gerinti mokestinių prievolių</w:t>
      </w:r>
      <w:r w:rsidR="00A819D2" w:rsidRPr="00A819D2">
        <w:rPr>
          <w:rFonts w:cs="Times New Roman"/>
          <w:szCs w:val="24"/>
        </w:rPr>
        <w:t xml:space="preserve"> vykdymą ir plėsti mokesčių bazę</w:t>
      </w:r>
      <w:r w:rsidRPr="00A819D2">
        <w:rPr>
          <w:rFonts w:cs="Times New Roman"/>
          <w:szCs w:val="24"/>
        </w:rPr>
        <w:t xml:space="preserve"> naudojant mokesčius mažiau kenkiančius augimui. Mažinti pajamų nelygybę</w:t>
      </w:r>
      <w:r w:rsidR="00A819D2" w:rsidRPr="00A819D2">
        <w:rPr>
          <w:rFonts w:cs="Times New Roman"/>
          <w:szCs w:val="24"/>
        </w:rPr>
        <w:t>,</w:t>
      </w:r>
      <w:r w:rsidRPr="00A819D2">
        <w:rPr>
          <w:rFonts w:cs="Times New Roman"/>
          <w:szCs w:val="24"/>
        </w:rPr>
        <w:t xml:space="preserve"> skurdą ir socialinę atskirtį įvairiomis priemonėmis, įskaitant tobulinant mokesčių ir išmokų sistemą.</w:t>
      </w:r>
    </w:p>
    <w:p w:rsidR="007168A7" w:rsidRPr="00A819D2" w:rsidRDefault="007168A7" w:rsidP="007168A7">
      <w:pPr>
        <w:numPr>
          <w:ilvl w:val="0"/>
          <w:numId w:val="20"/>
        </w:numPr>
        <w:spacing w:after="0" w:line="240" w:lineRule="auto"/>
        <w:contextualSpacing/>
        <w:jc w:val="both"/>
        <w:rPr>
          <w:rFonts w:cs="Times New Roman"/>
          <w:szCs w:val="24"/>
        </w:rPr>
      </w:pPr>
      <w:r w:rsidRPr="00A819D2">
        <w:rPr>
          <w:rFonts w:cs="Times New Roman"/>
          <w:szCs w:val="24"/>
        </w:rPr>
        <w:t>Tobulinti švietimo ir mokymosi kokybę ir efektyvumą, įskaitant suaugusiųjų mokymą. Padidinti sveikatos apsaugos sistemos efektyvumą</w:t>
      </w:r>
      <w:r w:rsidR="00A819D2">
        <w:rPr>
          <w:rFonts w:cs="Times New Roman"/>
          <w:szCs w:val="24"/>
        </w:rPr>
        <w:t>,</w:t>
      </w:r>
      <w:r w:rsidRPr="00A819D2">
        <w:rPr>
          <w:rFonts w:cs="Times New Roman"/>
          <w:szCs w:val="24"/>
        </w:rPr>
        <w:t xml:space="preserve"> prieinamumą ir kokybę.</w:t>
      </w:r>
    </w:p>
    <w:p w:rsidR="007168A7" w:rsidRDefault="007168A7" w:rsidP="007168A7">
      <w:pPr>
        <w:numPr>
          <w:ilvl w:val="0"/>
          <w:numId w:val="20"/>
        </w:numPr>
        <w:spacing w:after="0" w:line="240" w:lineRule="auto"/>
        <w:contextualSpacing/>
        <w:jc w:val="both"/>
        <w:rPr>
          <w:rFonts w:cs="Times New Roman"/>
          <w:szCs w:val="24"/>
        </w:rPr>
      </w:pPr>
      <w:r w:rsidRPr="00A819D2">
        <w:rPr>
          <w:rFonts w:cs="Times New Roman"/>
          <w:szCs w:val="24"/>
        </w:rPr>
        <w:t>Fokusuotis ties ekonomine politika</w:t>
      </w:r>
      <w:r w:rsidR="00A819D2">
        <w:rPr>
          <w:rFonts w:cs="Times New Roman"/>
          <w:szCs w:val="24"/>
        </w:rPr>
        <w:t>,</w:t>
      </w:r>
      <w:r w:rsidRPr="00A819D2">
        <w:rPr>
          <w:rFonts w:cs="Times New Roman"/>
          <w:szCs w:val="24"/>
        </w:rPr>
        <w:t xml:space="preserve"> susijusia su investicijomis į inovacijas, energetiką ir efektyvų resursų panaudojimą, tvarų transportą ir energetikos tarpusavio jungtis, atsižvelgiant į regioninius skirtumus. Stimuliuoti produktyvumo augimą tobulinant viešųjų investicijų efektyvumą. Sukurti aiškią, nuoseklią ir sistemingą politiką</w:t>
      </w:r>
      <w:r w:rsidR="00A819D2">
        <w:rPr>
          <w:rFonts w:cs="Times New Roman"/>
          <w:szCs w:val="24"/>
        </w:rPr>
        <w:t>,</w:t>
      </w:r>
      <w:r w:rsidRPr="00A819D2">
        <w:rPr>
          <w:rFonts w:cs="Times New Roman"/>
          <w:szCs w:val="24"/>
        </w:rPr>
        <w:t xml:space="preserve"> skirtą mokslo-verslo bendradarbiavimui, taip</w:t>
      </w:r>
      <w:r w:rsidR="00A819D2">
        <w:rPr>
          <w:rFonts w:cs="Times New Roman"/>
          <w:szCs w:val="24"/>
        </w:rPr>
        <w:t xml:space="preserve"> pat </w:t>
      </w:r>
      <w:r w:rsidRPr="007F0F9B">
        <w:rPr>
          <w:rFonts w:cs="Times New Roman"/>
          <w:szCs w:val="24"/>
        </w:rPr>
        <w:t>konsoliduoti mokslą ir inovacijas įgyvendinančias agentūras.</w:t>
      </w:r>
    </w:p>
    <w:p w:rsidR="007168A7" w:rsidRPr="00FA4A03" w:rsidRDefault="007168A7" w:rsidP="007168A7">
      <w:pPr>
        <w:spacing w:after="0" w:line="240" w:lineRule="auto"/>
        <w:contextualSpacing/>
        <w:jc w:val="both"/>
        <w:rPr>
          <w:rFonts w:cs="Times New Roman"/>
          <w:color w:val="000000"/>
          <w:szCs w:val="24"/>
        </w:rPr>
      </w:pPr>
      <w:r w:rsidRPr="007168A7">
        <w:rPr>
          <w:rFonts w:cs="Times New Roman"/>
          <w:b/>
          <w:szCs w:val="24"/>
          <w:u w:val="single"/>
        </w:rPr>
        <w:t>Lietuvos pozicija</w:t>
      </w:r>
      <w:r>
        <w:rPr>
          <w:rFonts w:cs="Times New Roman"/>
          <w:b/>
          <w:szCs w:val="24"/>
        </w:rPr>
        <w:t>.</w:t>
      </w:r>
      <w:r>
        <w:rPr>
          <w:rFonts w:cs="Times New Roman"/>
          <w:color w:val="000000"/>
          <w:szCs w:val="24"/>
        </w:rPr>
        <w:t xml:space="preserve"> </w:t>
      </w:r>
      <w:r w:rsidRPr="00FA4A03">
        <w:rPr>
          <w:rFonts w:eastAsia="Times New Roman" w:cs="Times New Roman"/>
          <w:szCs w:val="24"/>
          <w:lang w:eastAsia="fr-BE"/>
        </w:rPr>
        <w:t>Lietuva pritaria rekomendacijų tekstui, tačiau turi dvi pastabas, kurias pateikė Susisiekimo ministerija (FM pastabų rekomendacijoms neturėjo): a) 3 rekomendacijoje dėl investicijų siūlome tekstą papildyti nuoroda į TEN-T tinklą, kadangi jis nėra pakankamai išvystytas. b) 16 preambulės pastraipoje, kurioje kalbama apie nepakankamą LT logistinį prieinamumą</w:t>
      </w:r>
      <w:r w:rsidR="00A819D2">
        <w:rPr>
          <w:rFonts w:eastAsia="Times New Roman" w:cs="Times New Roman"/>
          <w:szCs w:val="24"/>
          <w:lang w:eastAsia="fr-BE"/>
        </w:rPr>
        <w:t>,</w:t>
      </w:r>
      <w:r w:rsidRPr="00FA4A03">
        <w:rPr>
          <w:rFonts w:eastAsia="Times New Roman" w:cs="Times New Roman"/>
          <w:szCs w:val="24"/>
          <w:lang w:eastAsia="fr-BE"/>
        </w:rPr>
        <w:t xml:space="preserve"> tarp kitų sričių paminėtas prastas prieinamumas iš jūros. Manome, kad šis teiginys nėra</w:t>
      </w:r>
      <w:r w:rsidR="005C6384">
        <w:rPr>
          <w:rFonts w:eastAsia="Times New Roman" w:cs="Times New Roman"/>
          <w:szCs w:val="24"/>
          <w:lang w:eastAsia="fr-BE"/>
        </w:rPr>
        <w:t xml:space="preserve"> teisingas, kadangi prieinamumą</w:t>
      </w:r>
      <w:r w:rsidRPr="00FA4A03">
        <w:rPr>
          <w:rFonts w:eastAsia="Times New Roman" w:cs="Times New Roman"/>
          <w:szCs w:val="24"/>
          <w:lang w:eastAsia="fr-BE"/>
        </w:rPr>
        <w:t xml:space="preserve"> iš jūros </w:t>
      </w:r>
      <w:r w:rsidR="005C6384">
        <w:rPr>
          <w:rFonts w:eastAsia="Times New Roman" w:cs="Times New Roman"/>
          <w:szCs w:val="24"/>
          <w:lang w:eastAsia="fr-BE"/>
        </w:rPr>
        <w:t>pakankamai užtikrina Klaipėdos uostas</w:t>
      </w:r>
      <w:r w:rsidRPr="00FA4A03">
        <w:rPr>
          <w:rFonts w:eastAsia="Times New Roman" w:cs="Times New Roman"/>
          <w:szCs w:val="24"/>
          <w:lang w:eastAsia="fr-BE"/>
        </w:rPr>
        <w:t>.</w:t>
      </w:r>
    </w:p>
    <w:p w:rsidR="00EB073D" w:rsidRPr="00EB073D" w:rsidRDefault="00EB073D" w:rsidP="00EB073D">
      <w:pPr>
        <w:autoSpaceDE w:val="0"/>
        <w:autoSpaceDN w:val="0"/>
        <w:adjustRightInd w:val="0"/>
        <w:spacing w:after="0" w:line="240" w:lineRule="auto"/>
        <w:rPr>
          <w:rFonts w:cs="Times New Roman"/>
          <w:color w:val="000000"/>
          <w:szCs w:val="24"/>
        </w:rPr>
      </w:pPr>
    </w:p>
    <w:p w:rsidR="00C57A83" w:rsidRPr="002F602E" w:rsidRDefault="00C57A83" w:rsidP="00C57A83">
      <w:pPr>
        <w:pStyle w:val="Text1"/>
        <w:tabs>
          <w:tab w:val="left" w:pos="5295"/>
        </w:tabs>
        <w:ind w:left="0" w:right="31"/>
        <w:contextualSpacing/>
        <w:jc w:val="both"/>
        <w:rPr>
          <w:rFonts w:eastAsiaTheme="minorHAnsi"/>
          <w:szCs w:val="24"/>
          <w:lang w:val="lt-LT"/>
        </w:rPr>
      </w:pPr>
    </w:p>
    <w:p w:rsidR="008618AA" w:rsidRPr="002F602E" w:rsidRDefault="00C55B38" w:rsidP="008618AA">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sidRPr="00C55B38">
        <w:rPr>
          <w:rFonts w:cs="Times New Roman"/>
          <w:i/>
          <w:szCs w:val="24"/>
        </w:rPr>
        <w:t>(galimas</w:t>
      </w:r>
      <w:r w:rsidR="007652C2">
        <w:rPr>
          <w:rFonts w:cs="Times New Roman"/>
          <w:i/>
          <w:szCs w:val="24"/>
        </w:rPr>
        <w:t xml:space="preserve"> </w:t>
      </w:r>
      <w:proofErr w:type="spellStart"/>
      <w:r w:rsidR="007652C2">
        <w:rPr>
          <w:rFonts w:cs="Times New Roman"/>
          <w:i/>
          <w:szCs w:val="24"/>
        </w:rPr>
        <w:t>kl</w:t>
      </w:r>
      <w:proofErr w:type="spellEnd"/>
      <w:r w:rsidR="007652C2">
        <w:rPr>
          <w:rFonts w:cs="Times New Roman"/>
          <w:i/>
          <w:szCs w:val="24"/>
        </w:rPr>
        <w:t>.</w:t>
      </w:r>
      <w:r w:rsidRPr="00C55B38">
        <w:rPr>
          <w:rFonts w:cs="Times New Roman"/>
          <w:i/>
          <w:szCs w:val="24"/>
        </w:rPr>
        <w:t>)</w:t>
      </w:r>
      <w:r>
        <w:rPr>
          <w:rFonts w:cs="Times New Roman"/>
          <w:b/>
          <w:szCs w:val="24"/>
        </w:rPr>
        <w:t xml:space="preserve"> Tarybos sprendimai/rekomendacijos dėl Stabilumo ir augimo pakto įgyvendinimo </w:t>
      </w:r>
      <w:r w:rsidRPr="00C55B38">
        <w:rPr>
          <w:rFonts w:cs="Times New Roman"/>
          <w:i/>
          <w:szCs w:val="24"/>
        </w:rPr>
        <w:t>(priėmimas)</w:t>
      </w:r>
    </w:p>
    <w:p w:rsidR="007168A7" w:rsidRDefault="007168A7" w:rsidP="007168A7">
      <w:pPr>
        <w:spacing w:after="0" w:line="240" w:lineRule="auto"/>
        <w:jc w:val="both"/>
        <w:rPr>
          <w:rFonts w:eastAsia="Calibri"/>
          <w:b/>
          <w:noProof/>
          <w:szCs w:val="24"/>
          <w:u w:val="single"/>
          <w:lang w:bidi="lt-LT"/>
        </w:rPr>
      </w:pPr>
    </w:p>
    <w:p w:rsidR="007168A7" w:rsidRPr="00FA4A03" w:rsidRDefault="007168A7" w:rsidP="007168A7">
      <w:pPr>
        <w:spacing w:after="0" w:line="240" w:lineRule="auto"/>
        <w:jc w:val="both"/>
        <w:rPr>
          <w:rFonts w:eastAsia="Times New Roman" w:cs="Times New Roman"/>
          <w:szCs w:val="24"/>
          <w:lang w:eastAsia="fr-BE"/>
        </w:rPr>
      </w:pPr>
      <w:r w:rsidRPr="002879EE">
        <w:rPr>
          <w:rFonts w:eastAsia="Calibri"/>
          <w:b/>
          <w:noProof/>
          <w:szCs w:val="24"/>
          <w:u w:val="single"/>
          <w:lang w:bidi="lt-LT"/>
        </w:rPr>
        <w:t>Klausimo esmė.</w:t>
      </w:r>
      <w:r w:rsidRPr="007168A7">
        <w:rPr>
          <w:rFonts w:eastAsia="Calibri"/>
          <w:b/>
          <w:noProof/>
          <w:szCs w:val="24"/>
          <w:lang w:bidi="lt-LT"/>
        </w:rPr>
        <w:t xml:space="preserve"> </w:t>
      </w:r>
      <w:r w:rsidRPr="00FA4A03">
        <w:rPr>
          <w:rFonts w:cs="Times New Roman"/>
          <w:b/>
          <w:szCs w:val="24"/>
        </w:rPr>
        <w:t xml:space="preserve">Lietuvos situacija. </w:t>
      </w:r>
      <w:r w:rsidRPr="00FA4A03">
        <w:rPr>
          <w:rFonts w:cs="Times New Roman"/>
          <w:szCs w:val="24"/>
        </w:rPr>
        <w:t xml:space="preserve">Rekomendacijų </w:t>
      </w:r>
      <w:r w:rsidRPr="00FA4A03">
        <w:rPr>
          <w:rFonts w:eastAsia="Times New Roman" w:cs="Times New Roman"/>
          <w:szCs w:val="24"/>
          <w:lang w:eastAsia="fr-BE"/>
        </w:rPr>
        <w:t>tekste pažymėta, kad išanalizavus Lietuvos 2019 m. Stabilumo programą tikimasi, jog Lietuva atitiks Stabilumo ir augimo pakto (SAP) reikalavimus.</w:t>
      </w:r>
    </w:p>
    <w:p w:rsidR="007168A7" w:rsidRPr="00FA4A03" w:rsidRDefault="007168A7" w:rsidP="007168A7">
      <w:pPr>
        <w:spacing w:after="0" w:line="240" w:lineRule="auto"/>
        <w:contextualSpacing/>
        <w:jc w:val="both"/>
        <w:rPr>
          <w:rFonts w:cs="Times New Roman"/>
          <w:szCs w:val="24"/>
        </w:rPr>
      </w:pPr>
      <w:r w:rsidRPr="00FA4A03">
        <w:rPr>
          <w:rFonts w:cs="Times New Roman"/>
          <w:b/>
          <w:szCs w:val="24"/>
        </w:rPr>
        <w:t xml:space="preserve">ES situacija. </w:t>
      </w:r>
      <w:r w:rsidRPr="00FA4A03">
        <w:rPr>
          <w:rFonts w:cs="Times New Roman"/>
          <w:szCs w:val="24"/>
        </w:rPr>
        <w:t xml:space="preserve">Bendrai viešieji finansai juda didesnio tvarumo link, nepaisant to situacija </w:t>
      </w:r>
      <w:r w:rsidR="005C6384">
        <w:rPr>
          <w:rFonts w:cs="Times New Roman"/>
          <w:szCs w:val="24"/>
        </w:rPr>
        <w:t>tarp VN labai skirtinga</w:t>
      </w:r>
      <w:r w:rsidRPr="00FA4A03">
        <w:rPr>
          <w:rFonts w:cs="Times New Roman"/>
          <w:szCs w:val="24"/>
        </w:rPr>
        <w:t xml:space="preserve">. Nominalus ES deficitas nukrito iki </w:t>
      </w:r>
      <w:r w:rsidRPr="00FA4A03">
        <w:rPr>
          <w:rFonts w:cs="Times New Roman"/>
          <w:szCs w:val="24"/>
          <w:lang w:val="en-US"/>
        </w:rPr>
        <w:t>0,6%</w:t>
      </w:r>
      <w:r w:rsidRPr="00FA4A03">
        <w:rPr>
          <w:rFonts w:cs="Times New Roman"/>
          <w:szCs w:val="24"/>
        </w:rPr>
        <w:t xml:space="preserve"> BVP, žemiausias lygis nuo 2000 m. Skola irgi mažėja, savo piką pasiekusi 2014 m. (88</w:t>
      </w:r>
      <w:r w:rsidRPr="00FA4A03">
        <w:rPr>
          <w:rFonts w:cs="Times New Roman"/>
          <w:szCs w:val="24"/>
          <w:lang w:val="en-US"/>
        </w:rPr>
        <w:t>% BVP)</w:t>
      </w:r>
      <w:r w:rsidRPr="00FA4A03">
        <w:rPr>
          <w:rFonts w:cs="Times New Roman"/>
          <w:szCs w:val="24"/>
        </w:rPr>
        <w:t xml:space="preserve"> ji sumažėjo iki 81</w:t>
      </w:r>
      <w:r w:rsidRPr="00FA4A03">
        <w:rPr>
          <w:rFonts w:cs="Times New Roman"/>
          <w:szCs w:val="24"/>
          <w:lang w:val="en-US"/>
        </w:rPr>
        <w:t>,5% BVP</w:t>
      </w:r>
      <w:r w:rsidRPr="00FA4A03">
        <w:rPr>
          <w:rFonts w:cs="Times New Roman"/>
          <w:szCs w:val="24"/>
        </w:rPr>
        <w:t>. Tikimasi, kad skolos ir BVP santykis 2022 m. bus apie 75</w:t>
      </w:r>
      <w:r w:rsidRPr="00FA4A03">
        <w:rPr>
          <w:rFonts w:cs="Times New Roman"/>
          <w:szCs w:val="24"/>
          <w:lang w:val="en-US"/>
        </w:rPr>
        <w:t>%</w:t>
      </w:r>
      <w:r w:rsidRPr="00FA4A03">
        <w:rPr>
          <w:rFonts w:cs="Times New Roman"/>
          <w:szCs w:val="24"/>
        </w:rPr>
        <w:t xml:space="preserve"> BVP. 12 VN pasiekė arba viršijo Vidutinės trukmės tikslą (MTO) 2018 m. planuojama, kad šis skaičius pakils iki 14 VN 2019 m. ir iki 23 VN </w:t>
      </w:r>
      <w:r w:rsidR="00A819D2">
        <w:rPr>
          <w:rFonts w:cs="Times New Roman"/>
          <w:szCs w:val="24"/>
        </w:rPr>
        <w:t xml:space="preserve">- </w:t>
      </w:r>
      <w:r w:rsidRPr="00FA4A03">
        <w:rPr>
          <w:rFonts w:cs="Times New Roman"/>
          <w:szCs w:val="24"/>
        </w:rPr>
        <w:t>2022 m.</w:t>
      </w:r>
    </w:p>
    <w:p w:rsidR="007168A7" w:rsidRPr="00FA4A03" w:rsidRDefault="007168A7" w:rsidP="007168A7">
      <w:pPr>
        <w:spacing w:after="0" w:line="240" w:lineRule="auto"/>
        <w:contextualSpacing/>
        <w:jc w:val="both"/>
        <w:rPr>
          <w:rFonts w:eastAsia="Times New Roman" w:cs="Times New Roman"/>
          <w:b/>
          <w:szCs w:val="24"/>
          <w:lang w:eastAsia="fr-BE"/>
        </w:rPr>
      </w:pPr>
      <w:r w:rsidRPr="007168A7">
        <w:rPr>
          <w:rFonts w:eastAsia="Times New Roman" w:cs="Times New Roman"/>
          <w:b/>
          <w:szCs w:val="24"/>
          <w:u w:val="single"/>
          <w:lang w:eastAsia="fr-BE"/>
        </w:rPr>
        <w:t>Lietuvos pozicija.</w:t>
      </w:r>
      <w:r>
        <w:rPr>
          <w:rFonts w:eastAsia="Times New Roman" w:cs="Times New Roman"/>
          <w:b/>
          <w:szCs w:val="24"/>
          <w:lang w:eastAsia="fr-BE"/>
        </w:rPr>
        <w:t xml:space="preserve"> </w:t>
      </w:r>
      <w:r w:rsidRPr="00FA4A03">
        <w:rPr>
          <w:rFonts w:eastAsia="Times New Roman" w:cs="Times New Roman"/>
          <w:szCs w:val="24"/>
          <w:lang w:eastAsia="fr-BE"/>
        </w:rPr>
        <w:t>Pritariame tekstui dėl Stab</w:t>
      </w:r>
      <w:r w:rsidR="005C6384">
        <w:rPr>
          <w:rFonts w:eastAsia="Times New Roman" w:cs="Times New Roman"/>
          <w:szCs w:val="24"/>
          <w:lang w:eastAsia="fr-BE"/>
        </w:rPr>
        <w:t>ilumo ir augimo pakto</w:t>
      </w:r>
      <w:r w:rsidRPr="00FA4A03">
        <w:rPr>
          <w:rFonts w:eastAsia="Times New Roman" w:cs="Times New Roman"/>
          <w:szCs w:val="24"/>
          <w:lang w:eastAsia="fr-BE"/>
        </w:rPr>
        <w:t>, taip pat pasisakome už griežtą SAP laikymąsi.</w:t>
      </w:r>
    </w:p>
    <w:p w:rsidR="00960522" w:rsidRDefault="00960522" w:rsidP="001517F4">
      <w:pPr>
        <w:spacing w:after="0" w:line="240" w:lineRule="auto"/>
        <w:jc w:val="center"/>
        <w:rPr>
          <w:rFonts w:eastAsia="Calibri" w:cs="Times New Roman"/>
          <w:b/>
          <w:szCs w:val="24"/>
        </w:rPr>
      </w:pPr>
    </w:p>
    <w:p w:rsidR="00EB073D" w:rsidRPr="002F602E" w:rsidRDefault="00EB073D" w:rsidP="001517F4">
      <w:pPr>
        <w:spacing w:after="0" w:line="240" w:lineRule="auto"/>
        <w:jc w:val="center"/>
        <w:rPr>
          <w:rFonts w:eastAsia="Calibri" w:cs="Times New Roman"/>
          <w:b/>
          <w:szCs w:val="24"/>
        </w:rPr>
      </w:pPr>
    </w:p>
    <w:p w:rsidR="00815894" w:rsidRPr="002F602E" w:rsidRDefault="00815894" w:rsidP="001517F4">
      <w:pPr>
        <w:spacing w:after="0" w:line="240" w:lineRule="auto"/>
        <w:jc w:val="center"/>
        <w:rPr>
          <w:rFonts w:eastAsia="Calibri" w:cs="Times New Roman"/>
          <w:b/>
          <w:szCs w:val="24"/>
        </w:rPr>
      </w:pPr>
    </w:p>
    <w:p w:rsidR="006D0DD1" w:rsidRPr="002F602E" w:rsidRDefault="006D0DD1">
      <w:pPr>
        <w:rPr>
          <w:rFonts w:eastAsia="Calibri" w:cs="Times New Roman"/>
          <w:b/>
          <w:szCs w:val="24"/>
        </w:rPr>
      </w:pPr>
      <w:r w:rsidRPr="002F602E">
        <w:rPr>
          <w:rFonts w:eastAsia="Calibri" w:cs="Times New Roman"/>
          <w:b/>
          <w:color w:val="FF0000"/>
          <w:szCs w:val="24"/>
        </w:rPr>
        <w:br w:type="page"/>
      </w:r>
    </w:p>
    <w:p w:rsidR="00283951" w:rsidRPr="002F602E" w:rsidRDefault="00283951" w:rsidP="00283951">
      <w:pPr>
        <w:spacing w:after="0" w:line="240" w:lineRule="auto"/>
        <w:jc w:val="center"/>
        <w:rPr>
          <w:rFonts w:eastAsia="Calibri" w:cs="Times New Roman"/>
          <w:b/>
          <w:sz w:val="26"/>
          <w:szCs w:val="26"/>
        </w:rPr>
      </w:pPr>
      <w:r w:rsidRPr="002F602E">
        <w:rPr>
          <w:rFonts w:eastAsia="Calibri" w:cs="Times New Roman"/>
          <w:b/>
          <w:sz w:val="26"/>
          <w:szCs w:val="26"/>
        </w:rPr>
        <w:lastRenderedPageBreak/>
        <w:t xml:space="preserve">PAŽYMA dėl š.m. </w:t>
      </w:r>
      <w:r w:rsidR="00EB073D">
        <w:rPr>
          <w:rFonts w:eastAsia="Calibri" w:cs="Times New Roman"/>
          <w:b/>
          <w:sz w:val="26"/>
          <w:szCs w:val="26"/>
        </w:rPr>
        <w:t>liepos 8</w:t>
      </w:r>
      <w:r w:rsidRPr="002F602E">
        <w:rPr>
          <w:rFonts w:eastAsia="Calibri" w:cs="Times New Roman"/>
          <w:b/>
          <w:sz w:val="26"/>
          <w:szCs w:val="26"/>
        </w:rPr>
        <w:t xml:space="preserve"> d. EURO GRUPĖS klausimų</w:t>
      </w:r>
    </w:p>
    <w:p w:rsidR="00283951" w:rsidRPr="002F602E" w:rsidRDefault="00283951" w:rsidP="00283951">
      <w:pPr>
        <w:tabs>
          <w:tab w:val="left" w:pos="709"/>
        </w:tabs>
        <w:autoSpaceDE w:val="0"/>
        <w:autoSpaceDN w:val="0"/>
        <w:adjustRightInd w:val="0"/>
        <w:spacing w:after="0" w:line="240" w:lineRule="auto"/>
        <w:jc w:val="both"/>
        <w:rPr>
          <w:rFonts w:cs="Times New Roman"/>
          <w:szCs w:val="24"/>
        </w:rPr>
      </w:pPr>
    </w:p>
    <w:p w:rsidR="00114A4B" w:rsidRPr="002F602E" w:rsidRDefault="00114A4B" w:rsidP="00283951">
      <w:pPr>
        <w:tabs>
          <w:tab w:val="left" w:pos="709"/>
        </w:tabs>
        <w:autoSpaceDE w:val="0"/>
        <w:autoSpaceDN w:val="0"/>
        <w:adjustRightInd w:val="0"/>
        <w:spacing w:after="0" w:line="240" w:lineRule="auto"/>
        <w:jc w:val="both"/>
        <w:rPr>
          <w:rFonts w:cs="Times New Roman"/>
          <w:szCs w:val="24"/>
        </w:rPr>
      </w:pPr>
    </w:p>
    <w:p w:rsidR="00166524" w:rsidRPr="002F602E" w:rsidRDefault="00C55B38" w:rsidP="00166524">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Cs/>
          <w:szCs w:val="24"/>
        </w:rPr>
      </w:pPr>
      <w:r>
        <w:rPr>
          <w:rFonts w:cs="Times New Roman"/>
          <w:b/>
          <w:szCs w:val="24"/>
        </w:rPr>
        <w:t>Euro zonos fiskalinės padėties vertinimas</w:t>
      </w:r>
    </w:p>
    <w:p w:rsidR="007652C2" w:rsidRDefault="007652C2" w:rsidP="007652C2">
      <w:pPr>
        <w:spacing w:after="0" w:line="240" w:lineRule="auto"/>
        <w:jc w:val="both"/>
        <w:rPr>
          <w:rFonts w:eastAsia="Calibri"/>
          <w:b/>
          <w:szCs w:val="24"/>
          <w:u w:val="single"/>
        </w:rPr>
      </w:pPr>
    </w:p>
    <w:p w:rsidR="00967F62" w:rsidRPr="005F0805" w:rsidRDefault="00967F62" w:rsidP="007652C2">
      <w:pPr>
        <w:spacing w:after="0" w:line="240" w:lineRule="auto"/>
        <w:jc w:val="both"/>
        <w:rPr>
          <w:rFonts w:eastAsia="Calibri"/>
          <w:szCs w:val="24"/>
        </w:rPr>
      </w:pPr>
      <w:r w:rsidRPr="00967F62">
        <w:rPr>
          <w:rFonts w:eastAsia="Calibri"/>
          <w:b/>
          <w:szCs w:val="24"/>
          <w:u w:val="single"/>
        </w:rPr>
        <w:t>Klausimo esmė.</w:t>
      </w:r>
      <w:r>
        <w:rPr>
          <w:rFonts w:eastAsia="Calibri"/>
          <w:szCs w:val="24"/>
        </w:rPr>
        <w:t xml:space="preserve"> </w:t>
      </w:r>
      <w:r w:rsidRPr="005F0805">
        <w:rPr>
          <w:rFonts w:eastAsia="Calibri"/>
          <w:szCs w:val="24"/>
        </w:rPr>
        <w:t>Europos fiskalinė taryba</w:t>
      </w:r>
      <w:r w:rsidR="00F96563">
        <w:rPr>
          <w:rFonts w:eastAsia="Calibri"/>
          <w:szCs w:val="24"/>
        </w:rPr>
        <w:t xml:space="preserve"> (toliau – EFT) </w:t>
      </w:r>
      <w:r w:rsidRPr="005F0805">
        <w:rPr>
          <w:rFonts w:eastAsia="Calibri"/>
          <w:szCs w:val="24"/>
        </w:rPr>
        <w:t xml:space="preserve">pateikė 2020 metų euro zonos fiskalinės padėties vertinimą, </w:t>
      </w:r>
      <w:r w:rsidR="00F96563">
        <w:rPr>
          <w:rFonts w:eastAsia="Calibri"/>
          <w:szCs w:val="24"/>
        </w:rPr>
        <w:t>remiantis Europos Komisijos</w:t>
      </w:r>
      <w:r w:rsidRPr="005F0805">
        <w:rPr>
          <w:rFonts w:eastAsia="Calibri"/>
          <w:szCs w:val="24"/>
        </w:rPr>
        <w:t xml:space="preserve"> skaičiavimais. </w:t>
      </w:r>
      <w:r w:rsidR="00F96563">
        <w:rPr>
          <w:rFonts w:eastAsia="Calibri"/>
          <w:szCs w:val="24"/>
        </w:rPr>
        <w:t>EFT</w:t>
      </w:r>
      <w:r w:rsidR="00F96563" w:rsidRPr="005F0805">
        <w:rPr>
          <w:rFonts w:eastAsia="Calibri"/>
          <w:szCs w:val="24"/>
        </w:rPr>
        <w:t xml:space="preserve"> </w:t>
      </w:r>
      <w:r w:rsidRPr="005F0805">
        <w:rPr>
          <w:rFonts w:eastAsia="Calibri"/>
          <w:szCs w:val="24"/>
        </w:rPr>
        <w:t xml:space="preserve">rekomenduoja 2020 metais euro zonai laikytis neutralios fiskalinės </w:t>
      </w:r>
      <w:r w:rsidR="00F96563">
        <w:rPr>
          <w:rFonts w:eastAsia="Calibri"/>
          <w:szCs w:val="24"/>
        </w:rPr>
        <w:t>politikos</w:t>
      </w:r>
      <w:r w:rsidRPr="005F0805">
        <w:rPr>
          <w:rFonts w:eastAsia="Calibri"/>
          <w:szCs w:val="24"/>
        </w:rPr>
        <w:t xml:space="preserve">, </w:t>
      </w:r>
      <w:r w:rsidR="00F96563">
        <w:rPr>
          <w:rFonts w:eastAsia="Calibri"/>
          <w:szCs w:val="24"/>
        </w:rPr>
        <w:t>išlaikant tinkamą fiskalinės politikos diferenciaciją tarp VN. EFT</w:t>
      </w:r>
      <w:r w:rsidRPr="005F0805">
        <w:rPr>
          <w:rFonts w:eastAsia="Calibri"/>
          <w:szCs w:val="24"/>
        </w:rPr>
        <w:t xml:space="preserve"> nuomone, to galima pasiekti jeigu: šalys narės, kurios dar nepasiekė vidutinės trukmės biudžeto (MTO) tikslo, sieks pažangos, kad MTO būtų pasiektas, kaip reikalaujama pagal Stabilumo ir augimo paktą; tos šalys, kurios turi labai didelę skolą, nuolat mažins savo skolą; šalys narės, turinčios didelę fiskalinę erdvę, ją naudos aktyviau. </w:t>
      </w:r>
    </w:p>
    <w:p w:rsidR="00967F62" w:rsidRPr="005F0805" w:rsidRDefault="00967F62" w:rsidP="007652C2">
      <w:pPr>
        <w:spacing w:after="0" w:line="240" w:lineRule="auto"/>
        <w:jc w:val="both"/>
        <w:rPr>
          <w:rFonts w:eastAsia="Calibri"/>
          <w:szCs w:val="24"/>
        </w:rPr>
      </w:pPr>
      <w:r w:rsidRPr="005F0805">
        <w:rPr>
          <w:rFonts w:eastAsia="Calibri"/>
          <w:szCs w:val="24"/>
        </w:rPr>
        <w:t xml:space="preserve">Remiantis EK skaičiavimais, tikimasi, kad 2020 metais struktūrinis pirminis balansas sumažės 1/3 procento bendrojo vidaus produkto (BVP) ir tai lems, kad 2020 metais euro zonoje bus </w:t>
      </w:r>
      <w:proofErr w:type="spellStart"/>
      <w:r w:rsidRPr="005F0805">
        <w:rPr>
          <w:rFonts w:eastAsia="Calibri"/>
          <w:szCs w:val="24"/>
          <w:lang w:eastAsia="lt-LT"/>
        </w:rPr>
        <w:t>prociklinė</w:t>
      </w:r>
      <w:proofErr w:type="spellEnd"/>
      <w:r w:rsidRPr="005F0805">
        <w:rPr>
          <w:rFonts w:eastAsia="Calibri"/>
          <w:szCs w:val="24"/>
        </w:rPr>
        <w:t xml:space="preserve"> </w:t>
      </w:r>
      <w:proofErr w:type="spellStart"/>
      <w:r w:rsidRPr="005F0805">
        <w:rPr>
          <w:rFonts w:eastAsia="Calibri"/>
          <w:szCs w:val="24"/>
          <w:lang w:eastAsia="lt-LT"/>
        </w:rPr>
        <w:t>ekspancinė</w:t>
      </w:r>
      <w:proofErr w:type="spellEnd"/>
      <w:r w:rsidRPr="005F0805">
        <w:rPr>
          <w:rFonts w:eastAsia="Calibri"/>
          <w:szCs w:val="24"/>
        </w:rPr>
        <w:t xml:space="preserve"> fiskalinė padėtis, o valdžios sektoriaus išlaidos augs greičiau nei augs potencialus BVP. </w:t>
      </w:r>
    </w:p>
    <w:p w:rsidR="00967F62" w:rsidRPr="005F0805" w:rsidRDefault="00967F62" w:rsidP="007652C2">
      <w:pPr>
        <w:spacing w:after="0" w:line="240" w:lineRule="auto"/>
        <w:jc w:val="both"/>
        <w:rPr>
          <w:szCs w:val="24"/>
        </w:rPr>
      </w:pPr>
      <w:r w:rsidRPr="00967F62">
        <w:rPr>
          <w:b/>
          <w:szCs w:val="24"/>
          <w:u w:val="single"/>
        </w:rPr>
        <w:t>Lietuvos pozicija.</w:t>
      </w:r>
      <w:r>
        <w:rPr>
          <w:szCs w:val="24"/>
        </w:rPr>
        <w:t xml:space="preserve"> </w:t>
      </w:r>
      <w:r w:rsidRPr="005F0805">
        <w:rPr>
          <w:szCs w:val="24"/>
        </w:rPr>
        <w:t>Toliau nuosekliai laikytis Lietuvos pozicijos, kad šalys narės turi siekti laikytis visų Stabilumo ir augimo pakto reikalavimų ir šalys narės, turinčios aukštą skolos lygį, turi mažinti skolą</w:t>
      </w:r>
      <w:r w:rsidR="00696329">
        <w:rPr>
          <w:szCs w:val="24"/>
        </w:rPr>
        <w:t>.</w:t>
      </w:r>
    </w:p>
    <w:p w:rsidR="00C81C48" w:rsidRPr="002F602E" w:rsidRDefault="00C81C48" w:rsidP="007652C2">
      <w:pPr>
        <w:autoSpaceDE w:val="0"/>
        <w:autoSpaceDN w:val="0"/>
        <w:adjustRightInd w:val="0"/>
        <w:spacing w:after="0" w:line="240" w:lineRule="auto"/>
        <w:jc w:val="both"/>
        <w:rPr>
          <w:rFonts w:cs="Times New Roman"/>
          <w:szCs w:val="24"/>
        </w:rPr>
      </w:pPr>
    </w:p>
    <w:p w:rsidR="00C81C48" w:rsidRPr="002F602E" w:rsidRDefault="00C55B38" w:rsidP="00C81C48">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Cs/>
          <w:szCs w:val="24"/>
        </w:rPr>
      </w:pPr>
      <w:r>
        <w:rPr>
          <w:rFonts w:cs="Times New Roman"/>
          <w:b/>
          <w:szCs w:val="24"/>
        </w:rPr>
        <w:t>Graikija – sustiprintos priežiūros po programos trečiosios vertinimo misijos rezultatai</w:t>
      </w:r>
    </w:p>
    <w:p w:rsidR="007652C2" w:rsidRDefault="007652C2" w:rsidP="007652C2">
      <w:pPr>
        <w:spacing w:after="0" w:line="240" w:lineRule="auto"/>
        <w:jc w:val="both"/>
        <w:rPr>
          <w:rFonts w:cs="Times New Roman"/>
          <w:b/>
          <w:szCs w:val="24"/>
          <w:u w:val="single"/>
          <w:lang w:eastAsia="lt-LT" w:bidi="lt-LT"/>
        </w:rPr>
      </w:pPr>
    </w:p>
    <w:p w:rsidR="007652C2" w:rsidRPr="00C56D68" w:rsidRDefault="007652C2" w:rsidP="007652C2">
      <w:pPr>
        <w:spacing w:after="0" w:line="240" w:lineRule="auto"/>
        <w:jc w:val="both"/>
        <w:rPr>
          <w:rFonts w:cs="Times New Roman"/>
          <w:szCs w:val="24"/>
          <w:lang w:eastAsia="lt-LT" w:bidi="lt-LT"/>
        </w:rPr>
      </w:pPr>
      <w:r w:rsidRPr="00C56D68">
        <w:rPr>
          <w:rFonts w:cs="Times New Roman"/>
          <w:b/>
          <w:szCs w:val="24"/>
          <w:u w:val="single"/>
          <w:lang w:eastAsia="lt-LT" w:bidi="lt-LT"/>
        </w:rPr>
        <w:t>Klausimo esmė.</w:t>
      </w:r>
      <w:r w:rsidR="00696329">
        <w:rPr>
          <w:rFonts w:cs="Times New Roman"/>
          <w:szCs w:val="24"/>
          <w:lang w:eastAsia="lt-LT" w:bidi="lt-LT"/>
        </w:rPr>
        <w:t xml:space="preserve"> T</w:t>
      </w:r>
      <w:r>
        <w:rPr>
          <w:rFonts w:cs="Times New Roman"/>
          <w:szCs w:val="24"/>
          <w:lang w:eastAsia="lt-LT" w:bidi="lt-LT"/>
        </w:rPr>
        <w:t>rečioji</w:t>
      </w:r>
      <w:r w:rsidRPr="00C56D68">
        <w:rPr>
          <w:rFonts w:cs="Times New Roman"/>
          <w:szCs w:val="24"/>
          <w:lang w:eastAsia="lt-LT" w:bidi="lt-LT"/>
        </w:rPr>
        <w:t xml:space="preserve"> vertinimo misija vyko 2019 m. </w:t>
      </w:r>
      <w:r>
        <w:rPr>
          <w:rFonts w:cs="Times New Roman"/>
          <w:szCs w:val="24"/>
          <w:lang w:eastAsia="lt-LT" w:bidi="lt-LT"/>
        </w:rPr>
        <w:t>gegužės 6-8</w:t>
      </w:r>
      <w:r w:rsidR="00696329">
        <w:rPr>
          <w:rFonts w:cs="Times New Roman"/>
          <w:szCs w:val="24"/>
          <w:lang w:eastAsia="lt-LT" w:bidi="lt-LT"/>
        </w:rPr>
        <w:t xml:space="preserve"> d</w:t>
      </w:r>
      <w:r w:rsidRPr="00C56D68">
        <w:rPr>
          <w:rFonts w:cs="Times New Roman"/>
          <w:szCs w:val="24"/>
          <w:lang w:eastAsia="lt-LT" w:bidi="lt-LT"/>
        </w:rPr>
        <w:t xml:space="preserve">. Kita misija planuojama 2019 m. </w:t>
      </w:r>
      <w:r>
        <w:rPr>
          <w:rFonts w:cs="Times New Roman"/>
          <w:szCs w:val="24"/>
          <w:lang w:eastAsia="lt-LT" w:bidi="lt-LT"/>
        </w:rPr>
        <w:t>rudenį</w:t>
      </w:r>
      <w:r w:rsidRPr="00C56D68">
        <w:rPr>
          <w:rFonts w:cs="Times New Roman"/>
          <w:szCs w:val="24"/>
          <w:lang w:eastAsia="lt-LT" w:bidi="lt-LT"/>
        </w:rPr>
        <w:t xml:space="preserve">. </w:t>
      </w:r>
    </w:p>
    <w:p w:rsidR="007652C2" w:rsidRPr="00C56D68" w:rsidRDefault="007652C2" w:rsidP="007652C2">
      <w:pPr>
        <w:spacing w:after="0" w:line="240" w:lineRule="auto"/>
        <w:jc w:val="both"/>
        <w:rPr>
          <w:rFonts w:cs="Times New Roman"/>
          <w:szCs w:val="24"/>
          <w:lang w:eastAsia="lt-LT" w:bidi="lt-LT"/>
        </w:rPr>
      </w:pPr>
      <w:r w:rsidRPr="00C56D68">
        <w:rPr>
          <w:rFonts w:cs="Times New Roman"/>
          <w:szCs w:val="24"/>
          <w:lang w:eastAsia="lt-LT" w:bidi="lt-LT"/>
        </w:rPr>
        <w:t>Svarbiausios peržiūros misijos išvados:</w:t>
      </w:r>
    </w:p>
    <w:p w:rsidR="007652C2" w:rsidRPr="00C56D68" w:rsidRDefault="007652C2" w:rsidP="007652C2">
      <w:pPr>
        <w:spacing w:after="0" w:line="240" w:lineRule="auto"/>
        <w:jc w:val="both"/>
        <w:rPr>
          <w:rFonts w:cs="Times New Roman"/>
          <w:szCs w:val="24"/>
          <w:lang w:eastAsia="lt-LT" w:bidi="lt-LT"/>
        </w:rPr>
      </w:pPr>
      <w:r w:rsidRPr="00C56D68">
        <w:rPr>
          <w:rFonts w:cs="Times New Roman"/>
          <w:szCs w:val="24"/>
          <w:lang w:eastAsia="lt-LT" w:bidi="lt-LT"/>
        </w:rPr>
        <w:t>1. Po programos užbaigimo, Graikija buvo įtraukta į Europos Semestrą ir EK aktyvavo sugriežtintos priežiūros Graikijai procedūrą (pagal reglamentą Nr. 472/2013). Pagal šią procedūrą vertinamas ir 2019</w:t>
      </w:r>
      <w:r>
        <w:rPr>
          <w:rFonts w:cs="Times New Roman"/>
          <w:szCs w:val="24"/>
          <w:lang w:eastAsia="lt-LT" w:bidi="lt-LT"/>
        </w:rPr>
        <w:t> </w:t>
      </w:r>
      <w:r w:rsidRPr="00C56D68">
        <w:rPr>
          <w:rFonts w:cs="Times New Roman"/>
          <w:szCs w:val="24"/>
          <w:lang w:eastAsia="lt-LT" w:bidi="lt-LT"/>
        </w:rPr>
        <w:t xml:space="preserve"> m. Graikijos biudžeto plano projektas. 2019 m. vasario 20 d. vertinimas pagal sugriežtintos priežiūros procedūrą buvo pratęstas dar 6 mėn. </w:t>
      </w:r>
    </w:p>
    <w:p w:rsidR="007652C2" w:rsidRPr="00C56D68" w:rsidRDefault="007652C2" w:rsidP="007652C2">
      <w:pPr>
        <w:spacing w:after="0" w:line="240" w:lineRule="auto"/>
        <w:jc w:val="both"/>
        <w:rPr>
          <w:rFonts w:cs="Times New Roman"/>
          <w:szCs w:val="24"/>
          <w:lang w:eastAsia="lt-LT" w:bidi="lt-LT"/>
        </w:rPr>
      </w:pPr>
      <w:r w:rsidRPr="00C56D68">
        <w:rPr>
          <w:rFonts w:cs="Times New Roman"/>
          <w:szCs w:val="24"/>
          <w:lang w:eastAsia="lt-LT" w:bidi="lt-LT"/>
        </w:rPr>
        <w:t xml:space="preserve">2. Tikimasi, kad </w:t>
      </w:r>
      <w:r>
        <w:rPr>
          <w:rFonts w:cs="Times New Roman"/>
          <w:szCs w:val="24"/>
          <w:lang w:eastAsia="lt-LT" w:bidi="lt-LT"/>
        </w:rPr>
        <w:t>Graikijos ekonomikos atsigavimas tęsis</w:t>
      </w:r>
      <w:r w:rsidR="0008168D">
        <w:rPr>
          <w:rFonts w:cs="Times New Roman"/>
          <w:szCs w:val="24"/>
          <w:lang w:eastAsia="lt-LT" w:bidi="lt-LT"/>
        </w:rPr>
        <w:t>,</w:t>
      </w:r>
      <w:r>
        <w:rPr>
          <w:rFonts w:cs="Times New Roman"/>
          <w:szCs w:val="24"/>
          <w:lang w:eastAsia="lt-LT" w:bidi="lt-LT"/>
        </w:rPr>
        <w:t xml:space="preserve"> ir </w:t>
      </w:r>
      <w:r w:rsidRPr="00C56D68">
        <w:rPr>
          <w:rFonts w:cs="Times New Roman"/>
          <w:szCs w:val="24"/>
          <w:lang w:eastAsia="lt-LT" w:bidi="lt-LT"/>
        </w:rPr>
        <w:t xml:space="preserve">BVP augs </w:t>
      </w:r>
      <w:r>
        <w:rPr>
          <w:rFonts w:cs="Times New Roman"/>
          <w:szCs w:val="24"/>
          <w:lang w:eastAsia="lt-LT" w:bidi="lt-LT"/>
        </w:rPr>
        <w:t xml:space="preserve">iki 2,2 proc. </w:t>
      </w:r>
      <w:r w:rsidRPr="00C56D68">
        <w:rPr>
          <w:rFonts w:cs="Times New Roman"/>
          <w:szCs w:val="24"/>
          <w:lang w:eastAsia="lt-LT" w:bidi="lt-LT"/>
        </w:rPr>
        <w:t xml:space="preserve">2019 m. </w:t>
      </w:r>
      <w:r>
        <w:rPr>
          <w:rFonts w:cs="Times New Roman"/>
          <w:szCs w:val="24"/>
          <w:lang w:eastAsia="lt-LT" w:bidi="lt-LT"/>
        </w:rPr>
        <w:t>ir 2020 m. (2018 m. 1,9 proc.).</w:t>
      </w:r>
    </w:p>
    <w:p w:rsidR="007652C2" w:rsidRDefault="007652C2" w:rsidP="007652C2">
      <w:pPr>
        <w:spacing w:after="0" w:line="240" w:lineRule="auto"/>
        <w:jc w:val="both"/>
        <w:rPr>
          <w:rFonts w:cs="Times New Roman"/>
          <w:szCs w:val="24"/>
          <w:lang w:eastAsia="lt-LT" w:bidi="lt-LT"/>
        </w:rPr>
      </w:pPr>
      <w:r w:rsidRPr="00C56D68">
        <w:rPr>
          <w:rFonts w:cs="Times New Roman"/>
          <w:szCs w:val="24"/>
          <w:lang w:eastAsia="lt-LT" w:bidi="lt-LT"/>
        </w:rPr>
        <w:t>3. Darbo rinkos sąlygos toliau gerėja</w:t>
      </w:r>
      <w:r>
        <w:rPr>
          <w:rFonts w:cs="Times New Roman"/>
          <w:szCs w:val="24"/>
          <w:lang w:eastAsia="lt-LT" w:bidi="lt-LT"/>
        </w:rPr>
        <w:t>. Nors</w:t>
      </w:r>
      <w:r w:rsidRPr="00C56D68">
        <w:rPr>
          <w:rFonts w:cs="Times New Roman"/>
          <w:szCs w:val="24"/>
          <w:lang w:eastAsia="lt-LT" w:bidi="lt-LT"/>
        </w:rPr>
        <w:t xml:space="preserve"> 201</w:t>
      </w:r>
      <w:r w:rsidR="0008168D">
        <w:rPr>
          <w:rFonts w:cs="Times New Roman"/>
          <w:szCs w:val="24"/>
          <w:lang w:eastAsia="lt-LT" w:bidi="lt-LT"/>
        </w:rPr>
        <w:t>8</w:t>
      </w:r>
      <w:r w:rsidRPr="00C56D68">
        <w:rPr>
          <w:rFonts w:cs="Times New Roman"/>
          <w:szCs w:val="24"/>
          <w:lang w:eastAsia="lt-LT" w:bidi="lt-LT"/>
        </w:rPr>
        <w:t xml:space="preserve"> m. </w:t>
      </w:r>
      <w:r>
        <w:rPr>
          <w:rFonts w:cs="Times New Roman"/>
          <w:szCs w:val="24"/>
          <w:lang w:eastAsia="lt-LT" w:bidi="lt-LT"/>
        </w:rPr>
        <w:t xml:space="preserve">spalio – </w:t>
      </w:r>
      <w:r w:rsidR="0008168D">
        <w:rPr>
          <w:rFonts w:cs="Times New Roman"/>
          <w:szCs w:val="24"/>
          <w:lang w:eastAsia="lt-LT" w:bidi="lt-LT"/>
        </w:rPr>
        <w:t xml:space="preserve">2019 m. </w:t>
      </w:r>
      <w:r>
        <w:rPr>
          <w:rFonts w:cs="Times New Roman"/>
          <w:szCs w:val="24"/>
          <w:lang w:eastAsia="lt-LT" w:bidi="lt-LT"/>
        </w:rPr>
        <w:t>vasario mėn.</w:t>
      </w:r>
      <w:r w:rsidRPr="00C56D68">
        <w:rPr>
          <w:rFonts w:cs="Times New Roman"/>
          <w:szCs w:val="24"/>
          <w:lang w:eastAsia="lt-LT" w:bidi="lt-LT"/>
        </w:rPr>
        <w:t xml:space="preserve"> nedarbo lygis </w:t>
      </w:r>
      <w:r>
        <w:rPr>
          <w:rFonts w:cs="Times New Roman"/>
          <w:szCs w:val="24"/>
          <w:lang w:eastAsia="lt-LT" w:bidi="lt-LT"/>
        </w:rPr>
        <w:t xml:space="preserve">buvo apie </w:t>
      </w:r>
      <w:r w:rsidRPr="00C56D68">
        <w:rPr>
          <w:rFonts w:cs="Times New Roman"/>
          <w:szCs w:val="24"/>
          <w:lang w:eastAsia="lt-LT" w:bidi="lt-LT"/>
        </w:rPr>
        <w:t>18,</w:t>
      </w:r>
      <w:r>
        <w:rPr>
          <w:rFonts w:cs="Times New Roman"/>
          <w:szCs w:val="24"/>
          <w:lang w:eastAsia="lt-LT" w:bidi="lt-LT"/>
        </w:rPr>
        <w:t>6 proc., užimtumas ir toliau auga (padidėjo 2,4 proc.).</w:t>
      </w:r>
    </w:p>
    <w:p w:rsidR="007652C2" w:rsidRPr="00C56D68" w:rsidRDefault="007652C2" w:rsidP="007652C2">
      <w:pPr>
        <w:spacing w:after="0" w:line="240" w:lineRule="auto"/>
        <w:jc w:val="both"/>
        <w:rPr>
          <w:rFonts w:cs="Times New Roman"/>
          <w:szCs w:val="24"/>
          <w:lang w:eastAsia="lt-LT" w:bidi="lt-LT"/>
        </w:rPr>
      </w:pPr>
      <w:r>
        <w:rPr>
          <w:rFonts w:cs="Times New Roman"/>
          <w:szCs w:val="24"/>
          <w:lang w:eastAsia="lt-LT" w:bidi="lt-LT"/>
        </w:rPr>
        <w:t>4.</w:t>
      </w:r>
      <w:r w:rsidRPr="00C56D68">
        <w:rPr>
          <w:rFonts w:cs="Times New Roman"/>
          <w:szCs w:val="24"/>
          <w:lang w:eastAsia="lt-LT" w:bidi="lt-LT"/>
        </w:rPr>
        <w:t xml:space="preserve"> Graikija įgyvendino daug įsipareigojimų, susijusių </w:t>
      </w:r>
      <w:r w:rsidR="00696329">
        <w:rPr>
          <w:rFonts w:cs="Times New Roman"/>
          <w:szCs w:val="24"/>
          <w:lang w:eastAsia="lt-LT" w:bidi="lt-LT"/>
        </w:rPr>
        <w:t xml:space="preserve">su </w:t>
      </w:r>
      <w:r w:rsidRPr="00C56D68">
        <w:rPr>
          <w:rFonts w:cs="Times New Roman"/>
          <w:szCs w:val="24"/>
          <w:lang w:eastAsia="lt-LT" w:bidi="lt-LT"/>
        </w:rPr>
        <w:t xml:space="preserve">reformų įgyvendinimu fiskalinės politikos srityje. Numatoma, kad 2019 m. bus pasiektas 3,5 proc. pirminio pertekliaus tikslas, tačiau reikia ir toliau imtis visų įmanomų veiksmų, kad būtų įvykdyti visi fiskalinės politikos reformos įsipareigojimai. </w:t>
      </w:r>
    </w:p>
    <w:p w:rsidR="007652C2" w:rsidRDefault="007652C2" w:rsidP="007652C2">
      <w:pPr>
        <w:spacing w:after="0" w:line="240" w:lineRule="auto"/>
        <w:jc w:val="both"/>
        <w:rPr>
          <w:rFonts w:cs="Times New Roman"/>
          <w:szCs w:val="24"/>
          <w:lang w:eastAsia="lt-LT" w:bidi="lt-LT"/>
        </w:rPr>
      </w:pPr>
      <w:r w:rsidRPr="00C56D68">
        <w:rPr>
          <w:rFonts w:cs="Times New Roman"/>
          <w:szCs w:val="24"/>
          <w:lang w:eastAsia="lt-LT" w:bidi="lt-LT"/>
        </w:rPr>
        <w:t xml:space="preserve">5. 2019 m. </w:t>
      </w:r>
      <w:r>
        <w:rPr>
          <w:rFonts w:cs="Times New Roman"/>
          <w:szCs w:val="24"/>
          <w:lang w:eastAsia="lt-LT" w:bidi="lt-LT"/>
        </w:rPr>
        <w:t>gegužės 15</w:t>
      </w:r>
      <w:r w:rsidRPr="00C56D68">
        <w:rPr>
          <w:rFonts w:cs="Times New Roman"/>
          <w:szCs w:val="24"/>
          <w:lang w:eastAsia="lt-LT" w:bidi="lt-LT"/>
        </w:rPr>
        <w:t xml:space="preserve"> d. </w:t>
      </w:r>
      <w:r>
        <w:rPr>
          <w:rFonts w:cs="Times New Roman"/>
          <w:szCs w:val="24"/>
          <w:lang w:eastAsia="lt-LT" w:bidi="lt-LT"/>
        </w:rPr>
        <w:t>po  stabilumo pro</w:t>
      </w:r>
      <w:r w:rsidR="00696329">
        <w:rPr>
          <w:rFonts w:cs="Times New Roman"/>
          <w:szCs w:val="24"/>
          <w:lang w:eastAsia="lt-LT" w:bidi="lt-LT"/>
        </w:rPr>
        <w:t>g</w:t>
      </w:r>
      <w:r>
        <w:rPr>
          <w:rFonts w:cs="Times New Roman"/>
          <w:szCs w:val="24"/>
          <w:lang w:eastAsia="lt-LT" w:bidi="lt-LT"/>
        </w:rPr>
        <w:t xml:space="preserve">ramos pateikimo Graikijos Vyriausybė priėmė nuolatinių fiskalinių priemonių paketą. </w:t>
      </w:r>
      <w:r w:rsidR="00696329">
        <w:rPr>
          <w:rFonts w:cs="Times New Roman"/>
          <w:szCs w:val="24"/>
          <w:lang w:eastAsia="lt-LT" w:bidi="lt-LT"/>
        </w:rPr>
        <w:t>Vis dėlto</w:t>
      </w:r>
      <w:r>
        <w:rPr>
          <w:rFonts w:cs="Times New Roman"/>
          <w:szCs w:val="24"/>
          <w:lang w:eastAsia="lt-LT" w:bidi="lt-LT"/>
        </w:rPr>
        <w:t xml:space="preserve"> kai kurios priemonės kelia susirūpinimą. Pvz., </w:t>
      </w:r>
      <w:r w:rsidRPr="009E6113">
        <w:rPr>
          <w:rFonts w:cs="Times New Roman"/>
          <w:szCs w:val="24"/>
          <w:lang w:eastAsia="lt-LT" w:bidi="lt-LT"/>
        </w:rPr>
        <w:t>naujų įmokų schemų trukmė yra labai ilga</w:t>
      </w:r>
      <w:r>
        <w:rPr>
          <w:rFonts w:cs="Times New Roman"/>
          <w:szCs w:val="24"/>
          <w:lang w:eastAsia="lt-LT" w:bidi="lt-LT"/>
        </w:rPr>
        <w:t xml:space="preserve"> </w:t>
      </w:r>
      <w:r w:rsidRPr="009E6113">
        <w:rPr>
          <w:rFonts w:cs="Times New Roman"/>
          <w:szCs w:val="24"/>
          <w:lang w:eastAsia="lt-LT" w:bidi="lt-LT"/>
        </w:rPr>
        <w:t>(120 mėnesinių mokėjimų), o schemose yra tik ribotos nuostatos, skirtos įvertinti mokėjimą</w:t>
      </w:r>
      <w:r>
        <w:rPr>
          <w:rFonts w:cs="Times New Roman"/>
          <w:szCs w:val="24"/>
          <w:lang w:eastAsia="lt-LT" w:bidi="lt-LT"/>
        </w:rPr>
        <w:t>. Mažesnis PVM maisto produktams, rest</w:t>
      </w:r>
      <w:r w:rsidR="00696329">
        <w:rPr>
          <w:rFonts w:cs="Times New Roman"/>
          <w:szCs w:val="24"/>
          <w:lang w:eastAsia="lt-LT" w:bidi="lt-LT"/>
        </w:rPr>
        <w:t>oranams, elektrai ir dujoms palygi</w:t>
      </w:r>
      <w:r>
        <w:rPr>
          <w:rFonts w:cs="Times New Roman"/>
          <w:szCs w:val="24"/>
          <w:lang w:eastAsia="lt-LT" w:bidi="lt-LT"/>
        </w:rPr>
        <w:t xml:space="preserve">nus </w:t>
      </w:r>
      <w:r w:rsidR="00696329">
        <w:rPr>
          <w:rFonts w:cs="Times New Roman"/>
          <w:szCs w:val="24"/>
          <w:lang w:eastAsia="lt-LT" w:bidi="lt-LT"/>
        </w:rPr>
        <w:t>su 24 proc. standartiniu tarifu</w:t>
      </w:r>
      <w:r>
        <w:rPr>
          <w:rFonts w:cs="Times New Roman"/>
          <w:szCs w:val="24"/>
          <w:lang w:eastAsia="lt-LT" w:bidi="lt-LT"/>
        </w:rPr>
        <w:t xml:space="preserve"> ir toliau did</w:t>
      </w:r>
      <w:r w:rsidR="00696329">
        <w:rPr>
          <w:rFonts w:cs="Times New Roman"/>
          <w:szCs w:val="24"/>
          <w:lang w:eastAsia="lt-LT" w:bidi="lt-LT"/>
        </w:rPr>
        <w:t>i</w:t>
      </w:r>
      <w:r>
        <w:rPr>
          <w:rFonts w:cs="Times New Roman"/>
          <w:szCs w:val="24"/>
          <w:lang w:eastAsia="lt-LT" w:bidi="lt-LT"/>
        </w:rPr>
        <w:t xml:space="preserve">na PVM atotrūkį. </w:t>
      </w:r>
    </w:p>
    <w:p w:rsidR="007652C2" w:rsidRDefault="007652C2" w:rsidP="007652C2">
      <w:pPr>
        <w:spacing w:after="0" w:line="240" w:lineRule="auto"/>
        <w:jc w:val="both"/>
        <w:rPr>
          <w:rFonts w:cs="Times New Roman"/>
          <w:szCs w:val="24"/>
          <w:lang w:eastAsia="lt-LT" w:bidi="lt-LT"/>
        </w:rPr>
      </w:pPr>
      <w:r>
        <w:rPr>
          <w:rFonts w:cs="Times New Roman"/>
          <w:szCs w:val="24"/>
          <w:lang w:eastAsia="lt-LT" w:bidi="lt-LT"/>
        </w:rPr>
        <w:t xml:space="preserve">6. Graikijos Vyriausybė paskelbė savo ketinimą priimti papildomas 2020 m. priemones iki šių metų rudens. Jos apimtų mokesčių tarifų sumažinimą. Preliminariais vertinimais tai sudarytų apie 0,6 proc. BVP. </w:t>
      </w:r>
    </w:p>
    <w:p w:rsidR="007652C2" w:rsidRDefault="007652C2" w:rsidP="007652C2">
      <w:pPr>
        <w:spacing w:after="0" w:line="240" w:lineRule="auto"/>
        <w:jc w:val="both"/>
        <w:rPr>
          <w:rFonts w:cs="Times New Roman"/>
          <w:szCs w:val="24"/>
          <w:lang w:eastAsia="lt-LT" w:bidi="lt-LT"/>
        </w:rPr>
      </w:pPr>
      <w:r>
        <w:rPr>
          <w:rFonts w:cs="Times New Roman"/>
          <w:szCs w:val="24"/>
          <w:lang w:eastAsia="lt-LT" w:bidi="lt-LT"/>
        </w:rPr>
        <w:t xml:space="preserve">7. Taip pat </w:t>
      </w:r>
      <w:r w:rsidRPr="00B31E5F">
        <w:rPr>
          <w:rFonts w:cs="Times New Roman"/>
          <w:szCs w:val="24"/>
          <w:lang w:eastAsia="lt-LT" w:bidi="lt-LT"/>
        </w:rPr>
        <w:t xml:space="preserve">Graikijos </w:t>
      </w:r>
      <w:r>
        <w:rPr>
          <w:rFonts w:cs="Times New Roman"/>
          <w:szCs w:val="24"/>
          <w:lang w:eastAsia="lt-LT" w:bidi="lt-LT"/>
        </w:rPr>
        <w:t>Vyriausybė</w:t>
      </w:r>
      <w:r w:rsidRPr="00B31E5F">
        <w:rPr>
          <w:rFonts w:cs="Times New Roman"/>
          <w:szCs w:val="24"/>
          <w:lang w:eastAsia="lt-LT" w:bidi="lt-LT"/>
        </w:rPr>
        <w:t xml:space="preserve"> paskelbė apie savo ketinimą persvarstyti </w:t>
      </w:r>
      <w:r>
        <w:rPr>
          <w:rFonts w:cs="Times New Roman"/>
          <w:szCs w:val="24"/>
          <w:lang w:eastAsia="lt-LT" w:bidi="lt-LT"/>
        </w:rPr>
        <w:t>2018 m. birželio mėn.</w:t>
      </w:r>
      <w:r w:rsidR="00DD0A51">
        <w:rPr>
          <w:rFonts w:cs="Times New Roman"/>
          <w:szCs w:val="24"/>
          <w:lang w:eastAsia="lt-LT" w:bidi="lt-LT"/>
        </w:rPr>
        <w:t xml:space="preserve"> </w:t>
      </w:r>
      <w:r w:rsidRPr="00B31E5F">
        <w:rPr>
          <w:rFonts w:cs="Times New Roman"/>
          <w:szCs w:val="24"/>
          <w:lang w:eastAsia="lt-LT" w:bidi="lt-LT"/>
        </w:rPr>
        <w:t>pasiektą susitarimą</w:t>
      </w:r>
      <w:r>
        <w:rPr>
          <w:rFonts w:cs="Times New Roman"/>
          <w:szCs w:val="24"/>
          <w:lang w:eastAsia="lt-LT" w:bidi="lt-LT"/>
        </w:rPr>
        <w:t>. Tačiau b</w:t>
      </w:r>
      <w:r w:rsidRPr="00B31E5F">
        <w:rPr>
          <w:rFonts w:cs="Times New Roman"/>
          <w:szCs w:val="24"/>
          <w:lang w:eastAsia="lt-LT" w:bidi="lt-LT"/>
        </w:rPr>
        <w:t>et koks pasiūlymas, pakeičiantis pasiektą susitarimą</w:t>
      </w:r>
      <w:r>
        <w:rPr>
          <w:rFonts w:cs="Times New Roman"/>
          <w:szCs w:val="24"/>
          <w:lang w:eastAsia="lt-LT" w:bidi="lt-LT"/>
        </w:rPr>
        <w:t>, turėtų būti aptartas</w:t>
      </w:r>
      <w:r w:rsidRPr="00B31E5F">
        <w:rPr>
          <w:rFonts w:cs="Times New Roman"/>
          <w:szCs w:val="24"/>
          <w:lang w:eastAsia="lt-LT" w:bidi="lt-LT"/>
        </w:rPr>
        <w:t xml:space="preserve"> Euro</w:t>
      </w:r>
      <w:r w:rsidR="00DD0A51">
        <w:rPr>
          <w:rFonts w:cs="Times New Roman"/>
          <w:szCs w:val="24"/>
          <w:lang w:eastAsia="lt-LT" w:bidi="lt-LT"/>
        </w:rPr>
        <w:t xml:space="preserve"> </w:t>
      </w:r>
      <w:r w:rsidRPr="00B31E5F">
        <w:rPr>
          <w:rFonts w:cs="Times New Roman"/>
          <w:szCs w:val="24"/>
          <w:lang w:eastAsia="lt-LT" w:bidi="lt-LT"/>
        </w:rPr>
        <w:t>grupėje</w:t>
      </w:r>
      <w:r>
        <w:rPr>
          <w:rFonts w:cs="Times New Roman"/>
          <w:szCs w:val="24"/>
          <w:lang w:eastAsia="lt-LT" w:bidi="lt-LT"/>
        </w:rPr>
        <w:t>,</w:t>
      </w:r>
      <w:r w:rsidRPr="00B31E5F">
        <w:rPr>
          <w:rFonts w:cs="Times New Roman"/>
          <w:szCs w:val="24"/>
          <w:lang w:eastAsia="lt-LT" w:bidi="lt-LT"/>
        </w:rPr>
        <w:t xml:space="preserve"> atsižvelgiant į atnaujintą </w:t>
      </w:r>
      <w:r>
        <w:rPr>
          <w:rFonts w:cs="Times New Roman"/>
          <w:szCs w:val="24"/>
          <w:lang w:eastAsia="lt-LT" w:bidi="lt-LT"/>
        </w:rPr>
        <w:t xml:space="preserve">Graikijos </w:t>
      </w:r>
      <w:r w:rsidRPr="00B31E5F">
        <w:rPr>
          <w:rFonts w:cs="Times New Roman"/>
          <w:szCs w:val="24"/>
          <w:lang w:eastAsia="lt-LT" w:bidi="lt-LT"/>
        </w:rPr>
        <w:t>skol</w:t>
      </w:r>
      <w:r>
        <w:rPr>
          <w:rFonts w:cs="Times New Roman"/>
          <w:szCs w:val="24"/>
          <w:lang w:eastAsia="lt-LT" w:bidi="lt-LT"/>
        </w:rPr>
        <w:t xml:space="preserve">os </w:t>
      </w:r>
      <w:r w:rsidRPr="00B31E5F">
        <w:rPr>
          <w:rFonts w:cs="Times New Roman"/>
          <w:szCs w:val="24"/>
          <w:lang w:eastAsia="lt-LT" w:bidi="lt-LT"/>
        </w:rPr>
        <w:t>tvarumo analiz</w:t>
      </w:r>
      <w:r>
        <w:rPr>
          <w:rFonts w:cs="Times New Roman"/>
          <w:szCs w:val="24"/>
          <w:lang w:eastAsia="lt-LT" w:bidi="lt-LT"/>
        </w:rPr>
        <w:t>ės vertinimą</w:t>
      </w:r>
      <w:r w:rsidRPr="00B31E5F">
        <w:rPr>
          <w:rFonts w:cs="Times New Roman"/>
          <w:szCs w:val="24"/>
          <w:lang w:eastAsia="lt-LT" w:bidi="lt-LT"/>
        </w:rPr>
        <w:t>.</w:t>
      </w:r>
    </w:p>
    <w:p w:rsidR="007652C2" w:rsidRPr="00C56D68" w:rsidRDefault="007652C2" w:rsidP="007652C2">
      <w:pPr>
        <w:spacing w:after="0" w:line="240" w:lineRule="auto"/>
        <w:jc w:val="both"/>
        <w:rPr>
          <w:rFonts w:cs="Times New Roman"/>
          <w:szCs w:val="24"/>
          <w:lang w:eastAsia="lt-LT" w:bidi="lt-LT"/>
        </w:rPr>
      </w:pPr>
      <w:r w:rsidRPr="00C56D68">
        <w:rPr>
          <w:rFonts w:cs="Times New Roman"/>
          <w:b/>
          <w:szCs w:val="24"/>
          <w:u w:val="single"/>
          <w:lang w:eastAsia="lt-LT" w:bidi="lt-LT"/>
        </w:rPr>
        <w:t>Lietuvos pozicija.</w:t>
      </w:r>
      <w:r w:rsidRPr="00C56D68">
        <w:rPr>
          <w:rFonts w:cs="Times New Roman"/>
          <w:szCs w:val="24"/>
          <w:lang w:eastAsia="lt-LT" w:bidi="lt-LT"/>
        </w:rPr>
        <w:t xml:space="preserve"> Pritariame vertinimo rezultatams</w:t>
      </w:r>
      <w:r>
        <w:rPr>
          <w:rFonts w:cs="Times New Roman"/>
          <w:szCs w:val="24"/>
          <w:lang w:eastAsia="lt-LT" w:bidi="lt-LT"/>
        </w:rPr>
        <w:t>.</w:t>
      </w:r>
    </w:p>
    <w:p w:rsidR="00C55B38" w:rsidRDefault="00C55B38" w:rsidP="00166524">
      <w:pPr>
        <w:spacing w:after="0" w:line="240" w:lineRule="auto"/>
        <w:jc w:val="both"/>
        <w:rPr>
          <w:rFonts w:cs="Times New Roman"/>
          <w:szCs w:val="24"/>
          <w:lang w:eastAsia="lt-LT" w:bidi="lt-LT"/>
        </w:rPr>
      </w:pPr>
    </w:p>
    <w:p w:rsidR="00C55B38" w:rsidRPr="002F602E" w:rsidRDefault="00DA5388" w:rsidP="00C55B38">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Cs/>
          <w:szCs w:val="24"/>
        </w:rPr>
      </w:pPr>
      <w:r>
        <w:rPr>
          <w:rFonts w:cs="Times New Roman"/>
          <w:b/>
          <w:szCs w:val="24"/>
        </w:rPr>
        <w:t>Ispanija</w:t>
      </w:r>
      <w:r w:rsidR="00C55B38">
        <w:rPr>
          <w:rFonts w:cs="Times New Roman"/>
          <w:b/>
          <w:szCs w:val="24"/>
        </w:rPr>
        <w:t xml:space="preserve"> – </w:t>
      </w:r>
      <w:r w:rsidR="007C034B">
        <w:rPr>
          <w:rFonts w:cs="Times New Roman"/>
          <w:b/>
          <w:szCs w:val="24"/>
        </w:rPr>
        <w:t>po-programinės peržiūros misijos rezultatai</w:t>
      </w:r>
    </w:p>
    <w:p w:rsidR="007652C2" w:rsidRDefault="007652C2" w:rsidP="007652C2">
      <w:pPr>
        <w:spacing w:after="0" w:line="240" w:lineRule="auto"/>
        <w:jc w:val="both"/>
        <w:rPr>
          <w:rFonts w:cs="Times New Roman"/>
          <w:szCs w:val="24"/>
          <w:lang w:eastAsia="lt-LT" w:bidi="lt-LT"/>
        </w:rPr>
      </w:pPr>
    </w:p>
    <w:p w:rsidR="00DA5388" w:rsidRDefault="00DA5388" w:rsidP="00DA5388">
      <w:pPr>
        <w:spacing w:after="0" w:line="240" w:lineRule="auto"/>
        <w:jc w:val="both"/>
        <w:rPr>
          <w:lang w:bidi="lt-LT"/>
        </w:rPr>
      </w:pPr>
      <w:r w:rsidRPr="00DA5388">
        <w:rPr>
          <w:rFonts w:cs="Times New Roman"/>
          <w:b/>
          <w:szCs w:val="24"/>
          <w:u w:val="single"/>
          <w:lang w:eastAsia="lt-LT" w:bidi="lt-LT"/>
        </w:rPr>
        <w:t>Klausimo esmė.</w:t>
      </w:r>
      <w:r>
        <w:rPr>
          <w:rFonts w:cs="Times New Roman"/>
          <w:szCs w:val="24"/>
          <w:lang w:eastAsia="lt-LT" w:bidi="lt-LT"/>
        </w:rPr>
        <w:t xml:space="preserve"> </w:t>
      </w:r>
      <w:r w:rsidRPr="00203EF2">
        <w:rPr>
          <w:rFonts w:cs="Times New Roman"/>
          <w:szCs w:val="24"/>
          <w:lang w:eastAsia="lt-LT" w:bidi="lt-LT"/>
        </w:rPr>
        <w:t xml:space="preserve">2019 m. </w:t>
      </w:r>
      <w:r>
        <w:rPr>
          <w:rFonts w:cs="Times New Roman"/>
          <w:szCs w:val="24"/>
          <w:lang w:eastAsia="lt-LT" w:bidi="lt-LT"/>
        </w:rPr>
        <w:t>gegužės</w:t>
      </w:r>
      <w:r w:rsidRPr="00203EF2">
        <w:rPr>
          <w:rFonts w:cs="Times New Roman"/>
          <w:szCs w:val="24"/>
          <w:lang w:eastAsia="lt-LT" w:bidi="lt-LT"/>
        </w:rPr>
        <w:t xml:space="preserve"> </w:t>
      </w:r>
      <w:r>
        <w:rPr>
          <w:rFonts w:cs="Times New Roman"/>
          <w:szCs w:val="24"/>
          <w:lang w:eastAsia="lt-LT" w:bidi="lt-LT"/>
        </w:rPr>
        <w:t>7-8</w:t>
      </w:r>
      <w:r w:rsidR="00DD0A51">
        <w:rPr>
          <w:rFonts w:cs="Times New Roman"/>
          <w:szCs w:val="24"/>
          <w:lang w:eastAsia="lt-LT" w:bidi="lt-LT"/>
        </w:rPr>
        <w:t xml:space="preserve"> d. Europos Komisija</w:t>
      </w:r>
      <w:r w:rsidRPr="00203EF2">
        <w:rPr>
          <w:rFonts w:cs="Times New Roman"/>
          <w:szCs w:val="24"/>
          <w:lang w:eastAsia="lt-LT" w:bidi="lt-LT"/>
        </w:rPr>
        <w:t xml:space="preserve"> kartu su Europos centriniu banku (ECB) ir  Europos stabilumo mechanizmu (ESM) </w:t>
      </w:r>
      <w:r>
        <w:rPr>
          <w:rFonts w:cs="Times New Roman"/>
          <w:szCs w:val="24"/>
          <w:lang w:eastAsia="lt-LT" w:bidi="lt-LT"/>
        </w:rPr>
        <w:t>Ispanijoje atliko 11</w:t>
      </w:r>
      <w:r w:rsidRPr="00203EF2">
        <w:rPr>
          <w:rFonts w:cs="Times New Roman"/>
          <w:szCs w:val="24"/>
          <w:lang w:eastAsia="lt-LT" w:bidi="lt-LT"/>
        </w:rPr>
        <w:t>-ąją po-programinės peržiūros misiją.</w:t>
      </w:r>
      <w:r w:rsidRPr="00203EF2">
        <w:t xml:space="preserve"> </w:t>
      </w:r>
      <w:r w:rsidRPr="00585E24">
        <w:t xml:space="preserve">Misija buvo skirta tik finansų sektoriaus pokyčiams. Makroekonomikos ir biudžeto pokyčiai nebuvo įtraukti į </w:t>
      </w:r>
      <w:r>
        <w:lastRenderedPageBreak/>
        <w:t xml:space="preserve">misijos </w:t>
      </w:r>
      <w:r w:rsidRPr="00585E24">
        <w:t xml:space="preserve">darbotvarkę, nes Komisija ką tik paskelbė savo 2019 m. </w:t>
      </w:r>
      <w:r>
        <w:t>p</w:t>
      </w:r>
      <w:r w:rsidRPr="00585E24">
        <w:t>avasario ekonominę prognozę ir dabar vertina Ispanijos fiskalinę padėtį kaip Europos semestro proceso dalį.</w:t>
      </w:r>
      <w:r w:rsidRPr="00585E24">
        <w:rPr>
          <w:lang w:bidi="lt-LT"/>
        </w:rPr>
        <w:t xml:space="preserve"> </w:t>
      </w:r>
    </w:p>
    <w:p w:rsidR="00DA5388" w:rsidRPr="00203EF2" w:rsidRDefault="00DA5388" w:rsidP="00DA5388">
      <w:pPr>
        <w:spacing w:after="0" w:line="240" w:lineRule="auto"/>
        <w:jc w:val="both"/>
        <w:rPr>
          <w:rFonts w:cs="Times New Roman"/>
          <w:szCs w:val="24"/>
          <w:lang w:eastAsia="lt-LT" w:bidi="lt-LT"/>
        </w:rPr>
      </w:pPr>
      <w:r w:rsidRPr="00203EF2">
        <w:rPr>
          <w:rFonts w:cs="Times New Roman"/>
          <w:szCs w:val="24"/>
          <w:lang w:eastAsia="lt-LT" w:bidi="lt-LT"/>
        </w:rPr>
        <w:t xml:space="preserve">Reguliarios po-programinės peržiūros vykdomos, kol grąžinama bent 75% suteiktų paskolų. </w:t>
      </w:r>
    </w:p>
    <w:p w:rsidR="00DA5388" w:rsidRDefault="00DA5388" w:rsidP="00DA5388">
      <w:pPr>
        <w:spacing w:after="0" w:line="240" w:lineRule="auto"/>
        <w:jc w:val="both"/>
        <w:rPr>
          <w:rFonts w:cs="Times New Roman"/>
          <w:szCs w:val="24"/>
          <w:lang w:eastAsia="lt-LT" w:bidi="lt-LT"/>
        </w:rPr>
      </w:pPr>
      <w:r w:rsidRPr="00203EF2">
        <w:rPr>
          <w:rFonts w:cs="Times New Roman"/>
          <w:szCs w:val="24"/>
          <w:lang w:eastAsia="lt-LT" w:bidi="lt-LT"/>
        </w:rPr>
        <w:t>Kita misija vyks 2019 m. rudenį.</w:t>
      </w:r>
    </w:p>
    <w:p w:rsidR="0008168D" w:rsidRPr="00C56D68" w:rsidRDefault="0008168D" w:rsidP="0008168D">
      <w:pPr>
        <w:spacing w:after="0" w:line="240" w:lineRule="auto"/>
        <w:jc w:val="both"/>
        <w:rPr>
          <w:rFonts w:cs="Times New Roman"/>
          <w:szCs w:val="24"/>
          <w:lang w:eastAsia="lt-LT" w:bidi="lt-LT"/>
        </w:rPr>
      </w:pPr>
      <w:r w:rsidRPr="00C56D68">
        <w:rPr>
          <w:rFonts w:cs="Times New Roman"/>
          <w:b/>
          <w:szCs w:val="24"/>
          <w:u w:val="single"/>
          <w:lang w:eastAsia="lt-LT" w:bidi="lt-LT"/>
        </w:rPr>
        <w:t>Lietuvos pozicija.</w:t>
      </w:r>
      <w:r w:rsidRPr="00C56D68">
        <w:rPr>
          <w:rFonts w:cs="Times New Roman"/>
          <w:szCs w:val="24"/>
          <w:lang w:eastAsia="lt-LT" w:bidi="lt-LT"/>
        </w:rPr>
        <w:t xml:space="preserve"> Pritariame vertinimo rezultatams</w:t>
      </w:r>
      <w:r>
        <w:rPr>
          <w:rFonts w:cs="Times New Roman"/>
          <w:szCs w:val="24"/>
          <w:lang w:eastAsia="lt-LT" w:bidi="lt-LT"/>
        </w:rPr>
        <w:t>.</w:t>
      </w:r>
    </w:p>
    <w:p w:rsidR="00DA5388" w:rsidRDefault="00DA5388" w:rsidP="00DA5388">
      <w:pPr>
        <w:spacing w:after="0" w:line="240" w:lineRule="auto"/>
        <w:jc w:val="both"/>
        <w:rPr>
          <w:rFonts w:cs="Times New Roman"/>
          <w:szCs w:val="24"/>
          <w:lang w:eastAsia="lt-LT" w:bidi="lt-LT"/>
        </w:rPr>
      </w:pPr>
    </w:p>
    <w:p w:rsidR="00C55B38" w:rsidRPr="002F602E" w:rsidRDefault="007C034B" w:rsidP="00C55B38">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Cs/>
          <w:szCs w:val="24"/>
        </w:rPr>
      </w:pPr>
      <w:r>
        <w:rPr>
          <w:rFonts w:cs="Times New Roman"/>
          <w:b/>
          <w:szCs w:val="24"/>
        </w:rPr>
        <w:t>Tarptautinis euro vaidmuo – atsiskaitymas po Komisijos konsultacijų</w:t>
      </w:r>
    </w:p>
    <w:p w:rsidR="00A95557" w:rsidRDefault="00A95557" w:rsidP="00A95557">
      <w:pPr>
        <w:pStyle w:val="prastasistinklapis"/>
        <w:rPr>
          <w:rFonts w:eastAsia="Calibri"/>
          <w:b/>
          <w:color w:val="000000"/>
          <w:sz w:val="26"/>
          <w:szCs w:val="26"/>
          <w:lang w:eastAsia="en-US"/>
        </w:rPr>
      </w:pPr>
    </w:p>
    <w:p w:rsidR="007652C2" w:rsidRDefault="00A95557" w:rsidP="007168A7">
      <w:pPr>
        <w:pStyle w:val="prastasistinklapis"/>
        <w:jc w:val="both"/>
        <w:rPr>
          <w:rFonts w:eastAsia="Calibri"/>
          <w:color w:val="000000"/>
          <w:lang w:eastAsia="en-US"/>
        </w:rPr>
      </w:pPr>
      <w:r w:rsidRPr="007168A7">
        <w:rPr>
          <w:rFonts w:eastAsia="Calibri"/>
          <w:color w:val="000000"/>
          <w:lang w:eastAsia="en-US"/>
        </w:rPr>
        <w:t>2</w:t>
      </w:r>
      <w:r w:rsidR="00DD0A51">
        <w:rPr>
          <w:rFonts w:eastAsia="Calibri"/>
          <w:color w:val="000000"/>
          <w:lang w:eastAsia="en-US"/>
        </w:rPr>
        <w:t>018 m. gruodžio 5 d. EK paskelbė</w:t>
      </w:r>
      <w:r w:rsidRPr="007168A7">
        <w:rPr>
          <w:rFonts w:eastAsia="Calibri"/>
          <w:color w:val="000000"/>
          <w:lang w:eastAsia="en-US"/>
        </w:rPr>
        <w:t xml:space="preserve"> komunikatą </w:t>
      </w:r>
      <w:r w:rsidR="007652C2">
        <w:rPr>
          <w:rFonts w:eastAsia="Calibri"/>
          <w:color w:val="000000"/>
          <w:lang w:eastAsia="en-US"/>
        </w:rPr>
        <w:t>dėl tarptautinio</w:t>
      </w:r>
      <w:r w:rsidRPr="007168A7">
        <w:rPr>
          <w:rFonts w:eastAsia="Calibri"/>
          <w:color w:val="000000"/>
          <w:lang w:eastAsia="en-US"/>
        </w:rPr>
        <w:t xml:space="preserve"> euro vaidmens stiprinimo.</w:t>
      </w:r>
    </w:p>
    <w:p w:rsidR="00A95557" w:rsidRPr="007652C2" w:rsidRDefault="00A95557" w:rsidP="007168A7">
      <w:pPr>
        <w:pStyle w:val="prastasistinklapis"/>
        <w:jc w:val="both"/>
        <w:rPr>
          <w:rFonts w:eastAsia="Calibri"/>
          <w:color w:val="000000"/>
          <w:u w:val="single"/>
          <w:lang w:eastAsia="en-US"/>
        </w:rPr>
      </w:pPr>
      <w:r w:rsidRPr="007652C2">
        <w:rPr>
          <w:rFonts w:eastAsia="Calibri"/>
          <w:color w:val="000000"/>
          <w:u w:val="single"/>
          <w:lang w:eastAsia="en-US"/>
        </w:rPr>
        <w:t>Pagrindiniai komunikato elementai:</w:t>
      </w:r>
    </w:p>
    <w:p w:rsidR="00A95557" w:rsidRPr="007168A7" w:rsidRDefault="007652C2" w:rsidP="007652C2">
      <w:pPr>
        <w:pStyle w:val="prastasistinklapis"/>
        <w:jc w:val="both"/>
        <w:rPr>
          <w:rFonts w:eastAsia="Calibri"/>
          <w:color w:val="000000"/>
          <w:lang w:eastAsia="en-US"/>
        </w:rPr>
      </w:pPr>
      <w:r w:rsidRPr="007652C2">
        <w:rPr>
          <w:rFonts w:eastAsia="Calibri"/>
          <w:color w:val="000000"/>
          <w:lang w:eastAsia="en-US"/>
        </w:rPr>
        <w:t>-</w:t>
      </w:r>
      <w:r>
        <w:rPr>
          <w:rFonts w:eastAsia="Calibri"/>
          <w:color w:val="000000"/>
          <w:lang w:eastAsia="en-US"/>
        </w:rPr>
        <w:t xml:space="preserve"> </w:t>
      </w:r>
      <w:r w:rsidR="00A95557" w:rsidRPr="007168A7">
        <w:rPr>
          <w:rFonts w:eastAsia="Calibri"/>
          <w:color w:val="000000"/>
          <w:lang w:eastAsia="en-US"/>
        </w:rPr>
        <w:t xml:space="preserve">Euras antra svarbiausia valiuta pasaulyje, tačiau jo svarba dar nėra pasiekusi to paties lygmens, kokį turėjo prieš ekonominę krizę. </w:t>
      </w:r>
    </w:p>
    <w:p w:rsidR="00A95557" w:rsidRPr="007168A7" w:rsidRDefault="007652C2" w:rsidP="007168A7">
      <w:pPr>
        <w:pStyle w:val="prastasistinklapis"/>
        <w:jc w:val="both"/>
        <w:rPr>
          <w:rFonts w:eastAsia="Calibri"/>
          <w:color w:val="000000"/>
          <w:lang w:eastAsia="en-US"/>
        </w:rPr>
      </w:pPr>
      <w:r>
        <w:rPr>
          <w:rFonts w:eastAsia="Calibri"/>
          <w:color w:val="000000"/>
          <w:lang w:eastAsia="en-US"/>
        </w:rPr>
        <w:t xml:space="preserve">- </w:t>
      </w:r>
      <w:r w:rsidR="00A95557" w:rsidRPr="007168A7">
        <w:rPr>
          <w:rFonts w:eastAsia="Calibri"/>
          <w:color w:val="000000"/>
          <w:lang w:eastAsia="en-US"/>
        </w:rPr>
        <w:t xml:space="preserve">Platesnis tarptautinis euro naudojamas turėtų teigiamos įtakos Europos ekonomikai: a) mažesnė rizika tarptautinėje prekyboje Europos verslui; b)  mažesnės palūkanų normos Europos verslui, namų ūkiams; c) </w:t>
      </w:r>
      <w:proofErr w:type="spellStart"/>
      <w:r w:rsidR="00A95557" w:rsidRPr="007168A7">
        <w:rPr>
          <w:rFonts w:eastAsia="Calibri"/>
          <w:color w:val="000000"/>
          <w:lang w:eastAsia="en-US"/>
        </w:rPr>
        <w:t>patikimesnis</w:t>
      </w:r>
      <w:proofErr w:type="spellEnd"/>
      <w:r w:rsidR="00A95557" w:rsidRPr="007168A7">
        <w:rPr>
          <w:rFonts w:eastAsia="Calibri"/>
          <w:color w:val="000000"/>
          <w:lang w:eastAsia="en-US"/>
        </w:rPr>
        <w:t xml:space="preserve"> priėjimas prie finansų rinkų Europos verslininkams ir vyriausybėms; d) didesnis Europos vartotojų nepriklausomumas.</w:t>
      </w:r>
    </w:p>
    <w:p w:rsidR="00A95557" w:rsidRPr="007652C2" w:rsidRDefault="00A95557" w:rsidP="007168A7">
      <w:pPr>
        <w:pStyle w:val="prastasistinklapis"/>
        <w:jc w:val="both"/>
        <w:rPr>
          <w:rFonts w:eastAsia="Calibri"/>
          <w:color w:val="000000"/>
          <w:u w:val="single"/>
          <w:lang w:eastAsia="en-US"/>
        </w:rPr>
      </w:pPr>
      <w:r w:rsidRPr="007652C2">
        <w:rPr>
          <w:rFonts w:eastAsia="Calibri"/>
          <w:color w:val="000000"/>
          <w:u w:val="single"/>
          <w:lang w:eastAsia="en-US"/>
        </w:rPr>
        <w:t>Priežastys, kodėl sunku eurui tapti pirma valiuta:</w:t>
      </w:r>
    </w:p>
    <w:p w:rsidR="00A95557" w:rsidRPr="007168A7" w:rsidRDefault="00A95557" w:rsidP="007168A7">
      <w:pPr>
        <w:pStyle w:val="prastasistinklapis"/>
        <w:jc w:val="both"/>
        <w:rPr>
          <w:rFonts w:eastAsia="Calibri"/>
          <w:color w:val="000000"/>
          <w:lang w:eastAsia="en-US"/>
        </w:rPr>
      </w:pPr>
      <w:r w:rsidRPr="007168A7">
        <w:rPr>
          <w:rFonts w:eastAsia="Calibri"/>
          <w:color w:val="000000"/>
          <w:lang w:eastAsia="en-US"/>
        </w:rPr>
        <w:t xml:space="preserve"> - </w:t>
      </w:r>
      <w:proofErr w:type="spellStart"/>
      <w:r w:rsidRPr="007168A7">
        <w:rPr>
          <w:rFonts w:eastAsia="Calibri"/>
          <w:color w:val="000000"/>
          <w:lang w:eastAsia="en-US"/>
        </w:rPr>
        <w:t>Breton</w:t>
      </w:r>
      <w:proofErr w:type="spellEnd"/>
      <w:r w:rsidRPr="007168A7">
        <w:rPr>
          <w:rFonts w:eastAsia="Calibri"/>
          <w:color w:val="000000"/>
          <w:lang w:eastAsia="en-US"/>
        </w:rPr>
        <w:t xml:space="preserve"> </w:t>
      </w:r>
      <w:proofErr w:type="spellStart"/>
      <w:r w:rsidRPr="007168A7">
        <w:rPr>
          <w:rFonts w:eastAsia="Calibri"/>
          <w:color w:val="000000"/>
          <w:lang w:eastAsia="en-US"/>
        </w:rPr>
        <w:t>Woods</w:t>
      </w:r>
      <w:proofErr w:type="spellEnd"/>
      <w:r w:rsidRPr="007168A7">
        <w:rPr>
          <w:rFonts w:eastAsia="Calibri"/>
          <w:color w:val="000000"/>
          <w:lang w:eastAsia="en-US"/>
        </w:rPr>
        <w:t xml:space="preserve"> sistema, kuri suteikė sąlygas dolerio dominavimui, kaip rezervinei valiutai;</w:t>
      </w:r>
    </w:p>
    <w:p w:rsidR="00A95557" w:rsidRPr="007168A7" w:rsidRDefault="00A95557" w:rsidP="007168A7">
      <w:pPr>
        <w:pStyle w:val="prastasistinklapis"/>
        <w:jc w:val="both"/>
        <w:rPr>
          <w:rFonts w:eastAsia="Calibri"/>
          <w:color w:val="000000"/>
          <w:lang w:eastAsia="en-US"/>
        </w:rPr>
      </w:pPr>
      <w:r w:rsidRPr="007168A7">
        <w:rPr>
          <w:rFonts w:eastAsia="Calibri"/>
          <w:color w:val="000000"/>
          <w:lang w:eastAsia="en-US"/>
        </w:rPr>
        <w:t> - dolerio naudojimas tam tikrose transakcijose yra pigesnis dėl didesnio likvidumo;</w:t>
      </w:r>
    </w:p>
    <w:p w:rsidR="00A95557" w:rsidRPr="007168A7" w:rsidRDefault="00A95557" w:rsidP="007168A7">
      <w:pPr>
        <w:pStyle w:val="prastasistinklapis"/>
        <w:jc w:val="both"/>
        <w:rPr>
          <w:rFonts w:eastAsia="Calibri"/>
          <w:color w:val="000000"/>
          <w:lang w:eastAsia="en-US"/>
        </w:rPr>
      </w:pPr>
      <w:r w:rsidRPr="007168A7">
        <w:rPr>
          <w:rFonts w:eastAsia="Calibri"/>
          <w:color w:val="000000"/>
          <w:lang w:eastAsia="en-US"/>
        </w:rPr>
        <w:t> - euras sąlyginai jauna valiuta, todėl jo naudojimo struktūrą reikia t</w:t>
      </w:r>
      <w:r w:rsidR="00CD1D3B">
        <w:rPr>
          <w:rFonts w:eastAsia="Calibri"/>
          <w:color w:val="000000"/>
          <w:lang w:eastAsia="en-US"/>
        </w:rPr>
        <w:t>oliau plėtoti</w:t>
      </w:r>
      <w:r w:rsidRPr="007168A7">
        <w:rPr>
          <w:rFonts w:eastAsia="Calibri"/>
          <w:color w:val="000000"/>
          <w:lang w:eastAsia="en-US"/>
        </w:rPr>
        <w:t>;</w:t>
      </w:r>
    </w:p>
    <w:p w:rsidR="00A95557" w:rsidRPr="007168A7" w:rsidRDefault="00A95557" w:rsidP="007168A7">
      <w:pPr>
        <w:pStyle w:val="prastasistinklapis"/>
        <w:jc w:val="both"/>
        <w:rPr>
          <w:rFonts w:eastAsia="Calibri"/>
          <w:color w:val="000000"/>
          <w:lang w:eastAsia="en-US"/>
        </w:rPr>
      </w:pPr>
      <w:r w:rsidRPr="007168A7">
        <w:rPr>
          <w:rFonts w:eastAsia="Calibri"/>
          <w:color w:val="000000"/>
          <w:lang w:eastAsia="en-US"/>
        </w:rPr>
        <w:t> -</w:t>
      </w:r>
      <w:r w:rsidR="00CD1D3B">
        <w:rPr>
          <w:rFonts w:eastAsia="Calibri"/>
          <w:color w:val="000000"/>
          <w:lang w:eastAsia="en-US"/>
        </w:rPr>
        <w:t xml:space="preserve"> </w:t>
      </w:r>
      <w:r w:rsidRPr="007168A7">
        <w:rPr>
          <w:rFonts w:eastAsia="Calibri"/>
          <w:color w:val="000000"/>
          <w:lang w:eastAsia="en-US"/>
        </w:rPr>
        <w:t xml:space="preserve">kai kurios pagrindinės tarptautinės finansų rinkų infrastruktūros daugiausia naudoja kitą valiutą (dolerį, franką kt.), taip pat jos yra įsikūrę už ES ribų. </w:t>
      </w:r>
    </w:p>
    <w:p w:rsidR="00A95557" w:rsidRPr="007168A7" w:rsidRDefault="00CD1D3B" w:rsidP="007168A7">
      <w:pPr>
        <w:pStyle w:val="prastasistinklapis"/>
        <w:jc w:val="both"/>
        <w:rPr>
          <w:rFonts w:eastAsia="Calibri"/>
          <w:color w:val="000000"/>
          <w:u w:val="single"/>
          <w:lang w:eastAsia="en-US"/>
        </w:rPr>
      </w:pPr>
      <w:r>
        <w:rPr>
          <w:rFonts w:eastAsia="Calibri"/>
          <w:color w:val="000000"/>
          <w:u w:val="single"/>
          <w:lang w:eastAsia="en-US"/>
        </w:rPr>
        <w:t>EK apie pasiektą pažangą</w:t>
      </w:r>
      <w:r w:rsidR="00A95557" w:rsidRPr="007168A7">
        <w:rPr>
          <w:rFonts w:eastAsia="Calibri"/>
          <w:color w:val="000000"/>
          <w:u w:val="single"/>
          <w:lang w:eastAsia="en-US"/>
        </w:rPr>
        <w:t xml:space="preserve"> šioje srityje žadėjo informuoti 2019 m. vasarą.</w:t>
      </w:r>
    </w:p>
    <w:p w:rsidR="00A95557" w:rsidRPr="007168A7" w:rsidRDefault="00A95557" w:rsidP="007168A7">
      <w:pPr>
        <w:pStyle w:val="prastasistinklapis"/>
        <w:jc w:val="both"/>
        <w:rPr>
          <w:rFonts w:eastAsia="Calibri"/>
          <w:color w:val="000000"/>
          <w:lang w:eastAsia="en-US"/>
        </w:rPr>
      </w:pPr>
      <w:r w:rsidRPr="007168A7">
        <w:rPr>
          <w:rFonts w:eastAsia="Calibri"/>
          <w:color w:val="000000"/>
          <w:lang w:eastAsia="en-US"/>
        </w:rPr>
        <w:t xml:space="preserve">EK ir </w:t>
      </w:r>
      <w:r w:rsidR="00CD1D3B">
        <w:rPr>
          <w:rFonts w:eastAsia="Calibri"/>
          <w:color w:val="000000"/>
          <w:lang w:eastAsia="en-US"/>
        </w:rPr>
        <w:t>ECB</w:t>
      </w:r>
      <w:r w:rsidRPr="007168A7">
        <w:rPr>
          <w:rFonts w:eastAsia="Calibri"/>
          <w:color w:val="000000"/>
          <w:lang w:eastAsia="en-US"/>
        </w:rPr>
        <w:t xml:space="preserve"> turėjo viešas</w:t>
      </w:r>
      <w:r w:rsidR="00CD1D3B">
        <w:rPr>
          <w:rFonts w:eastAsia="Calibri"/>
          <w:color w:val="000000"/>
          <w:lang w:eastAsia="en-US"/>
        </w:rPr>
        <w:t xml:space="preserve"> konsultacijas</w:t>
      </w:r>
      <w:r w:rsidRPr="007168A7">
        <w:rPr>
          <w:rFonts w:eastAsia="Calibri"/>
          <w:color w:val="000000"/>
          <w:lang w:eastAsia="en-US"/>
        </w:rPr>
        <w:t>, kurių metu išaiškėjo, kad yra didelis palaikymas dėl tarptautini</w:t>
      </w:r>
      <w:r w:rsidR="00CD1D3B">
        <w:rPr>
          <w:rFonts w:eastAsia="Calibri"/>
          <w:color w:val="000000"/>
          <w:lang w:eastAsia="en-US"/>
        </w:rPr>
        <w:t>o euro stiprinimo. E</w:t>
      </w:r>
      <w:r w:rsidRPr="007168A7">
        <w:rPr>
          <w:rFonts w:eastAsia="Calibri"/>
          <w:color w:val="000000"/>
          <w:lang w:eastAsia="en-US"/>
        </w:rPr>
        <w:t xml:space="preserve">uras gali padėti stiprinti ir didinti ES matomumą, bet tam reikia </w:t>
      </w:r>
      <w:r w:rsidR="00CD1D3B">
        <w:rPr>
          <w:rFonts w:eastAsia="Calibri"/>
          <w:color w:val="000000"/>
          <w:lang w:eastAsia="en-US"/>
        </w:rPr>
        <w:t>užbaigti</w:t>
      </w:r>
      <w:r w:rsidRPr="007168A7">
        <w:rPr>
          <w:rFonts w:eastAsia="Calibri"/>
          <w:color w:val="000000"/>
          <w:lang w:eastAsia="en-US"/>
        </w:rPr>
        <w:t xml:space="preserve"> Bankų sąjungą, stiprinti Ekonominę ir pin</w:t>
      </w:r>
      <w:r w:rsidR="007168A7" w:rsidRPr="007168A7">
        <w:rPr>
          <w:rFonts w:eastAsia="Calibri"/>
          <w:color w:val="000000"/>
          <w:lang w:eastAsia="en-US"/>
        </w:rPr>
        <w:t>i</w:t>
      </w:r>
      <w:r w:rsidRPr="007168A7">
        <w:rPr>
          <w:rFonts w:eastAsia="Calibri"/>
          <w:color w:val="000000"/>
          <w:lang w:eastAsia="en-US"/>
        </w:rPr>
        <w:t>gų sąjungą</w:t>
      </w:r>
      <w:r w:rsidR="0008168D">
        <w:rPr>
          <w:rFonts w:eastAsia="Calibri"/>
          <w:color w:val="000000"/>
          <w:lang w:eastAsia="en-US"/>
        </w:rPr>
        <w:t xml:space="preserve"> bei Kapitalo</w:t>
      </w:r>
      <w:r w:rsidR="007168A7" w:rsidRPr="007168A7">
        <w:rPr>
          <w:rFonts w:eastAsia="Calibri"/>
          <w:color w:val="000000"/>
          <w:lang w:eastAsia="en-US"/>
        </w:rPr>
        <w:t xml:space="preserve"> rinkų sąjungą.</w:t>
      </w:r>
    </w:p>
    <w:p w:rsidR="007168A7" w:rsidRPr="007168A7" w:rsidRDefault="007168A7" w:rsidP="007168A7">
      <w:pPr>
        <w:pStyle w:val="prastasistinklapis"/>
        <w:jc w:val="both"/>
        <w:rPr>
          <w:color w:val="000000"/>
        </w:rPr>
      </w:pPr>
      <w:r>
        <w:rPr>
          <w:color w:val="000000"/>
        </w:rPr>
        <w:t xml:space="preserve">Šiuo klausimu toliau bus dirbama ECOFIN patariamajame </w:t>
      </w:r>
      <w:r w:rsidR="007652C2">
        <w:rPr>
          <w:color w:val="000000"/>
        </w:rPr>
        <w:t xml:space="preserve">komitete, kuris turės paruošti gaires dėl tarptautinio euro vaidmens </w:t>
      </w:r>
      <w:r w:rsidR="00F96563">
        <w:rPr>
          <w:color w:val="000000"/>
        </w:rPr>
        <w:t>stiprinimo</w:t>
      </w:r>
      <w:r w:rsidR="007652C2">
        <w:rPr>
          <w:color w:val="000000"/>
        </w:rPr>
        <w:t>.</w:t>
      </w:r>
    </w:p>
    <w:p w:rsidR="00A95557" w:rsidRPr="007168A7" w:rsidRDefault="00A95557" w:rsidP="007168A7">
      <w:pPr>
        <w:spacing w:after="0" w:line="240" w:lineRule="auto"/>
        <w:contextualSpacing/>
        <w:jc w:val="both"/>
        <w:rPr>
          <w:rFonts w:cs="Times New Roman"/>
          <w:szCs w:val="24"/>
        </w:rPr>
      </w:pPr>
      <w:r w:rsidRPr="007168A7">
        <w:rPr>
          <w:rFonts w:cs="Times New Roman"/>
          <w:b/>
          <w:szCs w:val="24"/>
          <w:u w:val="single"/>
        </w:rPr>
        <w:t>Lietuvos pozicija.</w:t>
      </w:r>
      <w:r w:rsidRPr="007168A7">
        <w:rPr>
          <w:rFonts w:cs="Times New Roman"/>
          <w:szCs w:val="24"/>
        </w:rPr>
        <w:t xml:space="preserve"> Euro stiprinimas yra svarbi tema, ypač </w:t>
      </w:r>
      <w:proofErr w:type="spellStart"/>
      <w:r w:rsidRPr="007168A7">
        <w:rPr>
          <w:rFonts w:cs="Times New Roman"/>
          <w:szCs w:val="24"/>
        </w:rPr>
        <w:t>Brexit</w:t>
      </w:r>
      <w:proofErr w:type="spellEnd"/>
      <w:r w:rsidRPr="007168A7">
        <w:rPr>
          <w:rFonts w:cs="Times New Roman"/>
          <w:szCs w:val="24"/>
        </w:rPr>
        <w:t>, prekybos karų ir didėjančio protekcionizmo kontekste. Sutinkame, kad tokios priemonės kaip Bankų sąjungos ir Kapitalo rinkų sąjungos užbaigimas gali sustiprinti euro vaidmenį, tačiau kitos priemonės, ypač susijusios su euro naudojimo skatinimu, reikalauja gilesnės analizės.</w:t>
      </w:r>
    </w:p>
    <w:p w:rsidR="00C55B38" w:rsidRDefault="00C55B38" w:rsidP="007168A7">
      <w:pPr>
        <w:spacing w:after="0" w:line="240" w:lineRule="auto"/>
        <w:jc w:val="both"/>
        <w:rPr>
          <w:rFonts w:cs="Times New Roman"/>
          <w:szCs w:val="24"/>
          <w:lang w:eastAsia="lt-LT" w:bidi="lt-LT"/>
        </w:rPr>
      </w:pPr>
    </w:p>
    <w:p w:rsidR="00C55B38" w:rsidRPr="002F602E" w:rsidRDefault="007C034B" w:rsidP="00C55B38">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Cs/>
          <w:szCs w:val="24"/>
        </w:rPr>
      </w:pPr>
      <w:r>
        <w:rPr>
          <w:rFonts w:cs="Times New Roman"/>
          <w:b/>
          <w:szCs w:val="24"/>
        </w:rPr>
        <w:t>Valiutų kurso mechanizmo klausimai</w:t>
      </w:r>
    </w:p>
    <w:p w:rsidR="007652C2" w:rsidRDefault="007652C2" w:rsidP="007652C2">
      <w:pPr>
        <w:spacing w:after="0" w:line="240" w:lineRule="auto"/>
        <w:jc w:val="both"/>
        <w:rPr>
          <w:rFonts w:cs="Times New Roman"/>
          <w:b/>
          <w:noProof/>
          <w:color w:val="000000" w:themeColor="text1"/>
          <w:szCs w:val="24"/>
          <w:u w:val="single"/>
          <w:lang w:eastAsia="lt-LT"/>
        </w:rPr>
      </w:pPr>
    </w:p>
    <w:p w:rsidR="007652C2" w:rsidRPr="007652C2" w:rsidRDefault="007652C2" w:rsidP="007652C2">
      <w:pPr>
        <w:spacing w:after="0" w:line="240" w:lineRule="auto"/>
        <w:jc w:val="both"/>
        <w:rPr>
          <w:rFonts w:cs="Times New Roman"/>
          <w:noProof/>
          <w:color w:val="000000" w:themeColor="text1"/>
          <w:szCs w:val="24"/>
          <w:lang w:eastAsia="lt-LT"/>
        </w:rPr>
      </w:pPr>
      <w:r w:rsidRPr="007652C2">
        <w:rPr>
          <w:rFonts w:cs="Times New Roman"/>
          <w:b/>
          <w:noProof/>
          <w:color w:val="000000" w:themeColor="text1"/>
          <w:szCs w:val="24"/>
          <w:u w:val="single"/>
          <w:lang w:eastAsia="lt-LT"/>
        </w:rPr>
        <w:t>Klausimo esmė.</w:t>
      </w:r>
      <w:r>
        <w:rPr>
          <w:rFonts w:cs="Times New Roman"/>
          <w:noProof/>
          <w:color w:val="000000" w:themeColor="text1"/>
          <w:szCs w:val="24"/>
          <w:lang w:eastAsia="lt-LT"/>
        </w:rPr>
        <w:t xml:space="preserve"> </w:t>
      </w:r>
      <w:r w:rsidRPr="007652C2">
        <w:rPr>
          <w:rFonts w:cs="Times New Roman"/>
          <w:noProof/>
          <w:color w:val="000000" w:themeColor="text1"/>
          <w:szCs w:val="24"/>
          <w:lang w:eastAsia="lt-LT"/>
        </w:rPr>
        <w:t xml:space="preserve">Dalyvavimas </w:t>
      </w:r>
      <w:r w:rsidR="00CD1D3B" w:rsidRPr="007652C2">
        <w:rPr>
          <w:rFonts w:eastAsia="Times New Roman" w:cs="Times New Roman"/>
          <w:szCs w:val="24"/>
          <w:lang w:eastAsia="fr-BE"/>
        </w:rPr>
        <w:t>Valiutų kurso mechanizmo II</w:t>
      </w:r>
      <w:r w:rsidR="00CD1D3B" w:rsidRPr="007652C2">
        <w:rPr>
          <w:rFonts w:cs="Times New Roman"/>
          <w:noProof/>
          <w:color w:val="000000" w:themeColor="text1"/>
          <w:szCs w:val="24"/>
          <w:lang w:eastAsia="lt-LT"/>
        </w:rPr>
        <w:t xml:space="preserve"> </w:t>
      </w:r>
      <w:r w:rsidR="00CD1D3B">
        <w:rPr>
          <w:rFonts w:cs="Times New Roman"/>
          <w:noProof/>
          <w:color w:val="000000" w:themeColor="text1"/>
          <w:szCs w:val="24"/>
          <w:lang w:eastAsia="lt-LT"/>
        </w:rPr>
        <w:t>(</w:t>
      </w:r>
      <w:r w:rsidRPr="007652C2">
        <w:rPr>
          <w:rFonts w:cs="Times New Roman"/>
          <w:noProof/>
          <w:color w:val="000000" w:themeColor="text1"/>
          <w:szCs w:val="24"/>
          <w:lang w:eastAsia="lt-LT"/>
        </w:rPr>
        <w:t>VKM II</w:t>
      </w:r>
      <w:r w:rsidR="00CD1D3B">
        <w:rPr>
          <w:rFonts w:cs="Times New Roman"/>
          <w:noProof/>
          <w:color w:val="000000" w:themeColor="text1"/>
          <w:szCs w:val="24"/>
          <w:lang w:eastAsia="lt-LT"/>
        </w:rPr>
        <w:t>)</w:t>
      </w:r>
      <w:r w:rsidRPr="007652C2">
        <w:rPr>
          <w:rFonts w:cs="Times New Roman"/>
          <w:noProof/>
          <w:color w:val="000000" w:themeColor="text1"/>
          <w:szCs w:val="24"/>
          <w:lang w:eastAsia="lt-LT"/>
        </w:rPr>
        <w:t xml:space="preserve"> yra vienas iš kriterijų, kuriuos valstybės narės turi įvykdyti norint įsivesti eurą. </w:t>
      </w:r>
    </w:p>
    <w:p w:rsidR="007652C2" w:rsidRPr="007652C2" w:rsidRDefault="007652C2" w:rsidP="007652C2">
      <w:pPr>
        <w:spacing w:after="0" w:line="240" w:lineRule="auto"/>
        <w:jc w:val="both"/>
        <w:rPr>
          <w:rFonts w:cs="Times New Roman"/>
          <w:szCs w:val="24"/>
        </w:rPr>
      </w:pPr>
      <w:r w:rsidRPr="007652C2">
        <w:rPr>
          <w:rFonts w:cs="Times New Roman"/>
          <w:noProof/>
          <w:color w:val="000000" w:themeColor="text1"/>
          <w:szCs w:val="24"/>
          <w:lang w:eastAsia="lt-LT"/>
        </w:rPr>
        <w:t xml:space="preserve">2018 m. pavasarį Bulgarijai išreiškus norą prisijungti prie </w:t>
      </w:r>
      <w:r w:rsidR="00CD1D3B">
        <w:rPr>
          <w:rFonts w:cs="Times New Roman"/>
          <w:noProof/>
          <w:color w:val="000000" w:themeColor="text1"/>
          <w:szCs w:val="24"/>
          <w:lang w:eastAsia="lt-LT"/>
        </w:rPr>
        <w:t>VKM II</w:t>
      </w:r>
      <w:r w:rsidRPr="007652C2">
        <w:rPr>
          <w:rFonts w:cs="Times New Roman"/>
          <w:noProof/>
          <w:color w:val="000000" w:themeColor="text1"/>
          <w:szCs w:val="24"/>
          <w:lang w:eastAsia="lt-LT"/>
        </w:rPr>
        <w:t xml:space="preserve"> ir ateityje prie euro zonos, pradėtos taikyti papildomos sąlygos (paskutinis sprendimas dėl stojimo į VKM II buvo priimtas 2005 m. dėl Slovakijos). Euro grupė 2018 m. liepos mėn. priėmė pareiškimą, kuriame Bulgarijai buvo numatyti įpareigojimai </w:t>
      </w:r>
      <w:r w:rsidRPr="007652C2">
        <w:rPr>
          <w:rFonts w:cs="Times New Roman"/>
          <w:szCs w:val="24"/>
        </w:rPr>
        <w:t xml:space="preserve">įgyventi tam tikras priemones politikos srityje (bankų priežiūros stiprinimas, </w:t>
      </w:r>
      <w:proofErr w:type="spellStart"/>
      <w:r w:rsidRPr="007652C2">
        <w:rPr>
          <w:rFonts w:cs="Times New Roman"/>
          <w:szCs w:val="24"/>
        </w:rPr>
        <w:t>makroprudencinės</w:t>
      </w:r>
      <w:proofErr w:type="spellEnd"/>
      <w:r w:rsidRPr="007652C2">
        <w:rPr>
          <w:rFonts w:cs="Times New Roman"/>
          <w:szCs w:val="24"/>
        </w:rPr>
        <w:t xml:space="preserve"> sistemos priežiūros plėtojimas, ne </w:t>
      </w:r>
      <w:proofErr w:type="spellStart"/>
      <w:r w:rsidRPr="007652C2">
        <w:rPr>
          <w:rFonts w:cs="Times New Roman"/>
          <w:szCs w:val="24"/>
        </w:rPr>
        <w:t>bankininio</w:t>
      </w:r>
      <w:proofErr w:type="spellEnd"/>
      <w:r w:rsidRPr="007652C2">
        <w:rPr>
          <w:rFonts w:cs="Times New Roman"/>
          <w:szCs w:val="24"/>
        </w:rPr>
        <w:t xml:space="preserve"> finansų sektoriaus priežiūros stiprinimas ir t.t.). Taip pat Bulgarija buvo įpareigota kreiptis į ECB dėl glaudaus bendradarbiavimo. Europos Komisija ir ECB stebėtų valstybės kandidatės įsipareigojimų įgyvendinimą.</w:t>
      </w:r>
    </w:p>
    <w:p w:rsidR="007652C2" w:rsidRPr="007652C2" w:rsidRDefault="007652C2" w:rsidP="007652C2">
      <w:pPr>
        <w:spacing w:after="0" w:line="240" w:lineRule="auto"/>
        <w:jc w:val="both"/>
        <w:rPr>
          <w:rFonts w:cs="Times New Roman"/>
          <w:noProof/>
          <w:color w:val="000000" w:themeColor="text1"/>
          <w:szCs w:val="24"/>
          <w:lang w:eastAsia="lt-LT"/>
        </w:rPr>
      </w:pPr>
      <w:r w:rsidRPr="007652C2">
        <w:rPr>
          <w:rFonts w:cs="Times New Roman"/>
          <w:szCs w:val="24"/>
        </w:rPr>
        <w:t>ECB priėmus teigiamą sprendimą, valstybė narė įstotų į VKM II bei tuo pačiu prisijungtų prie Bankų sąjungos.</w:t>
      </w:r>
    </w:p>
    <w:p w:rsidR="007652C2" w:rsidRPr="007652C2" w:rsidRDefault="007652C2" w:rsidP="007652C2">
      <w:pPr>
        <w:spacing w:after="0" w:line="240" w:lineRule="auto"/>
        <w:jc w:val="both"/>
        <w:rPr>
          <w:rFonts w:cs="Times New Roman"/>
          <w:noProof/>
          <w:color w:val="000000" w:themeColor="text1"/>
          <w:szCs w:val="24"/>
          <w:lang w:eastAsia="lt-LT"/>
        </w:rPr>
      </w:pPr>
      <w:r w:rsidRPr="007652C2">
        <w:rPr>
          <w:rFonts w:cs="Times New Roman"/>
          <w:noProof/>
          <w:color w:val="000000" w:themeColor="text1"/>
          <w:szCs w:val="24"/>
          <w:lang w:eastAsia="lt-LT"/>
        </w:rPr>
        <w:t>Pareiškime taip pat buvo pabrėžta, kad ateityje šie papildomi reikalavimai bus taikomi visoms valstybėms narėms, kurios norės prisijungti prie VKM II ir euro zonos.</w:t>
      </w:r>
    </w:p>
    <w:p w:rsidR="007652C2" w:rsidRPr="007652C2" w:rsidRDefault="007652C2" w:rsidP="007652C2">
      <w:pPr>
        <w:pStyle w:val="Sraopastraipa"/>
        <w:widowControl w:val="0"/>
        <w:tabs>
          <w:tab w:val="left" w:pos="567"/>
        </w:tabs>
        <w:suppressAutoHyphens/>
        <w:autoSpaceDN w:val="0"/>
        <w:spacing w:after="0" w:line="240" w:lineRule="auto"/>
        <w:ind w:left="0"/>
        <w:jc w:val="both"/>
        <w:textAlignment w:val="baseline"/>
        <w:rPr>
          <w:rFonts w:ascii="Times New Roman" w:eastAsia="Times New Roman" w:hAnsi="Times New Roman" w:cs="Times New Roman"/>
          <w:sz w:val="24"/>
          <w:szCs w:val="24"/>
          <w:lang w:eastAsia="fr-BE"/>
        </w:rPr>
      </w:pPr>
    </w:p>
    <w:p w:rsidR="007652C2" w:rsidRPr="007652C2" w:rsidRDefault="007652C2" w:rsidP="007652C2">
      <w:pPr>
        <w:pStyle w:val="Sraopastraipa"/>
        <w:widowControl w:val="0"/>
        <w:tabs>
          <w:tab w:val="left" w:pos="567"/>
        </w:tabs>
        <w:suppressAutoHyphens/>
        <w:autoSpaceDN w:val="0"/>
        <w:spacing w:after="0" w:line="240" w:lineRule="auto"/>
        <w:ind w:left="0"/>
        <w:jc w:val="both"/>
        <w:textAlignment w:val="baseline"/>
        <w:rPr>
          <w:rFonts w:ascii="Times New Roman" w:eastAsia="Times New Roman" w:hAnsi="Times New Roman" w:cs="Times New Roman"/>
          <w:sz w:val="24"/>
          <w:szCs w:val="24"/>
          <w:lang w:eastAsia="fr-BE"/>
        </w:rPr>
      </w:pPr>
      <w:r w:rsidRPr="007652C2">
        <w:rPr>
          <w:rFonts w:ascii="Times New Roman" w:eastAsia="Times New Roman" w:hAnsi="Times New Roman" w:cs="Times New Roman"/>
          <w:sz w:val="24"/>
          <w:szCs w:val="24"/>
          <w:lang w:eastAsia="fr-BE"/>
        </w:rPr>
        <w:t>2019 birželio 18 d. Kroatijos Respublika pateikė ketinimo raštą dėl prisijungimo prie VKM II. Rašte Kroatija įsipareigoja vykdyti tolesnius veiksmus:</w:t>
      </w:r>
    </w:p>
    <w:p w:rsidR="007652C2" w:rsidRPr="007652C2" w:rsidRDefault="007652C2" w:rsidP="007652C2">
      <w:pPr>
        <w:widowControl w:val="0"/>
        <w:tabs>
          <w:tab w:val="left" w:pos="567"/>
        </w:tabs>
        <w:suppressAutoHyphens/>
        <w:autoSpaceDN w:val="0"/>
        <w:spacing w:after="0" w:line="240" w:lineRule="auto"/>
        <w:jc w:val="both"/>
        <w:textAlignment w:val="baseline"/>
        <w:rPr>
          <w:rFonts w:eastAsia="Times New Roman" w:cs="Times New Roman"/>
          <w:szCs w:val="24"/>
          <w:lang w:eastAsia="fr-BE"/>
        </w:rPr>
      </w:pPr>
      <w:r w:rsidRPr="007652C2">
        <w:rPr>
          <w:rFonts w:eastAsia="Times New Roman" w:cs="Times New Roman"/>
          <w:szCs w:val="24"/>
          <w:lang w:eastAsia="fr-BE"/>
        </w:rPr>
        <w:t>1.</w:t>
      </w:r>
      <w:r>
        <w:rPr>
          <w:rFonts w:eastAsia="Times New Roman" w:cs="Times New Roman"/>
          <w:szCs w:val="24"/>
          <w:lang w:eastAsia="fr-BE"/>
        </w:rPr>
        <w:t xml:space="preserve"> Stiprinti bankų priežiūrą</w:t>
      </w:r>
      <w:r w:rsidRPr="007652C2">
        <w:rPr>
          <w:rFonts w:eastAsia="Times New Roman" w:cs="Times New Roman"/>
          <w:szCs w:val="24"/>
          <w:lang w:eastAsia="fr-BE"/>
        </w:rPr>
        <w:t xml:space="preserve"> glaudžiant bendradarbiaujant su ECB (prašymas ECB išsiųstas </w:t>
      </w:r>
      <w:r w:rsidR="00CD1D3B">
        <w:rPr>
          <w:rFonts w:eastAsia="Times New Roman" w:cs="Times New Roman"/>
          <w:szCs w:val="24"/>
          <w:lang w:eastAsia="fr-BE"/>
        </w:rPr>
        <w:t xml:space="preserve">š.m. </w:t>
      </w:r>
      <w:r w:rsidRPr="007652C2">
        <w:rPr>
          <w:rFonts w:eastAsia="Times New Roman" w:cs="Times New Roman"/>
          <w:szCs w:val="24"/>
          <w:lang w:eastAsia="fr-BE"/>
        </w:rPr>
        <w:t>gegužės 27 d.)</w:t>
      </w:r>
    </w:p>
    <w:p w:rsidR="007652C2" w:rsidRPr="007652C2" w:rsidRDefault="007652C2" w:rsidP="007652C2">
      <w:pPr>
        <w:widowControl w:val="0"/>
        <w:tabs>
          <w:tab w:val="left" w:pos="567"/>
        </w:tabs>
        <w:suppressAutoHyphens/>
        <w:autoSpaceDN w:val="0"/>
        <w:spacing w:after="0" w:line="240" w:lineRule="auto"/>
        <w:jc w:val="both"/>
        <w:textAlignment w:val="baseline"/>
        <w:rPr>
          <w:rFonts w:eastAsia="Times New Roman" w:cs="Times New Roman"/>
          <w:szCs w:val="24"/>
          <w:lang w:eastAsia="fr-BE"/>
        </w:rPr>
      </w:pPr>
      <w:r w:rsidRPr="007652C2">
        <w:rPr>
          <w:rFonts w:eastAsia="Times New Roman" w:cs="Times New Roman"/>
          <w:szCs w:val="24"/>
          <w:lang w:eastAsia="fr-BE"/>
        </w:rPr>
        <w:t xml:space="preserve">2. Plėtoti </w:t>
      </w:r>
      <w:proofErr w:type="spellStart"/>
      <w:r w:rsidRPr="007652C2">
        <w:rPr>
          <w:rFonts w:eastAsia="Times New Roman" w:cs="Times New Roman"/>
          <w:szCs w:val="24"/>
          <w:lang w:eastAsia="fr-BE"/>
        </w:rPr>
        <w:t>makroprudencinės</w:t>
      </w:r>
      <w:proofErr w:type="spellEnd"/>
      <w:r w:rsidRPr="007652C2">
        <w:rPr>
          <w:rFonts w:eastAsia="Times New Roman" w:cs="Times New Roman"/>
          <w:szCs w:val="24"/>
          <w:lang w:eastAsia="fr-BE"/>
        </w:rPr>
        <w:t xml:space="preserve"> sistemos priežiūrą.</w:t>
      </w:r>
    </w:p>
    <w:p w:rsidR="007652C2" w:rsidRPr="007652C2" w:rsidRDefault="007652C2" w:rsidP="007652C2">
      <w:pPr>
        <w:widowControl w:val="0"/>
        <w:tabs>
          <w:tab w:val="left" w:pos="567"/>
        </w:tabs>
        <w:suppressAutoHyphens/>
        <w:autoSpaceDN w:val="0"/>
        <w:spacing w:after="0" w:line="240" w:lineRule="auto"/>
        <w:jc w:val="both"/>
        <w:textAlignment w:val="baseline"/>
        <w:rPr>
          <w:rFonts w:eastAsia="Times New Roman" w:cs="Times New Roman"/>
          <w:szCs w:val="24"/>
          <w:lang w:eastAsia="fr-BE"/>
        </w:rPr>
      </w:pPr>
      <w:r w:rsidRPr="007652C2">
        <w:rPr>
          <w:rFonts w:eastAsia="Times New Roman" w:cs="Times New Roman"/>
          <w:szCs w:val="24"/>
          <w:lang w:eastAsia="fr-BE"/>
        </w:rPr>
        <w:lastRenderedPageBreak/>
        <w:t xml:space="preserve">3. Stiprinti </w:t>
      </w:r>
      <w:r w:rsidR="00CD1D3B">
        <w:rPr>
          <w:rFonts w:eastAsia="Times New Roman" w:cs="Times New Roman"/>
          <w:szCs w:val="24"/>
          <w:lang w:eastAsia="fr-BE"/>
        </w:rPr>
        <w:t>kovos su pinigų plovimu (</w:t>
      </w:r>
      <w:r w:rsidRPr="007652C2">
        <w:rPr>
          <w:rFonts w:eastAsia="Times New Roman" w:cs="Times New Roman"/>
          <w:szCs w:val="24"/>
          <w:lang w:eastAsia="fr-BE"/>
        </w:rPr>
        <w:t>AML</w:t>
      </w:r>
      <w:r w:rsidR="00CD1D3B">
        <w:rPr>
          <w:rFonts w:eastAsia="Times New Roman" w:cs="Times New Roman"/>
          <w:szCs w:val="24"/>
          <w:lang w:eastAsia="fr-BE"/>
        </w:rPr>
        <w:t>)</w:t>
      </w:r>
      <w:r w:rsidRPr="007652C2">
        <w:rPr>
          <w:rFonts w:eastAsia="Times New Roman" w:cs="Times New Roman"/>
          <w:szCs w:val="24"/>
          <w:lang w:eastAsia="fr-BE"/>
        </w:rPr>
        <w:t xml:space="preserve"> sistemą, įgyvendinant 5-ąją </w:t>
      </w:r>
      <w:r w:rsidR="00CD1D3B">
        <w:rPr>
          <w:rFonts w:eastAsia="Times New Roman" w:cs="Times New Roman"/>
          <w:szCs w:val="24"/>
          <w:lang w:eastAsia="fr-BE"/>
        </w:rPr>
        <w:t>AML</w:t>
      </w:r>
      <w:r w:rsidRPr="007652C2">
        <w:rPr>
          <w:rFonts w:eastAsia="Times New Roman" w:cs="Times New Roman"/>
          <w:szCs w:val="24"/>
          <w:lang w:eastAsia="fr-BE"/>
        </w:rPr>
        <w:t xml:space="preserve"> direktyvą.</w:t>
      </w:r>
    </w:p>
    <w:p w:rsidR="007652C2" w:rsidRPr="007652C2" w:rsidRDefault="007652C2" w:rsidP="007652C2">
      <w:pPr>
        <w:widowControl w:val="0"/>
        <w:tabs>
          <w:tab w:val="left" w:pos="567"/>
        </w:tabs>
        <w:suppressAutoHyphens/>
        <w:autoSpaceDN w:val="0"/>
        <w:spacing w:after="0" w:line="240" w:lineRule="auto"/>
        <w:jc w:val="both"/>
        <w:textAlignment w:val="baseline"/>
        <w:rPr>
          <w:rFonts w:eastAsia="Times New Roman" w:cs="Times New Roman"/>
          <w:szCs w:val="24"/>
          <w:lang w:eastAsia="fr-BE"/>
        </w:rPr>
      </w:pPr>
      <w:r w:rsidRPr="007652C2">
        <w:rPr>
          <w:rFonts w:eastAsia="Times New Roman" w:cs="Times New Roman"/>
          <w:szCs w:val="24"/>
          <w:lang w:eastAsia="fr-BE"/>
        </w:rPr>
        <w:t>4. Tobulinti statistinių duomenų rinkimą, rengimą bei platinimą, stiprinant institucinius ir metodinius gebėjimus.</w:t>
      </w:r>
    </w:p>
    <w:p w:rsidR="007652C2" w:rsidRPr="007652C2" w:rsidRDefault="007652C2" w:rsidP="007652C2">
      <w:pPr>
        <w:widowControl w:val="0"/>
        <w:tabs>
          <w:tab w:val="left" w:pos="567"/>
        </w:tabs>
        <w:suppressAutoHyphens/>
        <w:autoSpaceDN w:val="0"/>
        <w:spacing w:after="0" w:line="240" w:lineRule="auto"/>
        <w:jc w:val="both"/>
        <w:textAlignment w:val="baseline"/>
        <w:rPr>
          <w:rFonts w:eastAsia="Times New Roman" w:cs="Times New Roman"/>
          <w:szCs w:val="24"/>
          <w:lang w:eastAsia="fr-BE"/>
        </w:rPr>
      </w:pPr>
      <w:r w:rsidRPr="007652C2">
        <w:rPr>
          <w:rFonts w:eastAsia="Times New Roman" w:cs="Times New Roman"/>
          <w:szCs w:val="24"/>
          <w:lang w:eastAsia="fr-BE"/>
        </w:rPr>
        <w:t>5. Stiprinti viešojo sektoriaus valdymą gerinant valstybei priklausančio turto valdymą.</w:t>
      </w:r>
    </w:p>
    <w:p w:rsidR="007652C2" w:rsidRPr="007652C2" w:rsidRDefault="007652C2" w:rsidP="007652C2">
      <w:pPr>
        <w:widowControl w:val="0"/>
        <w:tabs>
          <w:tab w:val="left" w:pos="567"/>
        </w:tabs>
        <w:suppressAutoHyphens/>
        <w:autoSpaceDN w:val="0"/>
        <w:spacing w:after="0" w:line="240" w:lineRule="auto"/>
        <w:jc w:val="both"/>
        <w:textAlignment w:val="baseline"/>
        <w:rPr>
          <w:noProof/>
          <w:szCs w:val="24"/>
        </w:rPr>
      </w:pPr>
      <w:r w:rsidRPr="007652C2">
        <w:rPr>
          <w:rFonts w:eastAsia="Times New Roman" w:cs="Times New Roman"/>
          <w:szCs w:val="24"/>
          <w:lang w:eastAsia="fr-BE"/>
        </w:rPr>
        <w:t xml:space="preserve">6. Mažinti įmonėms tenkančią administracinę ir finansinę naštą, susidarančią dėl </w:t>
      </w:r>
      <w:proofErr w:type="spellStart"/>
      <w:r w:rsidRPr="007652C2">
        <w:rPr>
          <w:rFonts w:eastAsia="Times New Roman" w:cs="Times New Roman"/>
          <w:szCs w:val="24"/>
          <w:lang w:eastAsia="fr-BE"/>
        </w:rPr>
        <w:t>parafiskalinių</w:t>
      </w:r>
      <w:proofErr w:type="spellEnd"/>
      <w:r w:rsidRPr="007652C2">
        <w:rPr>
          <w:rFonts w:eastAsia="Times New Roman" w:cs="Times New Roman"/>
          <w:szCs w:val="24"/>
          <w:lang w:eastAsia="fr-BE"/>
        </w:rPr>
        <w:t xml:space="preserve"> mokesčių bei teisės aktų reikalavimų</w:t>
      </w:r>
      <w:r w:rsidR="007B5FE5">
        <w:rPr>
          <w:rFonts w:eastAsia="Times New Roman" w:cs="Times New Roman"/>
          <w:szCs w:val="24"/>
          <w:lang w:eastAsia="fr-BE"/>
        </w:rPr>
        <w:t>.</w:t>
      </w:r>
    </w:p>
    <w:p w:rsidR="007652C2" w:rsidRPr="007652C2" w:rsidRDefault="007652C2" w:rsidP="007652C2">
      <w:pPr>
        <w:widowControl w:val="0"/>
        <w:tabs>
          <w:tab w:val="left" w:pos="567"/>
        </w:tabs>
        <w:suppressAutoHyphens/>
        <w:autoSpaceDN w:val="0"/>
        <w:spacing w:after="0" w:line="240" w:lineRule="auto"/>
        <w:jc w:val="both"/>
        <w:textAlignment w:val="baseline"/>
        <w:rPr>
          <w:rFonts w:eastAsia="Times New Roman" w:cs="Times New Roman"/>
          <w:szCs w:val="24"/>
          <w:lang w:eastAsia="fr-BE"/>
        </w:rPr>
      </w:pPr>
      <w:r w:rsidRPr="007652C2">
        <w:rPr>
          <w:rFonts w:eastAsia="Times New Roman" w:cs="Times New Roman"/>
          <w:szCs w:val="24"/>
          <w:lang w:eastAsia="fr-BE"/>
        </w:rPr>
        <w:t xml:space="preserve">Kroatija tikisi būti priimta į VKM II 2020 m. viduryje kaip lygiavertė narė bei toliau bendradarbiauti su ECB bei EK dėl sklandesnio </w:t>
      </w:r>
      <w:r w:rsidR="00CD1D3B">
        <w:rPr>
          <w:rFonts w:eastAsia="Times New Roman" w:cs="Times New Roman"/>
          <w:szCs w:val="24"/>
          <w:lang w:eastAsia="fr-BE"/>
        </w:rPr>
        <w:t>prisijungimo prie euro zonos</w:t>
      </w:r>
      <w:r w:rsidRPr="007652C2">
        <w:rPr>
          <w:rFonts w:eastAsia="Times New Roman" w:cs="Times New Roman"/>
          <w:szCs w:val="24"/>
          <w:lang w:eastAsia="fr-BE"/>
        </w:rPr>
        <w:t xml:space="preserve">. </w:t>
      </w:r>
    </w:p>
    <w:p w:rsidR="007652C2" w:rsidRPr="007652C2" w:rsidRDefault="00CD1D3B" w:rsidP="007652C2">
      <w:pPr>
        <w:pStyle w:val="Default"/>
        <w:jc w:val="both"/>
      </w:pPr>
      <w:r>
        <w:rPr>
          <w:rFonts w:eastAsia="Times New Roman"/>
          <w:lang w:eastAsia="fr-BE"/>
        </w:rPr>
        <w:t>Atkreiptinas dėmesys, kad a</w:t>
      </w:r>
      <w:r w:rsidR="007652C2" w:rsidRPr="007652C2">
        <w:rPr>
          <w:rFonts w:eastAsia="Times New Roman"/>
          <w:lang w:eastAsia="fr-BE"/>
        </w:rPr>
        <w:t>tsižvelgiant į kiekvienos VN specifiką (skirtinga ekonominė situacija), nėra nustatyta</w:t>
      </w:r>
      <w:r>
        <w:rPr>
          <w:rFonts w:eastAsia="Times New Roman"/>
          <w:lang w:eastAsia="fr-BE"/>
        </w:rPr>
        <w:t>,</w:t>
      </w:r>
      <w:r w:rsidR="007652C2" w:rsidRPr="007652C2">
        <w:rPr>
          <w:rFonts w:eastAsia="Times New Roman"/>
          <w:lang w:eastAsia="fr-BE"/>
        </w:rPr>
        <w:t xml:space="preserve"> per kiek laiko turi būti priimtas sprendimas dėl VN stojimo į VKM II (Komisijos Teisės tarnybos išaiškinimas </w:t>
      </w:r>
      <w:r w:rsidR="007652C2" w:rsidRPr="007652C2">
        <w:rPr>
          <w:rFonts w:eastAsia="Times New Roman"/>
          <w:i/>
          <w:lang w:eastAsia="fr-BE"/>
        </w:rPr>
        <w:t>„</w:t>
      </w:r>
      <w:proofErr w:type="spellStart"/>
      <w:r w:rsidR="007652C2" w:rsidRPr="007652C2">
        <w:rPr>
          <w:i/>
        </w:rPr>
        <w:t>Legal</w:t>
      </w:r>
      <w:proofErr w:type="spellEnd"/>
      <w:r w:rsidR="007652C2" w:rsidRPr="007652C2">
        <w:rPr>
          <w:i/>
        </w:rPr>
        <w:t xml:space="preserve"> </w:t>
      </w:r>
      <w:proofErr w:type="spellStart"/>
      <w:r w:rsidR="007652C2" w:rsidRPr="007652C2">
        <w:rPr>
          <w:i/>
        </w:rPr>
        <w:t>assessment</w:t>
      </w:r>
      <w:proofErr w:type="spellEnd"/>
      <w:r w:rsidR="007652C2" w:rsidRPr="007652C2">
        <w:rPr>
          <w:i/>
        </w:rPr>
        <w:t xml:space="preserve"> </w:t>
      </w:r>
      <w:proofErr w:type="spellStart"/>
      <w:r w:rsidR="007652C2" w:rsidRPr="007652C2">
        <w:rPr>
          <w:i/>
        </w:rPr>
        <w:t>of</w:t>
      </w:r>
      <w:proofErr w:type="spellEnd"/>
      <w:r w:rsidR="007652C2" w:rsidRPr="007652C2">
        <w:rPr>
          <w:i/>
        </w:rPr>
        <w:t xml:space="preserve"> </w:t>
      </w:r>
      <w:proofErr w:type="spellStart"/>
      <w:r w:rsidR="007652C2" w:rsidRPr="007652C2">
        <w:rPr>
          <w:i/>
        </w:rPr>
        <w:t>the</w:t>
      </w:r>
      <w:proofErr w:type="spellEnd"/>
      <w:r w:rsidR="007652C2" w:rsidRPr="007652C2">
        <w:rPr>
          <w:i/>
        </w:rPr>
        <w:t xml:space="preserve"> </w:t>
      </w:r>
      <w:proofErr w:type="spellStart"/>
      <w:r w:rsidR="007652C2" w:rsidRPr="007652C2">
        <w:rPr>
          <w:i/>
        </w:rPr>
        <w:t>conditions</w:t>
      </w:r>
      <w:proofErr w:type="spellEnd"/>
      <w:r w:rsidR="007652C2" w:rsidRPr="007652C2">
        <w:rPr>
          <w:i/>
        </w:rPr>
        <w:t xml:space="preserve"> </w:t>
      </w:r>
      <w:proofErr w:type="spellStart"/>
      <w:r w:rsidR="007652C2" w:rsidRPr="007652C2">
        <w:rPr>
          <w:i/>
        </w:rPr>
        <w:t>for</w:t>
      </w:r>
      <w:proofErr w:type="spellEnd"/>
      <w:r w:rsidR="007652C2" w:rsidRPr="007652C2">
        <w:rPr>
          <w:i/>
        </w:rPr>
        <w:t xml:space="preserve"> </w:t>
      </w:r>
      <w:proofErr w:type="spellStart"/>
      <w:r w:rsidR="007652C2" w:rsidRPr="007652C2">
        <w:rPr>
          <w:i/>
        </w:rPr>
        <w:t>access</w:t>
      </w:r>
      <w:proofErr w:type="spellEnd"/>
      <w:r w:rsidR="007652C2" w:rsidRPr="007652C2">
        <w:rPr>
          <w:i/>
        </w:rPr>
        <w:t xml:space="preserve"> to </w:t>
      </w:r>
      <w:proofErr w:type="spellStart"/>
      <w:r w:rsidR="007652C2" w:rsidRPr="007652C2">
        <w:rPr>
          <w:i/>
        </w:rPr>
        <w:t>the</w:t>
      </w:r>
      <w:proofErr w:type="spellEnd"/>
      <w:r w:rsidR="007652C2" w:rsidRPr="007652C2">
        <w:rPr>
          <w:i/>
        </w:rPr>
        <w:t xml:space="preserve"> ERM II </w:t>
      </w:r>
      <w:proofErr w:type="spellStart"/>
      <w:r w:rsidR="007652C2" w:rsidRPr="007652C2">
        <w:rPr>
          <w:i/>
        </w:rPr>
        <w:t>mechanism</w:t>
      </w:r>
      <w:proofErr w:type="spellEnd"/>
      <w:r w:rsidR="007652C2" w:rsidRPr="007652C2">
        <w:rPr>
          <w:i/>
        </w:rPr>
        <w:t>“</w:t>
      </w:r>
      <w:r>
        <w:t>.).</w:t>
      </w:r>
    </w:p>
    <w:p w:rsidR="007652C2" w:rsidRPr="007652C2" w:rsidRDefault="007652C2" w:rsidP="007652C2">
      <w:pPr>
        <w:spacing w:after="0" w:line="240" w:lineRule="auto"/>
        <w:contextualSpacing/>
        <w:jc w:val="both"/>
        <w:rPr>
          <w:rFonts w:cs="Times New Roman"/>
          <w:szCs w:val="24"/>
        </w:rPr>
      </w:pPr>
      <w:r>
        <w:rPr>
          <w:rFonts w:cs="Times New Roman"/>
          <w:b/>
          <w:szCs w:val="24"/>
          <w:u w:val="single"/>
        </w:rPr>
        <w:t>Lietuvos pozicija.</w:t>
      </w:r>
      <w:r w:rsidRPr="007652C2">
        <w:rPr>
          <w:rFonts w:cs="Times New Roman"/>
          <w:szCs w:val="24"/>
        </w:rPr>
        <w:t xml:space="preserve"> </w:t>
      </w:r>
      <w:r w:rsidRPr="007652C2">
        <w:rPr>
          <w:rFonts w:cs="Times New Roman"/>
          <w:bCs/>
          <w:szCs w:val="24"/>
        </w:rPr>
        <w:t>Neprieštaraujame naujų VN narių stojimui į VKM</w:t>
      </w:r>
      <w:r w:rsidR="00CD1D3B">
        <w:rPr>
          <w:rFonts w:cs="Times New Roman"/>
          <w:bCs/>
          <w:szCs w:val="24"/>
        </w:rPr>
        <w:t xml:space="preserve"> II, jeigu VN atitinka visus joms</w:t>
      </w:r>
      <w:r w:rsidRPr="007652C2">
        <w:rPr>
          <w:rFonts w:cs="Times New Roman"/>
          <w:bCs/>
          <w:szCs w:val="24"/>
        </w:rPr>
        <w:t xml:space="preserve"> nustatytus kriterijus.</w:t>
      </w:r>
    </w:p>
    <w:p w:rsidR="007652C2" w:rsidRPr="007652C2" w:rsidRDefault="007652C2" w:rsidP="007652C2">
      <w:pPr>
        <w:spacing w:after="0" w:line="240" w:lineRule="auto"/>
        <w:contextualSpacing/>
        <w:jc w:val="both"/>
        <w:rPr>
          <w:rFonts w:cs="Times New Roman"/>
          <w:b/>
          <w:szCs w:val="24"/>
        </w:rPr>
      </w:pPr>
    </w:p>
    <w:p w:rsidR="00C55B38" w:rsidRPr="007652C2" w:rsidRDefault="00C55B38" w:rsidP="00C55B38">
      <w:pPr>
        <w:spacing w:after="0" w:line="240" w:lineRule="auto"/>
        <w:jc w:val="both"/>
        <w:rPr>
          <w:rFonts w:cs="Times New Roman"/>
          <w:szCs w:val="24"/>
          <w:lang w:eastAsia="lt-LT" w:bidi="lt-LT"/>
        </w:rPr>
      </w:pPr>
    </w:p>
    <w:p w:rsidR="00C55B38" w:rsidRPr="007652C2" w:rsidRDefault="00C55B38" w:rsidP="00166524">
      <w:pPr>
        <w:spacing w:after="0" w:line="240" w:lineRule="auto"/>
        <w:jc w:val="both"/>
        <w:rPr>
          <w:rFonts w:cs="Times New Roman"/>
          <w:szCs w:val="24"/>
          <w:lang w:eastAsia="lt-LT" w:bidi="lt-LT"/>
        </w:rPr>
      </w:pPr>
    </w:p>
    <w:sectPr w:rsidR="00C55B38" w:rsidRPr="007652C2" w:rsidSect="00F725F9">
      <w:footerReference w:type="default" r:id="rId9"/>
      <w:pgSz w:w="11906" w:h="16838"/>
      <w:pgMar w:top="709" w:right="567"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1A3" w:rsidRDefault="007061A3" w:rsidP="00CA70EF">
      <w:pPr>
        <w:spacing w:after="0" w:line="240" w:lineRule="auto"/>
      </w:pPr>
      <w:r>
        <w:separator/>
      </w:r>
    </w:p>
  </w:endnote>
  <w:endnote w:type="continuationSeparator" w:id="0">
    <w:p w:rsidR="007061A3" w:rsidRDefault="007061A3" w:rsidP="00CA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380986"/>
      <w:docPartObj>
        <w:docPartGallery w:val="Page Numbers (Bottom of Page)"/>
        <w:docPartUnique/>
      </w:docPartObj>
    </w:sdtPr>
    <w:sdtEndPr/>
    <w:sdtContent>
      <w:p w:rsidR="00315CA2" w:rsidRDefault="00315CA2">
        <w:pPr>
          <w:pStyle w:val="Porat"/>
          <w:jc w:val="right"/>
        </w:pPr>
        <w:r>
          <w:fldChar w:fldCharType="begin"/>
        </w:r>
        <w:r>
          <w:instrText>PAGE   \* MERGEFORMAT</w:instrText>
        </w:r>
        <w:r>
          <w:fldChar w:fldCharType="separate"/>
        </w:r>
        <w:r w:rsidR="004F0024">
          <w:rPr>
            <w:noProof/>
          </w:rPr>
          <w:t>5</w:t>
        </w:r>
        <w:r>
          <w:fldChar w:fldCharType="end"/>
        </w:r>
      </w:p>
    </w:sdtContent>
  </w:sdt>
  <w:p w:rsidR="00315CA2" w:rsidRDefault="00315C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1A3" w:rsidRDefault="007061A3" w:rsidP="00CA70EF">
      <w:pPr>
        <w:spacing w:after="0" w:line="240" w:lineRule="auto"/>
      </w:pPr>
      <w:r>
        <w:separator/>
      </w:r>
    </w:p>
  </w:footnote>
  <w:footnote w:type="continuationSeparator" w:id="0">
    <w:p w:rsidR="007061A3" w:rsidRDefault="007061A3" w:rsidP="00CA70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1380"/>
    <w:multiLevelType w:val="hybridMultilevel"/>
    <w:tmpl w:val="9E5010C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AA559C3"/>
    <w:multiLevelType w:val="hybridMultilevel"/>
    <w:tmpl w:val="57AE3466"/>
    <w:lvl w:ilvl="0" w:tplc="2829F52C">
      <w:start w:val="1"/>
      <w:numFmt w:val="bullet"/>
      <w:lvlText w:val="·"/>
      <w:lvlJc w:val="left"/>
      <w:pPr>
        <w:ind w:left="720" w:hanging="360"/>
      </w:pPr>
      <w:rPr>
        <w:rFonts w:ascii="Symbol" w:hAnsi="Symbol"/>
      </w:rPr>
    </w:lvl>
    <w:lvl w:ilvl="1" w:tplc="4947271A">
      <w:start w:val="1"/>
      <w:numFmt w:val="bullet"/>
      <w:lvlText w:val="o"/>
      <w:lvlJc w:val="left"/>
      <w:pPr>
        <w:ind w:left="1440" w:hanging="360"/>
      </w:pPr>
      <w:rPr>
        <w:rFonts w:ascii="Symbol" w:hAnsi="Symbol"/>
      </w:rPr>
    </w:lvl>
    <w:lvl w:ilvl="2" w:tplc="09C6FE9D">
      <w:start w:val="1"/>
      <w:numFmt w:val="bullet"/>
      <w:lvlText w:val="·"/>
      <w:lvlJc w:val="left"/>
      <w:pPr>
        <w:ind w:left="2160" w:hanging="360"/>
      </w:pPr>
      <w:rPr>
        <w:rFonts w:ascii="Symbol" w:hAnsi="Symbol"/>
      </w:rPr>
    </w:lvl>
    <w:lvl w:ilvl="3" w:tplc="5465D9FE">
      <w:start w:val="1"/>
      <w:numFmt w:val="bullet"/>
      <w:lvlText w:val="o"/>
      <w:lvlJc w:val="left"/>
      <w:pPr>
        <w:ind w:left="2880" w:hanging="360"/>
      </w:pPr>
      <w:rPr>
        <w:rFonts w:ascii="Symbol" w:hAnsi="Symbol"/>
      </w:rPr>
    </w:lvl>
    <w:lvl w:ilvl="4" w:tplc="0BF99CF2">
      <w:start w:val="1"/>
      <w:numFmt w:val="bullet"/>
      <w:lvlText w:val="·"/>
      <w:lvlJc w:val="left"/>
      <w:pPr>
        <w:ind w:left="3600" w:hanging="360"/>
      </w:pPr>
      <w:rPr>
        <w:rFonts w:ascii="Symbol" w:hAnsi="Symbol"/>
      </w:rPr>
    </w:lvl>
    <w:lvl w:ilvl="5" w:tplc="08B5CB76">
      <w:start w:val="1"/>
      <w:numFmt w:val="bullet"/>
      <w:lvlText w:val="o"/>
      <w:lvlJc w:val="left"/>
      <w:pPr>
        <w:ind w:left="4320" w:hanging="360"/>
      </w:pPr>
      <w:rPr>
        <w:rFonts w:ascii="Symbol" w:hAnsi="Symbol"/>
      </w:rPr>
    </w:lvl>
    <w:lvl w:ilvl="6" w:tplc="1AEDEFE3">
      <w:start w:val="1"/>
      <w:numFmt w:val="bullet"/>
      <w:lvlText w:val="·"/>
      <w:lvlJc w:val="left"/>
      <w:pPr>
        <w:ind w:left="5040" w:hanging="360"/>
      </w:pPr>
      <w:rPr>
        <w:rFonts w:ascii="Symbol" w:hAnsi="Symbol"/>
      </w:rPr>
    </w:lvl>
    <w:lvl w:ilvl="7" w:tplc="13B893EE">
      <w:start w:val="1"/>
      <w:numFmt w:val="bullet"/>
      <w:lvlText w:val="o"/>
      <w:lvlJc w:val="left"/>
      <w:pPr>
        <w:ind w:left="5760" w:hanging="360"/>
      </w:pPr>
      <w:rPr>
        <w:rFonts w:ascii="Symbol" w:hAnsi="Symbol"/>
      </w:rPr>
    </w:lvl>
    <w:lvl w:ilvl="8" w:tplc="72D96613">
      <w:start w:val="1"/>
      <w:numFmt w:val="bullet"/>
      <w:lvlText w:val="·"/>
      <w:lvlJc w:val="left"/>
      <w:pPr>
        <w:ind w:left="6480" w:hanging="360"/>
      </w:pPr>
      <w:rPr>
        <w:rFonts w:ascii="Symbol" w:hAnsi="Symbol"/>
      </w:rPr>
    </w:lvl>
  </w:abstractNum>
  <w:abstractNum w:abstractNumId="2">
    <w:nsid w:val="0B503EE9"/>
    <w:multiLevelType w:val="hybridMultilevel"/>
    <w:tmpl w:val="D17E4C16"/>
    <w:lvl w:ilvl="0" w:tplc="BACEF886">
      <w:start w:val="201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C506C05"/>
    <w:multiLevelType w:val="hybridMultilevel"/>
    <w:tmpl w:val="9AD44B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D31290C"/>
    <w:multiLevelType w:val="hybridMultilevel"/>
    <w:tmpl w:val="E356FD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2C45ED6"/>
    <w:multiLevelType w:val="hybridMultilevel"/>
    <w:tmpl w:val="F682754A"/>
    <w:lvl w:ilvl="0" w:tplc="F652337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5A622D3"/>
    <w:multiLevelType w:val="hybridMultilevel"/>
    <w:tmpl w:val="3AAA1F56"/>
    <w:lvl w:ilvl="0" w:tplc="1449C233">
      <w:start w:val="1"/>
      <w:numFmt w:val="decimal"/>
      <w:lvlText w:val="%1."/>
      <w:lvlJc w:val="left"/>
      <w:pPr>
        <w:ind w:left="720" w:hanging="360"/>
      </w:pPr>
    </w:lvl>
    <w:lvl w:ilvl="1" w:tplc="201BCE56">
      <w:start w:val="1"/>
      <w:numFmt w:val="decimal"/>
      <w:lvlText w:val="%2."/>
      <w:lvlJc w:val="left"/>
      <w:pPr>
        <w:ind w:left="1440" w:hanging="360"/>
      </w:pPr>
    </w:lvl>
    <w:lvl w:ilvl="2" w:tplc="2EEF7512">
      <w:start w:val="1"/>
      <w:numFmt w:val="decimal"/>
      <w:lvlText w:val="%3."/>
      <w:lvlJc w:val="left"/>
      <w:pPr>
        <w:ind w:left="2160" w:hanging="360"/>
      </w:pPr>
    </w:lvl>
    <w:lvl w:ilvl="3" w:tplc="5E90BB19">
      <w:start w:val="1"/>
      <w:numFmt w:val="decimal"/>
      <w:lvlText w:val="%4."/>
      <w:lvlJc w:val="left"/>
      <w:pPr>
        <w:ind w:left="2880" w:hanging="360"/>
      </w:pPr>
    </w:lvl>
    <w:lvl w:ilvl="4" w:tplc="64FE0EDE">
      <w:start w:val="1"/>
      <w:numFmt w:val="decimal"/>
      <w:lvlText w:val="%5."/>
      <w:lvlJc w:val="left"/>
      <w:pPr>
        <w:ind w:left="3600" w:hanging="360"/>
      </w:pPr>
    </w:lvl>
    <w:lvl w:ilvl="5" w:tplc="31F52462">
      <w:start w:val="1"/>
      <w:numFmt w:val="decimal"/>
      <w:lvlText w:val="%6."/>
      <w:lvlJc w:val="left"/>
      <w:pPr>
        <w:ind w:left="4320" w:hanging="360"/>
      </w:pPr>
    </w:lvl>
    <w:lvl w:ilvl="6" w:tplc="3D39A6BD">
      <w:start w:val="1"/>
      <w:numFmt w:val="decimal"/>
      <w:lvlText w:val="%7."/>
      <w:lvlJc w:val="left"/>
      <w:pPr>
        <w:ind w:left="5040" w:hanging="360"/>
      </w:pPr>
    </w:lvl>
    <w:lvl w:ilvl="7" w:tplc="6B999989">
      <w:start w:val="1"/>
      <w:numFmt w:val="decimal"/>
      <w:lvlText w:val="%8."/>
      <w:lvlJc w:val="left"/>
      <w:pPr>
        <w:ind w:left="5760" w:hanging="360"/>
      </w:pPr>
    </w:lvl>
    <w:lvl w:ilvl="8" w:tplc="3BF28F7F">
      <w:start w:val="1"/>
      <w:numFmt w:val="decimal"/>
      <w:lvlText w:val="%9."/>
      <w:lvlJc w:val="left"/>
      <w:pPr>
        <w:ind w:left="6480" w:hanging="360"/>
      </w:pPr>
    </w:lvl>
  </w:abstractNum>
  <w:abstractNum w:abstractNumId="7">
    <w:nsid w:val="2B627934"/>
    <w:multiLevelType w:val="hybridMultilevel"/>
    <w:tmpl w:val="517EB500"/>
    <w:lvl w:ilvl="0" w:tplc="D0EA1CD4">
      <w:start w:val="20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CEE715F"/>
    <w:multiLevelType w:val="hybridMultilevel"/>
    <w:tmpl w:val="5D864A92"/>
    <w:lvl w:ilvl="0" w:tplc="C870150A">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nsid w:val="2DA678C9"/>
    <w:multiLevelType w:val="hybridMultilevel"/>
    <w:tmpl w:val="613CA340"/>
    <w:lvl w:ilvl="0" w:tplc="FA427EDC">
      <w:start w:val="2018"/>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nsid w:val="313203A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A004807"/>
    <w:multiLevelType w:val="hybridMultilevel"/>
    <w:tmpl w:val="EBAE1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4873C22"/>
    <w:multiLevelType w:val="hybridMultilevel"/>
    <w:tmpl w:val="55947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49F4654"/>
    <w:multiLevelType w:val="hybridMultilevel"/>
    <w:tmpl w:val="7E7CE998"/>
    <w:lvl w:ilvl="0" w:tplc="095ED1D6">
      <w:numFmt w:val="bullet"/>
      <w:lvlText w:val="-"/>
      <w:lvlJc w:val="left"/>
      <w:pPr>
        <w:ind w:left="720" w:hanging="360"/>
      </w:pPr>
      <w:rPr>
        <w:rFonts w:ascii="Times New Roman" w:eastAsia="Calibri"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92C6E4C"/>
    <w:multiLevelType w:val="multilevel"/>
    <w:tmpl w:val="60DC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E33E80"/>
    <w:multiLevelType w:val="hybridMultilevel"/>
    <w:tmpl w:val="4D9E0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6FBC582B"/>
    <w:multiLevelType w:val="hybridMultilevel"/>
    <w:tmpl w:val="6150BF5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480108E"/>
    <w:multiLevelType w:val="hybridMultilevel"/>
    <w:tmpl w:val="8A06A9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775A0811"/>
    <w:multiLevelType w:val="hybridMultilevel"/>
    <w:tmpl w:val="6FCEC354"/>
    <w:lvl w:ilvl="0" w:tplc="88CA432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7C45967"/>
    <w:multiLevelType w:val="hybridMultilevel"/>
    <w:tmpl w:val="3606E6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90723C6"/>
    <w:multiLevelType w:val="hybridMultilevel"/>
    <w:tmpl w:val="5D48E94E"/>
    <w:lvl w:ilvl="0" w:tplc="3FF04744">
      <w:start w:val="1"/>
      <w:numFmt w:val="bullet"/>
      <w:lvlText w:val="·"/>
      <w:lvlJc w:val="left"/>
      <w:pPr>
        <w:ind w:left="720" w:hanging="360"/>
      </w:pPr>
      <w:rPr>
        <w:rFonts w:ascii="Symbol" w:hAnsi="Symbol"/>
      </w:rPr>
    </w:lvl>
    <w:lvl w:ilvl="1" w:tplc="6FDA30BD">
      <w:start w:val="1"/>
      <w:numFmt w:val="bullet"/>
      <w:lvlText w:val="o"/>
      <w:lvlJc w:val="left"/>
      <w:pPr>
        <w:ind w:left="1440" w:hanging="360"/>
      </w:pPr>
      <w:rPr>
        <w:rFonts w:ascii="Symbol" w:hAnsi="Symbol"/>
      </w:rPr>
    </w:lvl>
    <w:lvl w:ilvl="2" w:tplc="2B2776A4">
      <w:start w:val="1"/>
      <w:numFmt w:val="bullet"/>
      <w:lvlText w:val="·"/>
      <w:lvlJc w:val="left"/>
      <w:pPr>
        <w:ind w:left="2160" w:hanging="360"/>
      </w:pPr>
      <w:rPr>
        <w:rFonts w:ascii="Symbol" w:hAnsi="Symbol"/>
      </w:rPr>
    </w:lvl>
    <w:lvl w:ilvl="3" w:tplc="11404CA8">
      <w:start w:val="1"/>
      <w:numFmt w:val="bullet"/>
      <w:lvlText w:val="o"/>
      <w:lvlJc w:val="left"/>
      <w:pPr>
        <w:ind w:left="2880" w:hanging="360"/>
      </w:pPr>
      <w:rPr>
        <w:rFonts w:ascii="Symbol" w:hAnsi="Symbol"/>
      </w:rPr>
    </w:lvl>
    <w:lvl w:ilvl="4" w:tplc="7F570474">
      <w:start w:val="1"/>
      <w:numFmt w:val="bullet"/>
      <w:lvlText w:val="·"/>
      <w:lvlJc w:val="left"/>
      <w:pPr>
        <w:ind w:left="3600" w:hanging="360"/>
      </w:pPr>
      <w:rPr>
        <w:rFonts w:ascii="Symbol" w:hAnsi="Symbol"/>
      </w:rPr>
    </w:lvl>
    <w:lvl w:ilvl="5" w:tplc="6E429DED">
      <w:start w:val="1"/>
      <w:numFmt w:val="bullet"/>
      <w:lvlText w:val="o"/>
      <w:lvlJc w:val="left"/>
      <w:pPr>
        <w:ind w:left="4320" w:hanging="360"/>
      </w:pPr>
      <w:rPr>
        <w:rFonts w:ascii="Symbol" w:hAnsi="Symbol"/>
      </w:rPr>
    </w:lvl>
    <w:lvl w:ilvl="6" w:tplc="6EF8EC77">
      <w:start w:val="1"/>
      <w:numFmt w:val="bullet"/>
      <w:lvlText w:val="·"/>
      <w:lvlJc w:val="left"/>
      <w:pPr>
        <w:ind w:left="5040" w:hanging="360"/>
      </w:pPr>
      <w:rPr>
        <w:rFonts w:ascii="Symbol" w:hAnsi="Symbol"/>
      </w:rPr>
    </w:lvl>
    <w:lvl w:ilvl="7" w:tplc="4F1836BF">
      <w:start w:val="1"/>
      <w:numFmt w:val="bullet"/>
      <w:lvlText w:val="o"/>
      <w:lvlJc w:val="left"/>
      <w:pPr>
        <w:ind w:left="5760" w:hanging="360"/>
      </w:pPr>
      <w:rPr>
        <w:rFonts w:ascii="Symbol" w:hAnsi="Symbol"/>
      </w:rPr>
    </w:lvl>
    <w:lvl w:ilvl="8" w:tplc="767960D6">
      <w:start w:val="1"/>
      <w:numFmt w:val="bullet"/>
      <w:lvlText w:val="·"/>
      <w:lvlJc w:val="left"/>
      <w:pPr>
        <w:ind w:left="6480" w:hanging="360"/>
      </w:pPr>
      <w:rPr>
        <w:rFonts w:ascii="Symbol" w:hAnsi="Symbol"/>
      </w:rPr>
    </w:lvl>
  </w:abstractNum>
  <w:num w:numId="1">
    <w:abstractNumId w:val="5"/>
  </w:num>
  <w:num w:numId="2">
    <w:abstractNumId w:val="20"/>
  </w:num>
  <w:num w:numId="3">
    <w:abstractNumId w:val="1"/>
  </w:num>
  <w:num w:numId="4">
    <w:abstractNumId w:val="14"/>
  </w:num>
  <w:num w:numId="5">
    <w:abstractNumId w:val="17"/>
  </w:num>
  <w:num w:numId="6">
    <w:abstractNumId w:val="6"/>
  </w:num>
  <w:num w:numId="7">
    <w:abstractNumId w:val="11"/>
  </w:num>
  <w:num w:numId="8">
    <w:abstractNumId w:val="13"/>
  </w:num>
  <w:num w:numId="9">
    <w:abstractNumId w:val="18"/>
  </w:num>
  <w:num w:numId="10">
    <w:abstractNumId w:val="4"/>
  </w:num>
  <w:num w:numId="11">
    <w:abstractNumId w:val="8"/>
  </w:num>
  <w:num w:numId="12">
    <w:abstractNumId w:val="0"/>
  </w:num>
  <w:num w:numId="13">
    <w:abstractNumId w:val="12"/>
  </w:num>
  <w:num w:numId="14">
    <w:abstractNumId w:val="2"/>
  </w:num>
  <w:num w:numId="15">
    <w:abstractNumId w:val="15"/>
  </w:num>
  <w:num w:numId="16">
    <w:abstractNumId w:val="3"/>
  </w:num>
  <w:num w:numId="17">
    <w:abstractNumId w:val="9"/>
  </w:num>
  <w:num w:numId="18">
    <w:abstractNumId w:val="10"/>
  </w:num>
  <w:num w:numId="19">
    <w:abstractNumId w:val="16"/>
  </w:num>
  <w:num w:numId="20">
    <w:abstractNumId w:val="1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40"/>
    <w:rsid w:val="00036C9B"/>
    <w:rsid w:val="000463FC"/>
    <w:rsid w:val="000568E5"/>
    <w:rsid w:val="0008168D"/>
    <w:rsid w:val="000A6246"/>
    <w:rsid w:val="000D2193"/>
    <w:rsid w:val="000E0FF2"/>
    <w:rsid w:val="000F4E61"/>
    <w:rsid w:val="0010259B"/>
    <w:rsid w:val="00111005"/>
    <w:rsid w:val="00114A4B"/>
    <w:rsid w:val="001205F2"/>
    <w:rsid w:val="00120D14"/>
    <w:rsid w:val="001517F4"/>
    <w:rsid w:val="001658BC"/>
    <w:rsid w:val="00166524"/>
    <w:rsid w:val="00173C4E"/>
    <w:rsid w:val="00182EC2"/>
    <w:rsid w:val="00196D2C"/>
    <w:rsid w:val="001B180A"/>
    <w:rsid w:val="0024632F"/>
    <w:rsid w:val="00251724"/>
    <w:rsid w:val="00254E26"/>
    <w:rsid w:val="002572F3"/>
    <w:rsid w:val="00267738"/>
    <w:rsid w:val="00283951"/>
    <w:rsid w:val="002879EE"/>
    <w:rsid w:val="002907CC"/>
    <w:rsid w:val="0029554C"/>
    <w:rsid w:val="00297D77"/>
    <w:rsid w:val="002F5336"/>
    <w:rsid w:val="002F602E"/>
    <w:rsid w:val="00315CA2"/>
    <w:rsid w:val="00323F70"/>
    <w:rsid w:val="003316EF"/>
    <w:rsid w:val="00341355"/>
    <w:rsid w:val="00351711"/>
    <w:rsid w:val="00364BD5"/>
    <w:rsid w:val="00375E81"/>
    <w:rsid w:val="00380CB2"/>
    <w:rsid w:val="00382E88"/>
    <w:rsid w:val="003A4523"/>
    <w:rsid w:val="003B7DA9"/>
    <w:rsid w:val="00400088"/>
    <w:rsid w:val="00420E11"/>
    <w:rsid w:val="004952B0"/>
    <w:rsid w:val="004E56FE"/>
    <w:rsid w:val="004F0024"/>
    <w:rsid w:val="00523C46"/>
    <w:rsid w:val="00546EBA"/>
    <w:rsid w:val="00561308"/>
    <w:rsid w:val="00563C6C"/>
    <w:rsid w:val="00590243"/>
    <w:rsid w:val="005B54DC"/>
    <w:rsid w:val="005C1381"/>
    <w:rsid w:val="005C3976"/>
    <w:rsid w:val="005C44E5"/>
    <w:rsid w:val="005C6384"/>
    <w:rsid w:val="005D6A77"/>
    <w:rsid w:val="005F6ADD"/>
    <w:rsid w:val="00613C5B"/>
    <w:rsid w:val="00634DF1"/>
    <w:rsid w:val="00646CDD"/>
    <w:rsid w:val="0064710E"/>
    <w:rsid w:val="006662BC"/>
    <w:rsid w:val="00676CED"/>
    <w:rsid w:val="00687257"/>
    <w:rsid w:val="00696329"/>
    <w:rsid w:val="006A5604"/>
    <w:rsid w:val="006D0DD1"/>
    <w:rsid w:val="007061A3"/>
    <w:rsid w:val="007168A7"/>
    <w:rsid w:val="00725FE5"/>
    <w:rsid w:val="007424A4"/>
    <w:rsid w:val="00744CC1"/>
    <w:rsid w:val="007652C2"/>
    <w:rsid w:val="007668C2"/>
    <w:rsid w:val="007B5B45"/>
    <w:rsid w:val="007B5FE5"/>
    <w:rsid w:val="007C034B"/>
    <w:rsid w:val="007D319A"/>
    <w:rsid w:val="007D405D"/>
    <w:rsid w:val="007E1F06"/>
    <w:rsid w:val="00815894"/>
    <w:rsid w:val="00827E85"/>
    <w:rsid w:val="00841E83"/>
    <w:rsid w:val="0084520E"/>
    <w:rsid w:val="008618AA"/>
    <w:rsid w:val="00861D50"/>
    <w:rsid w:val="00863C8A"/>
    <w:rsid w:val="00886F69"/>
    <w:rsid w:val="008C3792"/>
    <w:rsid w:val="008F18CC"/>
    <w:rsid w:val="008F7763"/>
    <w:rsid w:val="009038E8"/>
    <w:rsid w:val="0093518F"/>
    <w:rsid w:val="00960522"/>
    <w:rsid w:val="00967F62"/>
    <w:rsid w:val="009C7F6C"/>
    <w:rsid w:val="009D4DFA"/>
    <w:rsid w:val="00A47A9A"/>
    <w:rsid w:val="00A51160"/>
    <w:rsid w:val="00A7013E"/>
    <w:rsid w:val="00A75D59"/>
    <w:rsid w:val="00A819D2"/>
    <w:rsid w:val="00A95557"/>
    <w:rsid w:val="00AF438B"/>
    <w:rsid w:val="00B249C7"/>
    <w:rsid w:val="00B57322"/>
    <w:rsid w:val="00B577B4"/>
    <w:rsid w:val="00B720FA"/>
    <w:rsid w:val="00B77813"/>
    <w:rsid w:val="00B87ADC"/>
    <w:rsid w:val="00BD76AA"/>
    <w:rsid w:val="00BE0F68"/>
    <w:rsid w:val="00BE2E6B"/>
    <w:rsid w:val="00C01740"/>
    <w:rsid w:val="00C05BBA"/>
    <w:rsid w:val="00C317EA"/>
    <w:rsid w:val="00C55B38"/>
    <w:rsid w:val="00C57A83"/>
    <w:rsid w:val="00C8168C"/>
    <w:rsid w:val="00C81C48"/>
    <w:rsid w:val="00CA70EF"/>
    <w:rsid w:val="00CC76C0"/>
    <w:rsid w:val="00CD1D3B"/>
    <w:rsid w:val="00CD3C8A"/>
    <w:rsid w:val="00CE1BB0"/>
    <w:rsid w:val="00CE2FE8"/>
    <w:rsid w:val="00D05CC5"/>
    <w:rsid w:val="00D108B2"/>
    <w:rsid w:val="00D609E6"/>
    <w:rsid w:val="00D63FE8"/>
    <w:rsid w:val="00D93099"/>
    <w:rsid w:val="00DA485E"/>
    <w:rsid w:val="00DA5388"/>
    <w:rsid w:val="00DA765A"/>
    <w:rsid w:val="00DB34D7"/>
    <w:rsid w:val="00DD0818"/>
    <w:rsid w:val="00DD0A51"/>
    <w:rsid w:val="00DD2365"/>
    <w:rsid w:val="00DD26BC"/>
    <w:rsid w:val="00DD2CB1"/>
    <w:rsid w:val="00EB073D"/>
    <w:rsid w:val="00EE7170"/>
    <w:rsid w:val="00F1175E"/>
    <w:rsid w:val="00F125D8"/>
    <w:rsid w:val="00F14480"/>
    <w:rsid w:val="00F725F9"/>
    <w:rsid w:val="00F80FD8"/>
    <w:rsid w:val="00F90228"/>
    <w:rsid w:val="00F92876"/>
    <w:rsid w:val="00F96563"/>
    <w:rsid w:val="00FB6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F69"/>
    <w:rPr>
      <w:rFonts w:ascii="Times New Roman" w:hAnsi="Times New Roman"/>
      <w:sz w:val="24"/>
    </w:rPr>
  </w:style>
  <w:style w:type="paragraph" w:styleId="Antrat1">
    <w:name w:val="heading 1"/>
    <w:basedOn w:val="prastasis"/>
    <w:link w:val="Antrat1Diagrama"/>
    <w:uiPriority w:val="9"/>
    <w:qFormat/>
    <w:rsid w:val="00C05BBA"/>
    <w:pPr>
      <w:spacing w:before="100" w:beforeAutospacing="1" w:after="100" w:afterAutospacing="1" w:line="240" w:lineRule="auto"/>
      <w:outlineLvl w:val="0"/>
    </w:pPr>
    <w:rPr>
      <w:rFonts w:eastAsia="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1740"/>
    <w:rPr>
      <w:color w:val="0000FF" w:themeColor="hyperlink"/>
      <w:u w:val="single"/>
    </w:rPr>
  </w:style>
  <w:style w:type="paragraph" w:customStyle="1" w:styleId="tekstas">
    <w:name w:val="tekstas"/>
    <w:basedOn w:val="prastasis"/>
    <w:rsid w:val="00546EBA"/>
    <w:pPr>
      <w:spacing w:after="0" w:line="240" w:lineRule="auto"/>
      <w:ind w:firstLine="1298"/>
    </w:pPr>
    <w:rPr>
      <w:rFonts w:eastAsia="Times New Roman" w:cs="Times New Roman"/>
      <w:szCs w:val="20"/>
    </w:rPr>
  </w:style>
  <w:style w:type="character" w:styleId="Komentaronuoroda">
    <w:name w:val="annotation reference"/>
    <w:basedOn w:val="Numatytasispastraiposriftas"/>
    <w:uiPriority w:val="99"/>
    <w:semiHidden/>
    <w:unhideWhenUsed/>
    <w:rsid w:val="00CE2FE8"/>
    <w:rPr>
      <w:sz w:val="16"/>
      <w:szCs w:val="16"/>
    </w:rPr>
  </w:style>
  <w:style w:type="paragraph" w:styleId="Komentarotekstas">
    <w:name w:val="annotation text"/>
    <w:basedOn w:val="prastasis"/>
    <w:link w:val="KomentarotekstasDiagrama"/>
    <w:uiPriority w:val="99"/>
    <w:semiHidden/>
    <w:unhideWhenUsed/>
    <w:rsid w:val="00CE2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2FE8"/>
    <w:rPr>
      <w:rFonts w:ascii="Times New Roman" w:hAnsi="Times New Roman"/>
      <w:sz w:val="20"/>
      <w:szCs w:val="20"/>
    </w:rPr>
  </w:style>
  <w:style w:type="paragraph" w:styleId="Debesliotekstas">
    <w:name w:val="Balloon Text"/>
    <w:basedOn w:val="prastasis"/>
    <w:link w:val="DebesliotekstasDiagrama"/>
    <w:uiPriority w:val="99"/>
    <w:semiHidden/>
    <w:unhideWhenUsed/>
    <w:rsid w:val="00CE2F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2FE8"/>
    <w:rPr>
      <w:rFonts w:ascii="Tahoma" w:hAnsi="Tahoma" w:cs="Tahoma"/>
      <w:sz w:val="16"/>
      <w:szCs w:val="16"/>
    </w:rPr>
  </w:style>
  <w:style w:type="paragraph" w:styleId="Dokumentoinaostekstas">
    <w:name w:val="endnote text"/>
    <w:basedOn w:val="prastasis"/>
    <w:link w:val="DokumentoinaostekstasDiagrama"/>
    <w:uiPriority w:val="99"/>
    <w:semiHidden/>
    <w:unhideWhenUsed/>
    <w:rsid w:val="00CA70E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70EF"/>
    <w:rPr>
      <w:rFonts w:ascii="Times New Roman" w:hAnsi="Times New Roman"/>
      <w:sz w:val="20"/>
      <w:szCs w:val="20"/>
    </w:rPr>
  </w:style>
  <w:style w:type="character" w:styleId="Dokumentoinaosnumeris">
    <w:name w:val="endnote reference"/>
    <w:basedOn w:val="Numatytasispastraiposriftas"/>
    <w:uiPriority w:val="99"/>
    <w:semiHidden/>
    <w:unhideWhenUsed/>
    <w:rsid w:val="00CA70EF"/>
    <w:rPr>
      <w:vertAlign w:val="superscript"/>
    </w:rPr>
  </w:style>
  <w:style w:type="paragraph" w:styleId="prastasistinklapis">
    <w:name w:val="Normal (Web)"/>
    <w:basedOn w:val="prastasis"/>
    <w:uiPriority w:val="99"/>
    <w:unhideWhenUsed/>
    <w:rsid w:val="00523C46"/>
    <w:pPr>
      <w:spacing w:after="0" w:line="240" w:lineRule="auto"/>
    </w:pPr>
    <w:rPr>
      <w:rFonts w:eastAsia="Times New Roman" w:cs="Times New Roman"/>
      <w:szCs w:val="24"/>
      <w:lang w:eastAsia="lt-LT"/>
    </w:rPr>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84520E"/>
    <w:pPr>
      <w:ind w:left="720"/>
      <w:contextualSpacing/>
    </w:pPr>
    <w:rPr>
      <w:rFonts w:asciiTheme="minorHAnsi" w:hAnsiTheme="minorHAnsi"/>
      <w:sz w:val="22"/>
    </w:rPr>
  </w:style>
  <w:style w:type="character" w:customStyle="1" w:styleId="Antrat1Diagrama">
    <w:name w:val="Antraštė 1 Diagrama"/>
    <w:basedOn w:val="Numatytasispastraiposriftas"/>
    <w:link w:val="Antrat1"/>
    <w:uiPriority w:val="9"/>
    <w:rsid w:val="00C05BBA"/>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315C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5CA2"/>
    <w:rPr>
      <w:rFonts w:ascii="Times New Roman" w:hAnsi="Times New Roman"/>
      <w:sz w:val="24"/>
    </w:rPr>
  </w:style>
  <w:style w:type="paragraph" w:styleId="Porat">
    <w:name w:val="footer"/>
    <w:basedOn w:val="prastasis"/>
    <w:link w:val="PoratDiagrama"/>
    <w:uiPriority w:val="99"/>
    <w:unhideWhenUsed/>
    <w:rsid w:val="00315C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5CA2"/>
    <w:rPr>
      <w:rFonts w:ascii="Times New Roman" w:hAnsi="Times New Roman"/>
      <w:sz w:val="24"/>
    </w:rPr>
  </w:style>
  <w:style w:type="character" w:customStyle="1" w:styleId="tlid-translation">
    <w:name w:val="tlid-translation"/>
    <w:basedOn w:val="Numatytasispastraiposriftas"/>
    <w:rsid w:val="00861D50"/>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5C3976"/>
  </w:style>
  <w:style w:type="paragraph" w:styleId="Puslapioinaostekstas">
    <w:name w:val="footnote text"/>
    <w:basedOn w:val="prastasis"/>
    <w:link w:val="PuslapioinaostekstasDiagrama"/>
    <w:semiHidden/>
    <w:unhideWhenUsed/>
    <w:rsid w:val="00166524"/>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rsid w:val="00166524"/>
    <w:rPr>
      <w:sz w:val="20"/>
      <w:szCs w:val="20"/>
    </w:rPr>
  </w:style>
  <w:style w:type="character" w:styleId="Puslapioinaosnuoroda">
    <w:name w:val="footnote reference"/>
    <w:basedOn w:val="Numatytasispastraiposriftas"/>
    <w:semiHidden/>
    <w:unhideWhenUsed/>
    <w:rsid w:val="00166524"/>
    <w:rPr>
      <w:vertAlign w:val="superscript"/>
    </w:rPr>
  </w:style>
  <w:style w:type="paragraph" w:customStyle="1" w:styleId="PointManual">
    <w:name w:val="Point Manual"/>
    <w:basedOn w:val="prastasis"/>
    <w:rsid w:val="008618AA"/>
    <w:pPr>
      <w:spacing w:after="0" w:line="240" w:lineRule="auto"/>
      <w:ind w:left="567" w:hanging="567"/>
    </w:pPr>
    <w:rPr>
      <w:rFonts w:cs="Times New Roman"/>
    </w:rPr>
  </w:style>
  <w:style w:type="paragraph" w:customStyle="1" w:styleId="Text1">
    <w:name w:val="Text 1"/>
    <w:basedOn w:val="prastasis"/>
    <w:rsid w:val="00827E85"/>
    <w:pPr>
      <w:spacing w:after="0" w:line="240" w:lineRule="auto"/>
      <w:ind w:left="567"/>
    </w:pPr>
    <w:rPr>
      <w:rFonts w:eastAsia="Calibri" w:cs="Times New Roman"/>
      <w:lang w:val="en-GB"/>
    </w:rPr>
  </w:style>
  <w:style w:type="character" w:styleId="Grietas">
    <w:name w:val="Strong"/>
    <w:basedOn w:val="Numatytasispastraiposriftas"/>
    <w:uiPriority w:val="22"/>
    <w:qFormat/>
    <w:rsid w:val="00827E85"/>
    <w:rPr>
      <w:b/>
      <w:bCs/>
    </w:rPr>
  </w:style>
  <w:style w:type="paragraph" w:customStyle="1" w:styleId="Default">
    <w:name w:val="Default"/>
    <w:rsid w:val="00C81C4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F69"/>
    <w:rPr>
      <w:rFonts w:ascii="Times New Roman" w:hAnsi="Times New Roman"/>
      <w:sz w:val="24"/>
    </w:rPr>
  </w:style>
  <w:style w:type="paragraph" w:styleId="Antrat1">
    <w:name w:val="heading 1"/>
    <w:basedOn w:val="prastasis"/>
    <w:link w:val="Antrat1Diagrama"/>
    <w:uiPriority w:val="9"/>
    <w:qFormat/>
    <w:rsid w:val="00C05BBA"/>
    <w:pPr>
      <w:spacing w:before="100" w:beforeAutospacing="1" w:after="100" w:afterAutospacing="1" w:line="240" w:lineRule="auto"/>
      <w:outlineLvl w:val="0"/>
    </w:pPr>
    <w:rPr>
      <w:rFonts w:eastAsia="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1740"/>
    <w:rPr>
      <w:color w:val="0000FF" w:themeColor="hyperlink"/>
      <w:u w:val="single"/>
    </w:rPr>
  </w:style>
  <w:style w:type="paragraph" w:customStyle="1" w:styleId="tekstas">
    <w:name w:val="tekstas"/>
    <w:basedOn w:val="prastasis"/>
    <w:rsid w:val="00546EBA"/>
    <w:pPr>
      <w:spacing w:after="0" w:line="240" w:lineRule="auto"/>
      <w:ind w:firstLine="1298"/>
    </w:pPr>
    <w:rPr>
      <w:rFonts w:eastAsia="Times New Roman" w:cs="Times New Roman"/>
      <w:szCs w:val="20"/>
    </w:rPr>
  </w:style>
  <w:style w:type="character" w:styleId="Komentaronuoroda">
    <w:name w:val="annotation reference"/>
    <w:basedOn w:val="Numatytasispastraiposriftas"/>
    <w:uiPriority w:val="99"/>
    <w:semiHidden/>
    <w:unhideWhenUsed/>
    <w:rsid w:val="00CE2FE8"/>
    <w:rPr>
      <w:sz w:val="16"/>
      <w:szCs w:val="16"/>
    </w:rPr>
  </w:style>
  <w:style w:type="paragraph" w:styleId="Komentarotekstas">
    <w:name w:val="annotation text"/>
    <w:basedOn w:val="prastasis"/>
    <w:link w:val="KomentarotekstasDiagrama"/>
    <w:uiPriority w:val="99"/>
    <w:semiHidden/>
    <w:unhideWhenUsed/>
    <w:rsid w:val="00CE2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2FE8"/>
    <w:rPr>
      <w:rFonts w:ascii="Times New Roman" w:hAnsi="Times New Roman"/>
      <w:sz w:val="20"/>
      <w:szCs w:val="20"/>
    </w:rPr>
  </w:style>
  <w:style w:type="paragraph" w:styleId="Debesliotekstas">
    <w:name w:val="Balloon Text"/>
    <w:basedOn w:val="prastasis"/>
    <w:link w:val="DebesliotekstasDiagrama"/>
    <w:uiPriority w:val="99"/>
    <w:semiHidden/>
    <w:unhideWhenUsed/>
    <w:rsid w:val="00CE2F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2FE8"/>
    <w:rPr>
      <w:rFonts w:ascii="Tahoma" w:hAnsi="Tahoma" w:cs="Tahoma"/>
      <w:sz w:val="16"/>
      <w:szCs w:val="16"/>
    </w:rPr>
  </w:style>
  <w:style w:type="paragraph" w:styleId="Dokumentoinaostekstas">
    <w:name w:val="endnote text"/>
    <w:basedOn w:val="prastasis"/>
    <w:link w:val="DokumentoinaostekstasDiagrama"/>
    <w:uiPriority w:val="99"/>
    <w:semiHidden/>
    <w:unhideWhenUsed/>
    <w:rsid w:val="00CA70E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70EF"/>
    <w:rPr>
      <w:rFonts w:ascii="Times New Roman" w:hAnsi="Times New Roman"/>
      <w:sz w:val="20"/>
      <w:szCs w:val="20"/>
    </w:rPr>
  </w:style>
  <w:style w:type="character" w:styleId="Dokumentoinaosnumeris">
    <w:name w:val="endnote reference"/>
    <w:basedOn w:val="Numatytasispastraiposriftas"/>
    <w:uiPriority w:val="99"/>
    <w:semiHidden/>
    <w:unhideWhenUsed/>
    <w:rsid w:val="00CA70EF"/>
    <w:rPr>
      <w:vertAlign w:val="superscript"/>
    </w:rPr>
  </w:style>
  <w:style w:type="paragraph" w:styleId="prastasistinklapis">
    <w:name w:val="Normal (Web)"/>
    <w:basedOn w:val="prastasis"/>
    <w:uiPriority w:val="99"/>
    <w:unhideWhenUsed/>
    <w:rsid w:val="00523C46"/>
    <w:pPr>
      <w:spacing w:after="0" w:line="240" w:lineRule="auto"/>
    </w:pPr>
    <w:rPr>
      <w:rFonts w:eastAsia="Times New Roman" w:cs="Times New Roman"/>
      <w:szCs w:val="24"/>
      <w:lang w:eastAsia="lt-LT"/>
    </w:rPr>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84520E"/>
    <w:pPr>
      <w:ind w:left="720"/>
      <w:contextualSpacing/>
    </w:pPr>
    <w:rPr>
      <w:rFonts w:asciiTheme="minorHAnsi" w:hAnsiTheme="minorHAnsi"/>
      <w:sz w:val="22"/>
    </w:rPr>
  </w:style>
  <w:style w:type="character" w:customStyle="1" w:styleId="Antrat1Diagrama">
    <w:name w:val="Antraštė 1 Diagrama"/>
    <w:basedOn w:val="Numatytasispastraiposriftas"/>
    <w:link w:val="Antrat1"/>
    <w:uiPriority w:val="9"/>
    <w:rsid w:val="00C05BBA"/>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315C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5CA2"/>
    <w:rPr>
      <w:rFonts w:ascii="Times New Roman" w:hAnsi="Times New Roman"/>
      <w:sz w:val="24"/>
    </w:rPr>
  </w:style>
  <w:style w:type="paragraph" w:styleId="Porat">
    <w:name w:val="footer"/>
    <w:basedOn w:val="prastasis"/>
    <w:link w:val="PoratDiagrama"/>
    <w:uiPriority w:val="99"/>
    <w:unhideWhenUsed/>
    <w:rsid w:val="00315C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5CA2"/>
    <w:rPr>
      <w:rFonts w:ascii="Times New Roman" w:hAnsi="Times New Roman"/>
      <w:sz w:val="24"/>
    </w:rPr>
  </w:style>
  <w:style w:type="character" w:customStyle="1" w:styleId="tlid-translation">
    <w:name w:val="tlid-translation"/>
    <w:basedOn w:val="Numatytasispastraiposriftas"/>
    <w:rsid w:val="00861D50"/>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5C3976"/>
  </w:style>
  <w:style w:type="paragraph" w:styleId="Puslapioinaostekstas">
    <w:name w:val="footnote text"/>
    <w:basedOn w:val="prastasis"/>
    <w:link w:val="PuslapioinaostekstasDiagrama"/>
    <w:semiHidden/>
    <w:unhideWhenUsed/>
    <w:rsid w:val="00166524"/>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rsid w:val="00166524"/>
    <w:rPr>
      <w:sz w:val="20"/>
      <w:szCs w:val="20"/>
    </w:rPr>
  </w:style>
  <w:style w:type="character" w:styleId="Puslapioinaosnuoroda">
    <w:name w:val="footnote reference"/>
    <w:basedOn w:val="Numatytasispastraiposriftas"/>
    <w:semiHidden/>
    <w:unhideWhenUsed/>
    <w:rsid w:val="00166524"/>
    <w:rPr>
      <w:vertAlign w:val="superscript"/>
    </w:rPr>
  </w:style>
  <w:style w:type="paragraph" w:customStyle="1" w:styleId="PointManual">
    <w:name w:val="Point Manual"/>
    <w:basedOn w:val="prastasis"/>
    <w:rsid w:val="008618AA"/>
    <w:pPr>
      <w:spacing w:after="0" w:line="240" w:lineRule="auto"/>
      <w:ind w:left="567" w:hanging="567"/>
    </w:pPr>
    <w:rPr>
      <w:rFonts w:cs="Times New Roman"/>
    </w:rPr>
  </w:style>
  <w:style w:type="paragraph" w:customStyle="1" w:styleId="Text1">
    <w:name w:val="Text 1"/>
    <w:basedOn w:val="prastasis"/>
    <w:rsid w:val="00827E85"/>
    <w:pPr>
      <w:spacing w:after="0" w:line="240" w:lineRule="auto"/>
      <w:ind w:left="567"/>
    </w:pPr>
    <w:rPr>
      <w:rFonts w:eastAsia="Calibri" w:cs="Times New Roman"/>
      <w:lang w:val="en-GB"/>
    </w:rPr>
  </w:style>
  <w:style w:type="character" w:styleId="Grietas">
    <w:name w:val="Strong"/>
    <w:basedOn w:val="Numatytasispastraiposriftas"/>
    <w:uiPriority w:val="22"/>
    <w:qFormat/>
    <w:rsid w:val="00827E85"/>
    <w:rPr>
      <w:b/>
      <w:bCs/>
    </w:rPr>
  </w:style>
  <w:style w:type="paragraph" w:customStyle="1" w:styleId="Default">
    <w:name w:val="Default"/>
    <w:rsid w:val="00C81C4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20838">
      <w:bodyDiv w:val="1"/>
      <w:marLeft w:val="0"/>
      <w:marRight w:val="0"/>
      <w:marTop w:val="0"/>
      <w:marBottom w:val="0"/>
      <w:divBdr>
        <w:top w:val="none" w:sz="0" w:space="0" w:color="auto"/>
        <w:left w:val="none" w:sz="0" w:space="0" w:color="auto"/>
        <w:bottom w:val="none" w:sz="0" w:space="0" w:color="auto"/>
        <w:right w:val="none" w:sz="0" w:space="0" w:color="auto"/>
      </w:divBdr>
      <w:divsChild>
        <w:div w:id="1523015732">
          <w:marLeft w:val="0"/>
          <w:marRight w:val="0"/>
          <w:marTop w:val="0"/>
          <w:marBottom w:val="0"/>
          <w:divBdr>
            <w:top w:val="none" w:sz="0" w:space="0" w:color="auto"/>
            <w:left w:val="none" w:sz="0" w:space="0" w:color="auto"/>
            <w:bottom w:val="none" w:sz="0" w:space="0" w:color="auto"/>
            <w:right w:val="none" w:sz="0" w:space="0" w:color="auto"/>
          </w:divBdr>
        </w:div>
      </w:divsChild>
    </w:div>
    <w:div w:id="1294872405">
      <w:bodyDiv w:val="1"/>
      <w:marLeft w:val="0"/>
      <w:marRight w:val="0"/>
      <w:marTop w:val="0"/>
      <w:marBottom w:val="0"/>
      <w:divBdr>
        <w:top w:val="none" w:sz="0" w:space="0" w:color="auto"/>
        <w:left w:val="none" w:sz="0" w:space="0" w:color="auto"/>
        <w:bottom w:val="none" w:sz="0" w:space="0" w:color="auto"/>
        <w:right w:val="none" w:sz="0" w:space="0" w:color="auto"/>
      </w:divBdr>
    </w:div>
    <w:div w:id="2071800983">
      <w:bodyDiv w:val="1"/>
      <w:marLeft w:val="0"/>
      <w:marRight w:val="0"/>
      <w:marTop w:val="0"/>
      <w:marBottom w:val="0"/>
      <w:divBdr>
        <w:top w:val="none" w:sz="0" w:space="0" w:color="auto"/>
        <w:left w:val="none" w:sz="0" w:space="0" w:color="auto"/>
        <w:bottom w:val="none" w:sz="0" w:space="0" w:color="auto"/>
        <w:right w:val="none" w:sz="0" w:space="0" w:color="auto"/>
      </w:divBdr>
      <w:divsChild>
        <w:div w:id="407508289">
          <w:marLeft w:val="0"/>
          <w:marRight w:val="0"/>
          <w:marTop w:val="0"/>
          <w:marBottom w:val="0"/>
          <w:divBdr>
            <w:top w:val="none" w:sz="0" w:space="0" w:color="auto"/>
            <w:left w:val="none" w:sz="0" w:space="0" w:color="auto"/>
            <w:bottom w:val="none" w:sz="0" w:space="0" w:color="auto"/>
            <w:right w:val="none" w:sz="0" w:space="0" w:color="auto"/>
          </w:divBdr>
          <w:divsChild>
            <w:div w:id="490827250">
              <w:marLeft w:val="0"/>
              <w:marRight w:val="0"/>
              <w:marTop w:val="0"/>
              <w:marBottom w:val="0"/>
              <w:divBdr>
                <w:top w:val="none" w:sz="0" w:space="0" w:color="auto"/>
                <w:left w:val="none" w:sz="0" w:space="0" w:color="auto"/>
                <w:bottom w:val="none" w:sz="0" w:space="0" w:color="auto"/>
                <w:right w:val="none" w:sz="0" w:space="0" w:color="auto"/>
              </w:divBdr>
              <w:divsChild>
                <w:div w:id="1926068837">
                  <w:marLeft w:val="0"/>
                  <w:marRight w:val="0"/>
                  <w:marTop w:val="0"/>
                  <w:marBottom w:val="0"/>
                  <w:divBdr>
                    <w:top w:val="none" w:sz="0" w:space="0" w:color="auto"/>
                    <w:left w:val="none" w:sz="0" w:space="0" w:color="auto"/>
                    <w:bottom w:val="none" w:sz="0" w:space="0" w:color="auto"/>
                    <w:right w:val="none" w:sz="0" w:space="0" w:color="auto"/>
                  </w:divBdr>
                  <w:divsChild>
                    <w:div w:id="895094491">
                      <w:marLeft w:val="0"/>
                      <w:marRight w:val="0"/>
                      <w:marTop w:val="0"/>
                      <w:marBottom w:val="0"/>
                      <w:divBdr>
                        <w:top w:val="none" w:sz="0" w:space="0" w:color="auto"/>
                        <w:left w:val="none" w:sz="0" w:space="0" w:color="auto"/>
                        <w:bottom w:val="none" w:sz="0" w:space="0" w:color="auto"/>
                        <w:right w:val="none" w:sz="0" w:space="0" w:color="auto"/>
                      </w:divBdr>
                      <w:divsChild>
                        <w:div w:id="1682272695">
                          <w:marLeft w:val="0"/>
                          <w:marRight w:val="0"/>
                          <w:marTop w:val="0"/>
                          <w:marBottom w:val="0"/>
                          <w:divBdr>
                            <w:top w:val="none" w:sz="0" w:space="0" w:color="auto"/>
                            <w:left w:val="none" w:sz="0" w:space="0" w:color="auto"/>
                            <w:bottom w:val="none" w:sz="0" w:space="0" w:color="auto"/>
                            <w:right w:val="none" w:sz="0" w:space="0" w:color="auto"/>
                          </w:divBdr>
                        </w:div>
                        <w:div w:id="1574850277">
                          <w:marLeft w:val="0"/>
                          <w:marRight w:val="0"/>
                          <w:marTop w:val="0"/>
                          <w:marBottom w:val="0"/>
                          <w:divBdr>
                            <w:top w:val="none" w:sz="0" w:space="0" w:color="auto"/>
                            <w:left w:val="none" w:sz="0" w:space="0" w:color="auto"/>
                            <w:bottom w:val="none" w:sz="0" w:space="0" w:color="auto"/>
                            <w:right w:val="none" w:sz="0" w:space="0" w:color="auto"/>
                          </w:divBdr>
                          <w:divsChild>
                            <w:div w:id="553197089">
                              <w:marLeft w:val="0"/>
                              <w:marRight w:val="300"/>
                              <w:marTop w:val="180"/>
                              <w:marBottom w:val="0"/>
                              <w:divBdr>
                                <w:top w:val="none" w:sz="0" w:space="0" w:color="auto"/>
                                <w:left w:val="none" w:sz="0" w:space="0" w:color="auto"/>
                                <w:bottom w:val="none" w:sz="0" w:space="0" w:color="auto"/>
                                <w:right w:val="none" w:sz="0" w:space="0" w:color="auto"/>
                              </w:divBdr>
                              <w:divsChild>
                                <w:div w:id="5283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074713">
          <w:marLeft w:val="0"/>
          <w:marRight w:val="0"/>
          <w:marTop w:val="0"/>
          <w:marBottom w:val="0"/>
          <w:divBdr>
            <w:top w:val="none" w:sz="0" w:space="0" w:color="auto"/>
            <w:left w:val="none" w:sz="0" w:space="0" w:color="auto"/>
            <w:bottom w:val="none" w:sz="0" w:space="0" w:color="auto"/>
            <w:right w:val="none" w:sz="0" w:space="0" w:color="auto"/>
          </w:divBdr>
          <w:divsChild>
            <w:div w:id="1496073497">
              <w:marLeft w:val="0"/>
              <w:marRight w:val="0"/>
              <w:marTop w:val="0"/>
              <w:marBottom w:val="0"/>
              <w:divBdr>
                <w:top w:val="none" w:sz="0" w:space="0" w:color="auto"/>
                <w:left w:val="none" w:sz="0" w:space="0" w:color="auto"/>
                <w:bottom w:val="none" w:sz="0" w:space="0" w:color="auto"/>
                <w:right w:val="none" w:sz="0" w:space="0" w:color="auto"/>
              </w:divBdr>
              <w:divsChild>
                <w:div w:id="1190878957">
                  <w:marLeft w:val="0"/>
                  <w:marRight w:val="0"/>
                  <w:marTop w:val="0"/>
                  <w:marBottom w:val="0"/>
                  <w:divBdr>
                    <w:top w:val="none" w:sz="0" w:space="0" w:color="auto"/>
                    <w:left w:val="none" w:sz="0" w:space="0" w:color="auto"/>
                    <w:bottom w:val="none" w:sz="0" w:space="0" w:color="auto"/>
                    <w:right w:val="none" w:sz="0" w:space="0" w:color="auto"/>
                  </w:divBdr>
                  <w:divsChild>
                    <w:div w:id="769012965">
                      <w:marLeft w:val="0"/>
                      <w:marRight w:val="0"/>
                      <w:marTop w:val="0"/>
                      <w:marBottom w:val="0"/>
                      <w:divBdr>
                        <w:top w:val="none" w:sz="0" w:space="0" w:color="auto"/>
                        <w:left w:val="none" w:sz="0" w:space="0" w:color="auto"/>
                        <w:bottom w:val="none" w:sz="0" w:space="0" w:color="auto"/>
                        <w:right w:val="none" w:sz="0" w:space="0" w:color="auto"/>
                      </w:divBdr>
                      <w:divsChild>
                        <w:div w:id="1512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CEAB0-0495-4826-8E70-CBF53776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5</Pages>
  <Words>9122</Words>
  <Characters>5201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Vysockaja-Mockienė</dc:creator>
  <cp:lastModifiedBy>Audronė Pavlovičienė</cp:lastModifiedBy>
  <cp:revision>33</cp:revision>
  <cp:lastPrinted>2019-05-07T05:18:00Z</cp:lastPrinted>
  <dcterms:created xsi:type="dcterms:W3CDTF">2019-02-04T05:14:00Z</dcterms:created>
  <dcterms:modified xsi:type="dcterms:W3CDTF">2019-07-01T11:54:00Z</dcterms:modified>
</cp:coreProperties>
</file>