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EC6B9" w14:textId="1871669D" w:rsidR="007501E0" w:rsidRDefault="007501E0" w:rsidP="002E035C">
      <w:pPr>
        <w:pStyle w:val="Pagrindinistekstas"/>
        <w:spacing w:after="0"/>
        <w:ind w:firstLine="567"/>
        <w:jc w:val="center"/>
        <w:rPr>
          <w:b/>
          <w:lang w:val="lt-LT"/>
        </w:rPr>
      </w:pPr>
      <w:bookmarkStart w:id="0" w:name="_GoBack"/>
      <w:bookmarkEnd w:id="0"/>
      <w:r w:rsidRPr="007501E0">
        <w:rPr>
          <w:b/>
          <w:lang w:val="lt-LT"/>
        </w:rPr>
        <w:t>LIETUVOS RESPUBLIKOS VYRIAUSYBĖS NUTARIM</w:t>
      </w:r>
      <w:r w:rsidR="00700E0D">
        <w:rPr>
          <w:b/>
          <w:lang w:val="lt-LT"/>
        </w:rPr>
        <w:t>Ų</w:t>
      </w:r>
      <w:r w:rsidRPr="007501E0">
        <w:rPr>
          <w:b/>
          <w:lang w:val="lt-LT"/>
        </w:rPr>
        <w:t xml:space="preserve"> </w:t>
      </w:r>
    </w:p>
    <w:p w14:paraId="56B09BC1" w14:textId="478143AA" w:rsidR="009F7CC6" w:rsidRDefault="00A513C3" w:rsidP="002E035C">
      <w:pPr>
        <w:pStyle w:val="Pagrindinistekstas"/>
        <w:spacing w:after="0"/>
        <w:ind w:firstLine="567"/>
        <w:jc w:val="center"/>
        <w:rPr>
          <w:b/>
          <w:lang w:val="lt-LT"/>
        </w:rPr>
      </w:pPr>
      <w:r w:rsidRPr="00A513C3">
        <w:rPr>
          <w:b/>
          <w:lang w:val="lt-LT"/>
        </w:rPr>
        <w:t>„</w:t>
      </w:r>
      <w:r w:rsidRPr="00A513C3">
        <w:rPr>
          <w:b/>
        </w:rPr>
        <w:t>DĖL LIETUVOS RESPUBLIKOS VYRIAUSYBĖS 20</w:t>
      </w:r>
      <w:r w:rsidR="00BA1737">
        <w:rPr>
          <w:b/>
          <w:lang w:val="lt-LT"/>
        </w:rPr>
        <w:t>10</w:t>
      </w:r>
      <w:r w:rsidRPr="00A513C3">
        <w:rPr>
          <w:b/>
        </w:rPr>
        <w:t xml:space="preserve"> M. </w:t>
      </w:r>
      <w:r w:rsidR="00192FB0">
        <w:rPr>
          <w:b/>
          <w:lang w:val="lt-LT"/>
        </w:rPr>
        <w:t>BALANDŽIO 14</w:t>
      </w:r>
      <w:r w:rsidRPr="00A513C3">
        <w:rPr>
          <w:b/>
        </w:rPr>
        <w:t xml:space="preserve"> D. NUTARIMO  NR. </w:t>
      </w:r>
      <w:r w:rsidR="00192FB0">
        <w:rPr>
          <w:b/>
          <w:lang w:val="lt-LT"/>
        </w:rPr>
        <w:t>418</w:t>
      </w:r>
      <w:r w:rsidRPr="00A513C3">
        <w:rPr>
          <w:b/>
        </w:rPr>
        <w:t xml:space="preserve"> „DĖL </w:t>
      </w:r>
      <w:r w:rsidR="00192FB0">
        <w:rPr>
          <w:b/>
          <w:lang w:val="lt-LT"/>
        </w:rPr>
        <w:t>ŠIAULIŲ VIEŠOJO LOGISTIKOS CENTRO PROJEKTO PRIPAŽINIMO VALSTYBEI SVARBIU EKONOMINIU PROJEKTU</w:t>
      </w:r>
      <w:r w:rsidR="00C71693">
        <w:rPr>
          <w:b/>
          <w:lang w:val="lt-LT"/>
        </w:rPr>
        <w:t xml:space="preserve"> IR DĖL LIETUVOS RESPUBLIKOS VYRIAUSYBĖS 2003 M. GRUODŽIO 9 D. NUTARIMO NR. 1568 </w:t>
      </w:r>
      <w:r w:rsidR="00A5309E">
        <w:rPr>
          <w:b/>
          <w:lang w:val="lt-LT"/>
        </w:rPr>
        <w:t>„</w:t>
      </w:r>
      <w:r w:rsidR="00C71693">
        <w:rPr>
          <w:b/>
          <w:lang w:val="lt-LT"/>
        </w:rPr>
        <w:t>DĖL LIETUVOS RESPUBLIKOS TERITORIJOS BENDROJO PLANO ĮGYVENDINIMO PRIEMONIŲ PLANO PATVIRTINIMO“</w:t>
      </w:r>
      <w:r w:rsidRPr="00A513C3">
        <w:rPr>
          <w:b/>
          <w:lang w:val="lt-LT"/>
        </w:rPr>
        <w:t xml:space="preserve"> </w:t>
      </w:r>
      <w:r w:rsidR="00463372">
        <w:rPr>
          <w:b/>
          <w:lang w:val="lt-LT"/>
        </w:rPr>
        <w:t>PRIPAŽINIMO NETEKUSIU GALIOS</w:t>
      </w:r>
      <w:r w:rsidR="00953A8E">
        <w:rPr>
          <w:b/>
          <w:lang w:val="lt-LT"/>
        </w:rPr>
        <w:t>“</w:t>
      </w:r>
      <w:r w:rsidR="009F7CC6">
        <w:rPr>
          <w:b/>
          <w:lang w:val="lt-LT"/>
        </w:rPr>
        <w:t>,</w:t>
      </w:r>
      <w:r w:rsidR="00A5309E">
        <w:rPr>
          <w:b/>
          <w:lang w:val="lt-LT"/>
        </w:rPr>
        <w:t xml:space="preserve"> </w:t>
      </w:r>
      <w:r w:rsidR="00463372">
        <w:rPr>
          <w:b/>
          <w:lang w:val="lt-LT"/>
        </w:rPr>
        <w:t>„DĖL LIETUVOS RESPUBLIKOS VYRIAUSYBĖS 2008 M. VASARIO 6 D. NUTARIMO NR. 110</w:t>
      </w:r>
      <w:r w:rsidR="009F7CC6">
        <w:rPr>
          <w:b/>
          <w:lang w:val="lt-LT"/>
        </w:rPr>
        <w:t xml:space="preserve"> „DĖL PRIPAŽINIMO VALSTYBEI SVARBIAIS EKONOMINIAIS PROJEKTAIS“ PAKEITIMO“,</w:t>
      </w:r>
      <w:r w:rsidR="00A5309E">
        <w:rPr>
          <w:b/>
          <w:lang w:val="lt-LT"/>
        </w:rPr>
        <w:t xml:space="preserve"> </w:t>
      </w:r>
      <w:r w:rsidR="009F7CC6">
        <w:rPr>
          <w:b/>
          <w:lang w:val="lt-LT"/>
        </w:rPr>
        <w:t>„DĖL LIETUVOS RESPUBLIKOS VYRIAUSYBĖS 2011 M. KOVO 2 D. NUTARIMO NR. 260 „DĖL KAUNO VIEŠOJO LOGISTIKOS CENTRO PROJEKTO PRIPAŽINIMO VALSTYBEI SVARBIU EKONOMINIU PROJEKTU“ PAKEITIMO“</w:t>
      </w:r>
    </w:p>
    <w:p w14:paraId="539A61F3" w14:textId="61F7FC27" w:rsidR="002E035C" w:rsidRDefault="00953A8E" w:rsidP="002E035C">
      <w:pPr>
        <w:pStyle w:val="Pagrindinistekstas"/>
        <w:spacing w:after="0"/>
        <w:ind w:firstLine="567"/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  <w:r w:rsidR="00A513C3" w:rsidRPr="00A513C3">
        <w:rPr>
          <w:b/>
          <w:lang w:val="lt-LT"/>
        </w:rPr>
        <w:t>PROJEKT</w:t>
      </w:r>
      <w:r w:rsidR="009F7CC6">
        <w:rPr>
          <w:b/>
          <w:lang w:val="lt-LT"/>
        </w:rPr>
        <w:t>Ų</w:t>
      </w:r>
      <w:r w:rsidR="00A513C3">
        <w:rPr>
          <w:b/>
          <w:lang w:val="lt-LT"/>
        </w:rPr>
        <w:t xml:space="preserve"> </w:t>
      </w:r>
      <w:r w:rsidR="007501E0" w:rsidRPr="00631D26">
        <w:rPr>
          <w:b/>
          <w:lang w:val="lt-LT"/>
        </w:rPr>
        <w:t>DERINIM</w:t>
      </w:r>
      <w:r w:rsidR="007501E0">
        <w:rPr>
          <w:b/>
          <w:lang w:val="lt-LT"/>
        </w:rPr>
        <w:t xml:space="preserve">O </w:t>
      </w:r>
      <w:r w:rsidR="007501E0" w:rsidRPr="00631D26">
        <w:rPr>
          <w:b/>
          <w:lang w:val="lt-LT"/>
        </w:rPr>
        <w:t>PAŽYMA</w:t>
      </w:r>
    </w:p>
    <w:p w14:paraId="4B3812AC" w14:textId="77777777" w:rsidR="00A513C3" w:rsidRDefault="00A513C3" w:rsidP="002E035C">
      <w:pPr>
        <w:pStyle w:val="Pagrindinistekstas"/>
        <w:spacing w:after="0"/>
        <w:ind w:firstLine="567"/>
        <w:jc w:val="center"/>
        <w:rPr>
          <w:b/>
          <w:lang w:val="lt-LT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132"/>
        <w:gridCol w:w="7513"/>
      </w:tblGrid>
      <w:tr w:rsidR="002E035C" w:rsidRPr="00631D26" w14:paraId="735BE251" w14:textId="77777777" w:rsidTr="00C25544">
        <w:tc>
          <w:tcPr>
            <w:tcW w:w="1951" w:type="dxa"/>
            <w:vAlign w:val="center"/>
          </w:tcPr>
          <w:p w14:paraId="41311CB0" w14:textId="77777777" w:rsidR="002E035C" w:rsidRPr="00631D26" w:rsidRDefault="002E035C" w:rsidP="005A23B9">
            <w:pPr>
              <w:tabs>
                <w:tab w:val="left" w:pos="0"/>
              </w:tabs>
              <w:ind w:right="34"/>
              <w:jc w:val="center"/>
            </w:pPr>
            <w:r w:rsidRPr="00631D26">
              <w:t>Institucija, pateikusi pastabas ir pasiūlymus</w:t>
            </w:r>
          </w:p>
        </w:tc>
        <w:tc>
          <w:tcPr>
            <w:tcW w:w="5132" w:type="dxa"/>
            <w:vAlign w:val="center"/>
          </w:tcPr>
          <w:p w14:paraId="14265B5D" w14:textId="77777777" w:rsidR="002E035C" w:rsidRPr="00631D26" w:rsidRDefault="002E035C" w:rsidP="005A23B9">
            <w:pPr>
              <w:tabs>
                <w:tab w:val="left" w:pos="0"/>
              </w:tabs>
              <w:ind w:right="34"/>
              <w:jc w:val="center"/>
            </w:pPr>
            <w:r w:rsidRPr="00631D26">
              <w:t>Pastabos ir pasiūlymai</w:t>
            </w:r>
          </w:p>
        </w:tc>
        <w:tc>
          <w:tcPr>
            <w:tcW w:w="7513" w:type="dxa"/>
            <w:vAlign w:val="center"/>
          </w:tcPr>
          <w:p w14:paraId="1E8BC6F2" w14:textId="2715D2D9" w:rsidR="002E035C" w:rsidRPr="00631D26" w:rsidRDefault="000906DB" w:rsidP="005A23B9">
            <w:pPr>
              <w:tabs>
                <w:tab w:val="left" w:pos="0"/>
              </w:tabs>
              <w:ind w:right="34"/>
              <w:jc w:val="center"/>
              <w:rPr>
                <w:b/>
              </w:rPr>
            </w:pPr>
            <w:r>
              <w:t>Argumentai, kodėl neatsižvelgta arba tik iš dalies atsižvelgta į</w:t>
            </w:r>
            <w:r w:rsidR="002E035C" w:rsidRPr="00631D26">
              <w:t xml:space="preserve"> pastab</w:t>
            </w:r>
            <w:r>
              <w:t>a</w:t>
            </w:r>
            <w:r w:rsidR="002E035C" w:rsidRPr="00631D26">
              <w:t>s ir pasiūlym</w:t>
            </w:r>
            <w:r>
              <w:t>u</w:t>
            </w:r>
            <w:r w:rsidR="002E035C" w:rsidRPr="00631D26">
              <w:t>s</w:t>
            </w:r>
          </w:p>
        </w:tc>
      </w:tr>
      <w:tr w:rsidR="002E035C" w:rsidRPr="00631D26" w14:paraId="6A79C62E" w14:textId="77777777" w:rsidTr="00C25544">
        <w:tc>
          <w:tcPr>
            <w:tcW w:w="1951" w:type="dxa"/>
          </w:tcPr>
          <w:p w14:paraId="2706244E" w14:textId="4FE0F03A" w:rsidR="00A513C3" w:rsidRPr="00631D26" w:rsidRDefault="00605F1D" w:rsidP="00605F1D">
            <w:pPr>
              <w:tabs>
                <w:tab w:val="left" w:pos="0"/>
              </w:tabs>
              <w:ind w:right="34"/>
              <w:jc w:val="both"/>
            </w:pPr>
            <w:r>
              <w:rPr>
                <w:color w:val="000000"/>
              </w:rPr>
              <w:t>Šiaulių miesto savivaldybės mero</w:t>
            </w:r>
            <w:r w:rsidR="00A513C3" w:rsidRPr="007747EC">
              <w:rPr>
                <w:color w:val="000000"/>
              </w:rPr>
              <w:t xml:space="preserve"> </w:t>
            </w:r>
            <w:r w:rsidR="00A513C3">
              <w:rPr>
                <w:color w:val="000000"/>
              </w:rPr>
              <w:t>201</w:t>
            </w:r>
            <w:r w:rsidR="00F33945">
              <w:rPr>
                <w:color w:val="000000"/>
              </w:rPr>
              <w:t>8</w:t>
            </w:r>
            <w:r w:rsidR="00A513C3">
              <w:rPr>
                <w:color w:val="000000"/>
              </w:rPr>
              <w:t xml:space="preserve"> m. </w:t>
            </w:r>
            <w:r>
              <w:rPr>
                <w:color w:val="000000"/>
              </w:rPr>
              <w:t>rugpjūčio</w:t>
            </w:r>
            <w:r w:rsidR="00C9700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23</w:t>
            </w:r>
            <w:r w:rsidR="00A513C3">
              <w:rPr>
                <w:color w:val="000000"/>
              </w:rPr>
              <w:t xml:space="preserve"> d. raštas Nr. </w:t>
            </w:r>
            <w:r>
              <w:rPr>
                <w:color w:val="000000"/>
              </w:rPr>
              <w:t>S-2579</w:t>
            </w:r>
          </w:p>
        </w:tc>
        <w:tc>
          <w:tcPr>
            <w:tcW w:w="5132" w:type="dxa"/>
          </w:tcPr>
          <w:p w14:paraId="766B24E1" w14:textId="6FE913A0" w:rsidR="00AB5774" w:rsidRPr="00C97002" w:rsidRDefault="00870901" w:rsidP="00C5277E">
            <w:pPr>
              <w:spacing w:line="264" w:lineRule="auto"/>
              <w:jc w:val="both"/>
              <w:rPr>
                <w:bCs/>
              </w:rPr>
            </w:pPr>
            <w:r>
              <w:rPr>
                <w:bCs/>
              </w:rPr>
              <w:t>Prašoma nurodyti, kokių Lietuvos Respublikos Vyriausybės 2008 m. vasario 13 d. nutarimu Nr. 136 „Dėl projektų pripažinimo valstybei svarbiais ekonominiais projektais tvarkos aprašo patvirtinimo“ pat</w:t>
            </w:r>
            <w:r w:rsidR="003A501D">
              <w:rPr>
                <w:bCs/>
              </w:rPr>
              <w:t xml:space="preserve">virtintų </w:t>
            </w:r>
            <w:r>
              <w:rPr>
                <w:bCs/>
              </w:rPr>
              <w:t xml:space="preserve">kriterijų </w:t>
            </w:r>
            <w:r w:rsidR="003A501D">
              <w:rPr>
                <w:bCs/>
              </w:rPr>
              <w:t xml:space="preserve">neatitinka ir kodėl siūloma naikinti </w:t>
            </w:r>
            <w:r w:rsidR="00AB5774">
              <w:rPr>
                <w:bCs/>
              </w:rPr>
              <w:t>Šiaulių viešojo logistikos centro projekt</w:t>
            </w:r>
            <w:r w:rsidR="003A501D">
              <w:rPr>
                <w:bCs/>
              </w:rPr>
              <w:t>ui suteiktą valstybei svarbaus ekonominio projekto statusą.</w:t>
            </w:r>
          </w:p>
          <w:p w14:paraId="476FC00C" w14:textId="40B63D2E" w:rsidR="002E035C" w:rsidRPr="00631D26" w:rsidRDefault="003A501D" w:rsidP="00C5277E">
            <w:pPr>
              <w:spacing w:line="264" w:lineRule="auto"/>
              <w:jc w:val="both"/>
            </w:pPr>
            <w:r>
              <w:t xml:space="preserve">Siūloma parengti Lietuvos Respublikos Vyriausybės 2010 m. balandžio 14 d. nutarimo Nr. 418 „Dėl Šiaulių </w:t>
            </w:r>
            <w:r w:rsidR="001E1886">
              <w:t xml:space="preserve">viešojo logistikos centro pripažinimo valstybei svarbiu ekonominiu </w:t>
            </w:r>
            <w:r>
              <w:t xml:space="preserve"> projekt</w:t>
            </w:r>
            <w:r w:rsidR="001E1886">
              <w:t>u“</w:t>
            </w:r>
            <w:r>
              <w:t xml:space="preserve">, kuriuo būtų </w:t>
            </w:r>
            <w:r w:rsidR="001E1886">
              <w:t>nustatyti projekto tikslai, objektas, įgyvendinimo terminai, projekto vykdytojas, įsipareigojimai ir reikalavimai.</w:t>
            </w:r>
          </w:p>
        </w:tc>
        <w:tc>
          <w:tcPr>
            <w:tcW w:w="7513" w:type="dxa"/>
          </w:tcPr>
          <w:p w14:paraId="25276BAC" w14:textId="4AECBD25" w:rsidR="002E035C" w:rsidRDefault="002E035C" w:rsidP="005A23B9">
            <w:pPr>
              <w:tabs>
                <w:tab w:val="left" w:pos="0"/>
              </w:tabs>
              <w:spacing w:line="20" w:lineRule="atLeast"/>
              <w:ind w:right="34"/>
              <w:jc w:val="both"/>
              <w:rPr>
                <w:b/>
              </w:rPr>
            </w:pPr>
            <w:r>
              <w:rPr>
                <w:b/>
              </w:rPr>
              <w:t>Neatsižvelgta</w:t>
            </w:r>
            <w:r w:rsidRPr="00A15F17">
              <w:rPr>
                <w:b/>
              </w:rPr>
              <w:t>.</w:t>
            </w:r>
          </w:p>
          <w:p w14:paraId="2C088CBB" w14:textId="0E49677A" w:rsidR="00D308E2" w:rsidRDefault="00040CBF" w:rsidP="00D308E2">
            <w:pPr>
              <w:spacing w:line="264" w:lineRule="auto"/>
              <w:jc w:val="both"/>
            </w:pPr>
            <w:bookmarkStart w:id="1" w:name="_Hlk510779781"/>
            <w:r>
              <w:t>Nutarimo projekt</w:t>
            </w:r>
            <w:r w:rsidR="00D15EBE">
              <w:t xml:space="preserve">o pakeitimas parengtas atsižvelgiant į tai, kad </w:t>
            </w:r>
            <w:r w:rsidR="005E0790">
              <w:t xml:space="preserve">Šiaulių viešojo logistikos centro </w:t>
            </w:r>
            <w:r w:rsidR="005E0790" w:rsidRPr="00D308E2">
              <w:t>projekt</w:t>
            </w:r>
            <w:r w:rsidR="00E5508C">
              <w:t>as nevykdomas</w:t>
            </w:r>
            <w:bookmarkEnd w:id="1"/>
            <w:r w:rsidR="00E5508C">
              <w:t>.</w:t>
            </w:r>
          </w:p>
          <w:p w14:paraId="313A13CD" w14:textId="5F0BBC5F" w:rsidR="00D308E2" w:rsidRPr="005A625C" w:rsidRDefault="00D308E2" w:rsidP="00D308E2">
            <w:pPr>
              <w:spacing w:line="264" w:lineRule="auto"/>
              <w:jc w:val="both"/>
            </w:pPr>
            <w:r w:rsidRPr="00022C4C">
              <w:t xml:space="preserve">2010 m. spalio 5 d. </w:t>
            </w:r>
            <w:r>
              <w:t xml:space="preserve">susisiekimo ministro </w:t>
            </w:r>
            <w:r w:rsidRPr="005A625C">
              <w:t xml:space="preserve">įsakymu </w:t>
            </w:r>
            <w:r w:rsidRPr="005A625C">
              <w:rPr>
                <w:color w:val="000000"/>
              </w:rPr>
              <w:t xml:space="preserve">buvo numatyta </w:t>
            </w:r>
            <w:r w:rsidRPr="005A625C">
              <w:t>2007–2013 m. projektui „Šiaulių VLC infrastruktūros statybos darbai“ skirti 9,78 mln. Eur ES fondų lėšų.</w:t>
            </w:r>
          </w:p>
          <w:p w14:paraId="1C165E44" w14:textId="238FEBE6" w:rsidR="00D308E2" w:rsidRPr="005A625C" w:rsidRDefault="00D308E2" w:rsidP="00E5508C">
            <w:pPr>
              <w:spacing w:line="264" w:lineRule="auto"/>
              <w:jc w:val="both"/>
            </w:pPr>
            <w:r w:rsidRPr="005A625C">
              <w:t>Šiaulių miesto savivaldybė laiku neįvykdė sąlygų, skirtų ES fondų lėšų paramai gauti</w:t>
            </w:r>
            <w:r w:rsidR="00A5309E">
              <w:t>,</w:t>
            </w:r>
            <w:r w:rsidRPr="005A625C">
              <w:t xml:space="preserve"> – nespėjo laiku pateikti paraiškos, kad projektas galėtų būti finansuojamas 2007–2013 m. ES fondų lėšomis.</w:t>
            </w:r>
          </w:p>
          <w:p w14:paraId="212B126C" w14:textId="53A5A156" w:rsidR="00D308E2" w:rsidRPr="005A625C" w:rsidRDefault="00D308E2" w:rsidP="00E5508C">
            <w:pPr>
              <w:spacing w:line="264" w:lineRule="auto"/>
              <w:jc w:val="both"/>
            </w:pPr>
            <w:r w:rsidRPr="005A625C">
              <w:t>Pagal 2014–2020 metų ES fondų investicijų veiksmų programą, patvirtintą Europos Komisijos 2014 m. rugsėjo 8 d. sprendimu Nr. C(2014)6397, Šiaulių vieš</w:t>
            </w:r>
            <w:r w:rsidR="00A5309E">
              <w:t>ajam</w:t>
            </w:r>
            <w:r w:rsidRPr="005A625C">
              <w:t xml:space="preserve"> logistikos centr</w:t>
            </w:r>
            <w:r w:rsidR="00A5309E">
              <w:t>ui</w:t>
            </w:r>
            <w:r w:rsidRPr="005A625C">
              <w:t xml:space="preserve"> įreng</w:t>
            </w:r>
            <w:r w:rsidR="00A5309E">
              <w:t>t</w:t>
            </w:r>
            <w:r w:rsidRPr="005A625C">
              <w:t>i finansavimas nėra numatytas.</w:t>
            </w:r>
          </w:p>
          <w:p w14:paraId="00C6ECDF" w14:textId="1BD7B2F3" w:rsidR="002A44AA" w:rsidRPr="00A32654" w:rsidRDefault="00E5508C" w:rsidP="00E5508C">
            <w:pPr>
              <w:pStyle w:val="Pagrindinistekstas"/>
              <w:spacing w:line="264" w:lineRule="auto"/>
              <w:jc w:val="both"/>
            </w:pPr>
            <w:r w:rsidRPr="005A625C">
              <w:rPr>
                <w:lang w:val="lt-LT"/>
              </w:rPr>
              <w:t>Viešųjų logistikos centrų plėtros ir veiklos priežiūros komisijos</w:t>
            </w:r>
            <w:r w:rsidRPr="005A625C">
              <w:t xml:space="preserve"> posėdyje (2016-09-19 protokolas Nr. 8-126) buvo </w:t>
            </w:r>
            <w:r w:rsidRPr="005A625C">
              <w:rPr>
                <w:lang w:val="lt-LT"/>
              </w:rPr>
              <w:t>pasiūlyta</w:t>
            </w:r>
            <w:r w:rsidRPr="005A625C">
              <w:t xml:space="preserve"> Šiaulių</w:t>
            </w:r>
            <w:r>
              <w:t xml:space="preserve"> m</w:t>
            </w:r>
            <w:r>
              <w:rPr>
                <w:lang w:val="lt-LT"/>
              </w:rPr>
              <w:t>iesto</w:t>
            </w:r>
            <w:r>
              <w:t xml:space="preserve"> savivaldybei kartu su </w:t>
            </w:r>
            <w:r>
              <w:rPr>
                <w:lang w:val="lt-LT"/>
              </w:rPr>
              <w:t>Krašto apsaugos ministerija</w:t>
            </w:r>
            <w:r>
              <w:t xml:space="preserve"> </w:t>
            </w:r>
            <w:r>
              <w:rPr>
                <w:lang w:val="lt-LT"/>
              </w:rPr>
              <w:t>ir AB „Lietuvos geležinkeliai“</w:t>
            </w:r>
            <w:r>
              <w:t xml:space="preserve"> vykdyti trišales derybas dėl teritorijos šalia Šiaulių </w:t>
            </w:r>
            <w:r>
              <w:rPr>
                <w:lang w:val="lt-LT"/>
              </w:rPr>
              <w:t>viešojo logistikos</w:t>
            </w:r>
            <w:r>
              <w:t xml:space="preserve"> perdavimo </w:t>
            </w:r>
            <w:r>
              <w:rPr>
                <w:lang w:val="lt-LT"/>
              </w:rPr>
              <w:t xml:space="preserve">Krašto apsaugos ministerijos </w:t>
            </w:r>
            <w:r>
              <w:t>reikmėms ir</w:t>
            </w:r>
            <w:r w:rsidRPr="00F014FC">
              <w:t xml:space="preserve"> </w:t>
            </w:r>
            <w:r>
              <w:rPr>
                <w:lang w:val="lt-LT"/>
              </w:rPr>
              <w:t>vykdyti Šiaulių viešojo logistikos projekto plėtrą</w:t>
            </w:r>
            <w:r w:rsidRPr="00F014FC">
              <w:t>.</w:t>
            </w:r>
            <w:r>
              <w:rPr>
                <w:lang w:val="lt-LT"/>
              </w:rPr>
              <w:t xml:space="preserve"> Pažymėtina, kad </w:t>
            </w:r>
            <w:r w:rsidR="005A625C">
              <w:rPr>
                <w:lang w:val="lt-LT"/>
              </w:rPr>
              <w:t xml:space="preserve">iki šiol </w:t>
            </w:r>
            <w:r>
              <w:rPr>
                <w:lang w:val="lt-LT"/>
              </w:rPr>
              <w:t>projekt</w:t>
            </w:r>
            <w:r w:rsidR="005A625C">
              <w:rPr>
                <w:lang w:val="lt-LT"/>
              </w:rPr>
              <w:t>ui</w:t>
            </w:r>
            <w:r>
              <w:rPr>
                <w:lang w:val="lt-LT"/>
              </w:rPr>
              <w:t xml:space="preserve"> </w:t>
            </w:r>
            <w:r w:rsidRPr="00D308E2">
              <w:rPr>
                <w:lang w:val="lt-LT"/>
              </w:rPr>
              <w:lastRenderedPageBreak/>
              <w:t>nėra nustatytos projekto vykdymo sąlygos – tikslas, įgyvendinimo terminai, finansavimo šaltiniai, esminiai projekto vykdytojo įsipareigojimai</w:t>
            </w:r>
            <w:r w:rsidR="005A625C">
              <w:rPr>
                <w:lang w:val="lt-LT"/>
              </w:rPr>
              <w:t xml:space="preserve"> ir pats projektas nėra įgyvendinamas</w:t>
            </w:r>
            <w:r>
              <w:t>.</w:t>
            </w:r>
          </w:p>
        </w:tc>
      </w:tr>
    </w:tbl>
    <w:p w14:paraId="5CB4C221" w14:textId="77777777" w:rsidR="002E035C" w:rsidRDefault="002E035C" w:rsidP="00230FC3"/>
    <w:sectPr w:rsidR="002E035C" w:rsidSect="00E83896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07E95" w14:textId="77777777" w:rsidR="006A0B37" w:rsidRDefault="006A0B37" w:rsidP="00E83896">
      <w:r>
        <w:separator/>
      </w:r>
    </w:p>
  </w:endnote>
  <w:endnote w:type="continuationSeparator" w:id="0">
    <w:p w14:paraId="4D0F7FEC" w14:textId="77777777" w:rsidR="006A0B37" w:rsidRDefault="006A0B37" w:rsidP="00E8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A8395" w14:textId="77777777" w:rsidR="006A0B37" w:rsidRDefault="006A0B37" w:rsidP="00E83896">
      <w:r>
        <w:separator/>
      </w:r>
    </w:p>
  </w:footnote>
  <w:footnote w:type="continuationSeparator" w:id="0">
    <w:p w14:paraId="1F8EE94D" w14:textId="77777777" w:rsidR="006A0B37" w:rsidRDefault="006A0B37" w:rsidP="00E8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608653"/>
      <w:docPartObj>
        <w:docPartGallery w:val="Page Numbers (Top of Page)"/>
        <w:docPartUnique/>
      </w:docPartObj>
    </w:sdtPr>
    <w:sdtEndPr/>
    <w:sdtContent>
      <w:p w14:paraId="2DA88DF8" w14:textId="6E4026F7" w:rsidR="00E83896" w:rsidRDefault="00E838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032">
          <w:rPr>
            <w:noProof/>
          </w:rPr>
          <w:t>2</w:t>
        </w:r>
        <w:r>
          <w:fldChar w:fldCharType="end"/>
        </w:r>
      </w:p>
    </w:sdtContent>
  </w:sdt>
  <w:p w14:paraId="365B29E7" w14:textId="77777777" w:rsidR="00E83896" w:rsidRDefault="00E838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B132B"/>
    <w:multiLevelType w:val="hybridMultilevel"/>
    <w:tmpl w:val="5FC21BA0"/>
    <w:lvl w:ilvl="0" w:tplc="A7DC0FE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5C"/>
    <w:rsid w:val="0002234A"/>
    <w:rsid w:val="00030D36"/>
    <w:rsid w:val="000325AA"/>
    <w:rsid w:val="00040CBF"/>
    <w:rsid w:val="00054B29"/>
    <w:rsid w:val="000906DB"/>
    <w:rsid w:val="000A5D51"/>
    <w:rsid w:val="000D7C38"/>
    <w:rsid w:val="000D7CD3"/>
    <w:rsid w:val="00102515"/>
    <w:rsid w:val="00147726"/>
    <w:rsid w:val="00181796"/>
    <w:rsid w:val="00192FB0"/>
    <w:rsid w:val="00193D32"/>
    <w:rsid w:val="001A173A"/>
    <w:rsid w:val="001B0644"/>
    <w:rsid w:val="001E1886"/>
    <w:rsid w:val="001E6270"/>
    <w:rsid w:val="001F5669"/>
    <w:rsid w:val="002143B2"/>
    <w:rsid w:val="0021729C"/>
    <w:rsid w:val="00230FC3"/>
    <w:rsid w:val="00240056"/>
    <w:rsid w:val="00240A3E"/>
    <w:rsid w:val="002425D4"/>
    <w:rsid w:val="00282777"/>
    <w:rsid w:val="00282D02"/>
    <w:rsid w:val="00294E82"/>
    <w:rsid w:val="002A44AA"/>
    <w:rsid w:val="002E035C"/>
    <w:rsid w:val="00301D99"/>
    <w:rsid w:val="00307483"/>
    <w:rsid w:val="00323F59"/>
    <w:rsid w:val="003254E5"/>
    <w:rsid w:val="00344934"/>
    <w:rsid w:val="00350E49"/>
    <w:rsid w:val="003566AE"/>
    <w:rsid w:val="00377301"/>
    <w:rsid w:val="00395404"/>
    <w:rsid w:val="003A501D"/>
    <w:rsid w:val="003E17FE"/>
    <w:rsid w:val="00404688"/>
    <w:rsid w:val="00433D6F"/>
    <w:rsid w:val="004475AD"/>
    <w:rsid w:val="0045062B"/>
    <w:rsid w:val="00463372"/>
    <w:rsid w:val="004B0C5D"/>
    <w:rsid w:val="005105AA"/>
    <w:rsid w:val="005445F5"/>
    <w:rsid w:val="005531FD"/>
    <w:rsid w:val="00565983"/>
    <w:rsid w:val="005719FF"/>
    <w:rsid w:val="005944FD"/>
    <w:rsid w:val="005A0C30"/>
    <w:rsid w:val="005A625C"/>
    <w:rsid w:val="005E0790"/>
    <w:rsid w:val="005F3825"/>
    <w:rsid w:val="005F523F"/>
    <w:rsid w:val="00605F1D"/>
    <w:rsid w:val="00607524"/>
    <w:rsid w:val="00663A26"/>
    <w:rsid w:val="00670D94"/>
    <w:rsid w:val="006A0B37"/>
    <w:rsid w:val="006A1023"/>
    <w:rsid w:val="00700E0D"/>
    <w:rsid w:val="007501E0"/>
    <w:rsid w:val="00783373"/>
    <w:rsid w:val="00783F7F"/>
    <w:rsid w:val="00794D06"/>
    <w:rsid w:val="007C3257"/>
    <w:rsid w:val="007E2F7F"/>
    <w:rsid w:val="007F012D"/>
    <w:rsid w:val="007F1B40"/>
    <w:rsid w:val="0080451E"/>
    <w:rsid w:val="008104A7"/>
    <w:rsid w:val="00837AC1"/>
    <w:rsid w:val="008647B0"/>
    <w:rsid w:val="00870901"/>
    <w:rsid w:val="00881703"/>
    <w:rsid w:val="008B2BD0"/>
    <w:rsid w:val="008B4032"/>
    <w:rsid w:val="008C6C25"/>
    <w:rsid w:val="008C70D9"/>
    <w:rsid w:val="008D6420"/>
    <w:rsid w:val="008E4BC0"/>
    <w:rsid w:val="009140B0"/>
    <w:rsid w:val="009262C2"/>
    <w:rsid w:val="0093004E"/>
    <w:rsid w:val="00947DEB"/>
    <w:rsid w:val="00953A8E"/>
    <w:rsid w:val="009543FF"/>
    <w:rsid w:val="00971435"/>
    <w:rsid w:val="009745CF"/>
    <w:rsid w:val="00992CA4"/>
    <w:rsid w:val="009B54A3"/>
    <w:rsid w:val="009C5198"/>
    <w:rsid w:val="009F5BB4"/>
    <w:rsid w:val="009F7CC6"/>
    <w:rsid w:val="00A06FAA"/>
    <w:rsid w:val="00A21C05"/>
    <w:rsid w:val="00A32654"/>
    <w:rsid w:val="00A513C3"/>
    <w:rsid w:val="00A526D7"/>
    <w:rsid w:val="00A5309E"/>
    <w:rsid w:val="00A570B6"/>
    <w:rsid w:val="00A64667"/>
    <w:rsid w:val="00A938F7"/>
    <w:rsid w:val="00A959A5"/>
    <w:rsid w:val="00AB036A"/>
    <w:rsid w:val="00AB5774"/>
    <w:rsid w:val="00AD4C51"/>
    <w:rsid w:val="00AF441F"/>
    <w:rsid w:val="00B125BF"/>
    <w:rsid w:val="00B23C3B"/>
    <w:rsid w:val="00B25CBD"/>
    <w:rsid w:val="00B825C5"/>
    <w:rsid w:val="00B95972"/>
    <w:rsid w:val="00BA1737"/>
    <w:rsid w:val="00BC2AA0"/>
    <w:rsid w:val="00C14303"/>
    <w:rsid w:val="00C25544"/>
    <w:rsid w:val="00C31A02"/>
    <w:rsid w:val="00C5277E"/>
    <w:rsid w:val="00C647D4"/>
    <w:rsid w:val="00C71693"/>
    <w:rsid w:val="00C8137B"/>
    <w:rsid w:val="00C8444C"/>
    <w:rsid w:val="00C95A10"/>
    <w:rsid w:val="00C97002"/>
    <w:rsid w:val="00CC5E65"/>
    <w:rsid w:val="00CD1E84"/>
    <w:rsid w:val="00CD2AD4"/>
    <w:rsid w:val="00D15EBE"/>
    <w:rsid w:val="00D308E2"/>
    <w:rsid w:val="00D62C83"/>
    <w:rsid w:val="00D8589B"/>
    <w:rsid w:val="00DC6142"/>
    <w:rsid w:val="00DD7E6D"/>
    <w:rsid w:val="00DF2EC8"/>
    <w:rsid w:val="00E4314B"/>
    <w:rsid w:val="00E51D2D"/>
    <w:rsid w:val="00E5508C"/>
    <w:rsid w:val="00E83896"/>
    <w:rsid w:val="00EE5873"/>
    <w:rsid w:val="00EF6A31"/>
    <w:rsid w:val="00F16777"/>
    <w:rsid w:val="00F20931"/>
    <w:rsid w:val="00F2123B"/>
    <w:rsid w:val="00F26726"/>
    <w:rsid w:val="00F33945"/>
    <w:rsid w:val="00F87CCF"/>
    <w:rsid w:val="00F95809"/>
    <w:rsid w:val="00FA285C"/>
    <w:rsid w:val="00FD2A08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5B9E"/>
  <w15:docId w15:val="{6CBD7102-5209-4594-8478-3F87498A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E035C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E035C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E035C"/>
    <w:rPr>
      <w:rFonts w:eastAsia="Times New Roman" w:cs="Times New Roman"/>
      <w:szCs w:val="24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2E035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193D3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12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123B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8389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3896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838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3896"/>
    <w:rPr>
      <w:rFonts w:eastAsia="Times New Roman" w:cs="Times New Roman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8444C"/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8444C"/>
    <w:rPr>
      <w:rFonts w:ascii="Consolas" w:eastAsia="Times New Roman" w:hAnsi="Consolas" w:cs="Consolas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2F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2F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2F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2F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2F7F"/>
    <w:rPr>
      <w:rFonts w:eastAsia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7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6EC81-17FB-4EDC-BE5C-28D53378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2018-10-02T12:46:00Z</dcterms:created>
  <dc:creator>Jaunius Jasiunas</dc:creator>
  <cp:lastModifiedBy>Darius Sriubas</cp:lastModifiedBy>
  <cp:lastPrinted>2018-04-06T08:55:00Z</cp:lastPrinted>
  <dcterms:modified xsi:type="dcterms:W3CDTF">2018-10-02T12:50:00Z</dcterms:modified>
  <cp:revision>3</cp:revision>
</cp:coreProperties>
</file>