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header+xml" PartName="/word/header8.xml"/>
  <Override ContentType="application/vnd.openxmlformats-officedocument.wordprocessingml.header+xml" PartName="/word/header9.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 Id="rId5"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763" w:rsidRPr="006E3763" w:rsidRDefault="001218DA" w:rsidP="006E3763">
      <w:pPr>
        <w:pStyle w:val="TechnicalBlock"/>
        <w:ind w:left="-1134" w:right="-1134"/>
      </w:pPr>
      <w:bookmarkStart w:id="0" w:name="DW_BM_COVERPAGE"/>
      <w:bookmarkStart w:id="1" w:name="LW_BM_COVERPAGE"/>
      <w:bookmarkStart w:id="2" w:name="_GoBack"/>
      <w:bookmarkEnd w:id="2"/>
      <w:r>
        <w:rPr>
          <w:lang w:bidi="ar-SA"/>
        </w:rPr>
        <w:drawing>
          <wp:inline distT="0" distB="0" distL="0" distR="0">
            <wp:extent cx="7219950" cy="5524500"/>
            <wp:effectExtent l="0" t="0" r="0" b="0"/>
            <wp:docPr id="1" name="Picture 1" descr="Document Cover Page. Document Number: 11169/18. Subject Codes: PREP-BXT 9. Heading: PRIDEDAMAS PRANEŠIMAS. Originator: Europos Komisijos generalinio sekretoriaus, kurio vardu pasirašo direktorius Jordi AYET PUIGARNAU. Recipient: Europos Sąjungos Tarybos generaliniam sekretoriui Jeppe TRANHOLMUI-MIKKELSENUI. Subject: KOMISIJOS KOMUNIKATAS EUROPOS PARLAMENTUI, EUROPOS VADOVŲ TARYBAI, TARYBAI, EUROPOS CENTRINIAM BANKUI, EUROPOS EKONOMIKOS IR SOCIALINIŲ REIKALŲ KOMITETUI, REGIONŲ KOMITETUI IR EUROPOS INVESTICIJŲ BANKUI dėl pasirengimo Jungtinės Karalystės išstojimui iš Europos Sąjungos  2019 m. kovo 30 d.. Commission Document Number: COM(2018) 556 final. Preceeding Document Number: Not Set. Location: Briuselis. Date: 2018 m. liepos 19 d.. Interinstitutional Files: Not Set. Institutional Framework: Europos Sąjungos Taryba. Language: LT. Distribution Code: PUBLIC. GUID: 4950591758356717910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ument Cover Page. Document Number: 11169/18. Subject Codes: PREP-BXT 9. Heading: PRIDEDAMAS PRANEŠIMAS. Originator: Europos Komisijos generalinio sekretoriaus, kurio vardu pasirašo direktorius Jordi AYET PUIGARNAU. Recipient: Europos Sąjungos Tarybos generaliniam sekretoriui Jeppe TRANHOLMUI-MIKKELSENUI. Subject: KOMISIJOS KOMUNIKATAS EUROPOS PARLAMENTUI, EUROPOS VADOVŲ TARYBAI, TARYBAI, EUROPOS CENTRINIAM BANKUI, EUROPOS EKONOMIKOS IR SOCIALINIŲ REIKALŲ KOMITETUI, REGIONŲ KOMITETUI IR EUROPOS INVESTICIJŲ BANKUI dėl pasirengimo Jungtinės Karalystės išstojimui iš Europos Sąjungos  2019 m. kovo 30 d.. Commission Document Number: COM(2018) 556 final. Preceeding Document Number: Not Set. Location: Briuselis. Date: 2018 m. liepos 19 d.. Interinstitutional Files: Not Set. Institutional Framework: Europos Sąjungos Taryba. Language: LT. Distribution Code: PUBLIC. GUID: 4950591758356717910_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19950" cy="5524500"/>
                    </a:xfrm>
                    <a:prstGeom prst="rect">
                      <a:avLst/>
                    </a:prstGeom>
                    <a:noFill/>
                    <a:ln>
                      <a:noFill/>
                    </a:ln>
                  </pic:spPr>
                </pic:pic>
              </a:graphicData>
            </a:graphic>
          </wp:inline>
        </w:drawing>
      </w:r>
      <w:bookmarkEnd w:id="0"/>
    </w:p>
    <w:p w:rsidR="008E23A9" w:rsidRDefault="008E23A9" w:rsidP="006E3763">
      <w:pPr>
        <w:pStyle w:val="Pagedecouverture"/>
        <w:spacing w:before="480" w:after="120" w:line="360" w:lineRule="auto"/>
      </w:pPr>
      <w:r>
        <w:t xml:space="preserve">Delegacijoms pridedamas dokumentas </w:t>
      </w:r>
      <w:r>
        <w:fldChar w:fldCharType="begin"/>
      </w:r>
      <w:r>
        <w:instrText xml:space="preserve"> QUOTE "</w:instrText>
      </w:r>
      <w:r>
        <w:fldChar w:fldCharType="begin">
          <w:fldData xml:space="preserve">QwBvAG0AbQBEAG8AYwBzAHwAUwBMAA==
</w:fldData>
        </w:fldChar>
      </w:r>
      <w:r>
        <w:instrText xml:space="preserve"> ADDIN "DocuWrite metadata link" </w:instrText>
      </w:r>
      <w:r>
        <w:fldChar w:fldCharType="end"/>
      </w:r>
      <w:r w:rsidR="006E3763" w:rsidRPr="006E3763">
        <w:instrText>COM(2018) 556 final</w:instrText>
      </w:r>
      <w:r>
        <w:instrText xml:space="preserve">" </w:instrText>
      </w:r>
      <w:r>
        <w:fldChar w:fldCharType="separate"/>
      </w:r>
      <w:r w:rsidR="006E3763" w:rsidRPr="006E3763">
        <w:t>COM(2018) 556 final</w:t>
      </w:r>
      <w:r>
        <w:fldChar w:fldCharType="end"/>
      </w:r>
      <w:r>
        <w:t>.</w:t>
      </w:r>
    </w:p>
    <w:p w:rsidR="008E23A9" w:rsidRDefault="008E23A9" w:rsidP="008E23A9">
      <w:pPr>
        <w:pStyle w:val="Pagedecouverture"/>
        <w:pBdr>
          <w:bottom w:val="single" w:sz="4" w:space="0" w:color="000000"/>
        </w:pBdr>
        <w:spacing w:before="360" w:after="120" w:line="360" w:lineRule="auto"/>
        <w:ind w:left="3402" w:right="3402"/>
        <w:jc w:val="center"/>
      </w:pPr>
    </w:p>
    <w:p w:rsidR="008E23A9" w:rsidRDefault="008E23A9" w:rsidP="006E3763">
      <w:pPr>
        <w:pStyle w:val="Pagedecouverture"/>
        <w:spacing w:before="480" w:after="120" w:line="276" w:lineRule="auto"/>
        <w:rPr>
          <w:noProof/>
        </w:rPr>
      </w:pPr>
      <w:r>
        <w:t xml:space="preserve">Pridedama: </w:t>
      </w:r>
      <w:r>
        <w:fldChar w:fldCharType="begin"/>
      </w:r>
      <w:r>
        <w:instrText xml:space="preserve"> QUOTE "</w:instrText>
      </w:r>
      <w:r>
        <w:fldChar w:fldCharType="begin">
          <w:fldData xml:space="preserve">QwBvAG0AbQBEAG8AYwBzAHwAUwBMAA==
</w:fldData>
        </w:fldChar>
      </w:r>
      <w:r>
        <w:instrText xml:space="preserve"> ADDIN "DocuWrite metadata link" </w:instrText>
      </w:r>
      <w:r>
        <w:fldChar w:fldCharType="end"/>
      </w:r>
      <w:r w:rsidR="006E3763" w:rsidRPr="006E3763">
        <w:instrText>COM(2018) 556 final</w:instrText>
      </w:r>
      <w:r>
        <w:instrText xml:space="preserve">" </w:instrText>
      </w:r>
      <w:r>
        <w:fldChar w:fldCharType="separate"/>
      </w:r>
      <w:r w:rsidR="006E3763" w:rsidRPr="006E3763">
        <w:t>COM(2018) 556 final</w:t>
      </w:r>
      <w:r>
        <w:fldChar w:fldCharType="end"/>
      </w:r>
    </w:p>
    <w:p w:rsidR="008E23A9" w:rsidRDefault="008E23A9">
      <w:pPr>
        <w:pStyle w:val="Pagedecouverture"/>
        <w:rPr>
          <w:noProof/>
        </w:rPr>
        <w:sectPr w:rsidR="008E23A9" w:rsidSect="008E23A9">
          <w:headerReference w:type="even" r:id="rId12"/>
          <w:headerReference w:type="default" r:id="rId13"/>
          <w:footerReference w:type="even" r:id="rId14"/>
          <w:footerReference w:type="default" r:id="rId15"/>
          <w:headerReference w:type="first" r:id="rId16"/>
          <w:footerReference w:type="first" r:id="rId17"/>
          <w:pgSz w:w="11906" w:h="16838"/>
          <w:pgMar w:top="624" w:right="1134" w:bottom="1134" w:left="1134" w:header="567" w:footer="567" w:gutter="0"/>
          <w:pgNumType w:start="0"/>
          <w:cols w:space="720"/>
          <w:titlePg/>
          <w:docGrid w:linePitch="360"/>
        </w:sectPr>
      </w:pPr>
    </w:p>
    <w:p w:rsidR="00E53A37" w:rsidRDefault="001218DA">
      <w:pPr>
        <w:pStyle w:val="Pagedecouverture"/>
        <w:rPr>
          <w:noProof/>
        </w:rPr>
      </w:pPr>
      <w:r>
        <w:rPr>
          <w:noProof/>
          <w:lang w:bidi="ar-SA"/>
        </w:rPr>
        <w:lastRenderedPageBreak/>
        <w:drawing>
          <wp:inline distT="0" distB="0" distL="0" distR="0">
            <wp:extent cx="5715000" cy="4429125"/>
            <wp:effectExtent l="0" t="0" r="0" b="0"/>
            <wp:docPr id="2" name="Picture 2" descr="338D3F86-FDF7-4A21-B1BA-8E952B731C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38D3F86-FDF7-4A21-B1BA-8E952B731CE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15000" cy="4429125"/>
                    </a:xfrm>
                    <a:prstGeom prst="rect">
                      <a:avLst/>
                    </a:prstGeom>
                    <a:noFill/>
                    <a:ln>
                      <a:noFill/>
                    </a:ln>
                  </pic:spPr>
                </pic:pic>
              </a:graphicData>
            </a:graphic>
          </wp:inline>
        </w:drawing>
      </w:r>
    </w:p>
    <w:bookmarkEnd w:id="1"/>
    <w:p w:rsidR="00E53A37" w:rsidRDefault="00E53A37">
      <w:pPr>
        <w:rPr>
          <w:noProof/>
        </w:rPr>
        <w:sectPr w:rsidR="00E53A37">
          <w:headerReference w:type="even" r:id="rId19"/>
          <w:headerReference w:type="default" r:id="rId20"/>
          <w:footerReference w:type="even" r:id="rId21"/>
          <w:footerReference w:type="default" r:id="rId22"/>
          <w:headerReference w:type="first" r:id="rId23"/>
          <w:footerReference w:type="first" r:id="rId24"/>
          <w:pgSz w:w="11906" w:h="16838"/>
          <w:pgMar w:top="1134" w:right="1417" w:bottom="1134" w:left="1417" w:header="709" w:footer="709" w:gutter="0"/>
          <w:pgNumType w:start="0"/>
          <w:cols w:space="720"/>
          <w:docGrid w:linePitch="360"/>
        </w:sectPr>
      </w:pPr>
    </w:p>
    <w:p w:rsidR="00E53A37" w:rsidRDefault="006E3763">
      <w:pPr>
        <w:pStyle w:val="Typedudocument"/>
        <w:rPr>
          <w:noProof/>
        </w:rPr>
      </w:pPr>
      <w:r>
        <w:rPr>
          <w:noProof/>
        </w:rPr>
        <w:t>KOMISIJOS KOMUNIKATAS EUROPOS PARLAMENTUI, EUROPOS VADOVŲ TARYBAI, TARYBAI, EUROPOS CENTRINIAM BANKUI, EUROPOS EKONOMIKOS IR SOCIALINIŲ REIKALŲ KOMITETUI, REGIONŲ KOMITETUI IR EUROPOS INVESTICIJŲ BANKUI</w:t>
      </w:r>
    </w:p>
    <w:p w:rsidR="00E53A37" w:rsidRDefault="006E3763">
      <w:pPr>
        <w:pStyle w:val="Titreobjet"/>
        <w:rPr>
          <w:noProof/>
        </w:rPr>
      </w:pPr>
      <w:r>
        <w:rPr>
          <w:noProof/>
        </w:rPr>
        <w:t xml:space="preserve">dėl pasirengimo Jungtinės Karalystės išstojimui iš Europos Sąjungos </w:t>
      </w:r>
      <w:r>
        <w:rPr>
          <w:noProof/>
        </w:rPr>
        <w:br/>
        <w:t>2019 m. kovo 30 d.</w:t>
      </w:r>
    </w:p>
    <w:p w:rsidR="00E53A37" w:rsidRDefault="006E3763">
      <w:pPr>
        <w:pStyle w:val="NormalWeb"/>
        <w:spacing w:after="0" w:afterAutospacing="0"/>
        <w:ind w:left="360"/>
        <w:jc w:val="right"/>
        <w:rPr>
          <w:noProof/>
        </w:rPr>
      </w:pPr>
      <w:r>
        <w:rPr>
          <w:i/>
          <w:noProof/>
        </w:rPr>
        <w:t>Jungtinės Karalystės sprendimas išstoti iš Sąjungos sukuria didelį netikrumą, dėl kurio gali kilti sutrikimų.</w:t>
      </w:r>
    </w:p>
    <w:p w:rsidR="00E53A37" w:rsidRDefault="006E3763">
      <w:pPr>
        <w:spacing w:after="120" w:line="240" w:lineRule="auto"/>
        <w:jc w:val="right"/>
        <w:rPr>
          <w:rFonts w:ascii="Times New Roman" w:hAnsi="Times New Roman" w:cs="Times New Roman"/>
          <w:noProof/>
          <w:sz w:val="16"/>
          <w:szCs w:val="16"/>
        </w:rPr>
      </w:pPr>
      <w:r>
        <w:rPr>
          <w:rFonts w:ascii="Times New Roman" w:hAnsi="Times New Roman"/>
          <w:noProof/>
          <w:sz w:val="16"/>
        </w:rPr>
        <w:t>Europos Vadovų Taryba (50 straipsnis), 2017 m. balandžio 29 d.</w:t>
      </w:r>
      <w:r>
        <w:rPr>
          <w:rStyle w:val="FootnoteReference"/>
          <w:rFonts w:ascii="Times New Roman" w:hAnsi="Times New Roman"/>
          <w:noProof/>
          <w:sz w:val="18"/>
        </w:rPr>
        <w:footnoteReference w:id="2"/>
      </w:r>
    </w:p>
    <w:p w:rsidR="00E53A37" w:rsidRDefault="00E53A37">
      <w:pPr>
        <w:spacing w:after="120" w:line="240" w:lineRule="auto"/>
        <w:jc w:val="right"/>
        <w:rPr>
          <w:noProof/>
          <w:sz w:val="16"/>
          <w:szCs w:val="16"/>
        </w:rPr>
      </w:pPr>
    </w:p>
    <w:p w:rsidR="00E53A37" w:rsidRDefault="006E3763">
      <w:pPr>
        <w:spacing w:after="0" w:line="240" w:lineRule="auto"/>
        <w:jc w:val="right"/>
        <w:rPr>
          <w:rFonts w:ascii="Times New Roman" w:hAnsi="Times New Roman" w:cs="Times New Roman"/>
          <w:i/>
          <w:noProof/>
          <w:sz w:val="24"/>
          <w:szCs w:val="24"/>
        </w:rPr>
      </w:pPr>
      <w:r>
        <w:rPr>
          <w:rFonts w:ascii="Times New Roman" w:hAnsi="Times New Roman"/>
          <w:i/>
          <w:noProof/>
          <w:sz w:val="24"/>
        </w:rPr>
        <w:t xml:space="preserve">Europos Vadovų Taryba ragina Komisiją, Sąjungos vyriausiąjį įgaliotinį užsienio reikalams ir saugumo politikai ir valstybes nares tęsti darbą, siekiant visais lygmenimis pasirengti Jungtinės Karalystės išstojimo pasekmėms, atsižvelgiant į visus galimus rezultatus. </w:t>
      </w:r>
    </w:p>
    <w:p w:rsidR="00E53A37" w:rsidRDefault="006E3763">
      <w:pPr>
        <w:spacing w:after="120" w:line="240" w:lineRule="auto"/>
        <w:jc w:val="right"/>
        <w:rPr>
          <w:rFonts w:ascii="Times New Roman" w:hAnsi="Times New Roman" w:cs="Times New Roman"/>
          <w:noProof/>
          <w:sz w:val="16"/>
          <w:szCs w:val="16"/>
        </w:rPr>
      </w:pPr>
      <w:r>
        <w:rPr>
          <w:rFonts w:ascii="Times New Roman" w:hAnsi="Times New Roman"/>
          <w:noProof/>
          <w:sz w:val="16"/>
        </w:rPr>
        <w:t>Europos Vadovų Taryba (50 straipsnis), 2018 m. kovo 29 d.</w:t>
      </w:r>
      <w:r>
        <w:rPr>
          <w:rStyle w:val="FootnoteReference"/>
          <w:rFonts w:ascii="Times New Roman" w:hAnsi="Times New Roman"/>
          <w:noProof/>
          <w:sz w:val="18"/>
        </w:rPr>
        <w:footnoteReference w:id="3"/>
      </w:r>
    </w:p>
    <w:p w:rsidR="00E53A37" w:rsidRDefault="00E53A37">
      <w:pPr>
        <w:spacing w:after="120" w:line="240" w:lineRule="auto"/>
        <w:jc w:val="right"/>
        <w:rPr>
          <w:noProof/>
          <w:sz w:val="16"/>
          <w:szCs w:val="16"/>
        </w:rPr>
      </w:pPr>
    </w:p>
    <w:p w:rsidR="00E53A37" w:rsidRDefault="006E3763">
      <w:pPr>
        <w:spacing w:after="0" w:line="240" w:lineRule="auto"/>
        <w:jc w:val="right"/>
        <w:rPr>
          <w:rFonts w:ascii="Times New Roman" w:hAnsi="Times New Roman" w:cs="Times New Roman"/>
          <w:i/>
          <w:noProof/>
          <w:sz w:val="24"/>
          <w:szCs w:val="24"/>
        </w:rPr>
      </w:pPr>
      <w:r>
        <w:rPr>
          <w:rFonts w:ascii="Times New Roman" w:hAnsi="Times New Roman"/>
          <w:i/>
          <w:noProof/>
          <w:sz w:val="24"/>
        </w:rPr>
        <w:t>Europos Vadovų Taryba pakartoja savo raginimą valstybėms narėms, Sąjungos institucijoms ir</w:t>
      </w:r>
    </w:p>
    <w:p w:rsidR="00E53A37" w:rsidRDefault="006E3763">
      <w:pPr>
        <w:spacing w:after="0" w:line="240" w:lineRule="auto"/>
        <w:jc w:val="right"/>
        <w:rPr>
          <w:rFonts w:ascii="Times New Roman" w:hAnsi="Times New Roman" w:cs="Times New Roman"/>
          <w:i/>
          <w:noProof/>
          <w:sz w:val="24"/>
          <w:szCs w:val="24"/>
        </w:rPr>
      </w:pPr>
      <w:r>
        <w:rPr>
          <w:rFonts w:ascii="Times New Roman" w:hAnsi="Times New Roman"/>
          <w:i/>
          <w:noProof/>
          <w:sz w:val="24"/>
        </w:rPr>
        <w:t>visiems suinteresuotiesiems subjektams suintensyvinti parengiamąjį darbą visais lygmenimis ir rengiantis visiems galimiems rezultatams.</w:t>
      </w:r>
    </w:p>
    <w:p w:rsidR="00E53A37" w:rsidRDefault="006E3763">
      <w:pPr>
        <w:spacing w:after="120" w:line="240" w:lineRule="auto"/>
        <w:jc w:val="right"/>
        <w:rPr>
          <w:rFonts w:ascii="Times New Roman" w:hAnsi="Times New Roman" w:cs="Times New Roman"/>
          <w:noProof/>
          <w:sz w:val="16"/>
          <w:szCs w:val="16"/>
        </w:rPr>
      </w:pPr>
      <w:r>
        <w:rPr>
          <w:rFonts w:ascii="Times New Roman" w:hAnsi="Times New Roman"/>
          <w:noProof/>
          <w:sz w:val="16"/>
        </w:rPr>
        <w:t>Europos Vadovų Taryba (50 straipsnis), 2018 m. birželio 29 d.</w:t>
      </w:r>
      <w:r>
        <w:rPr>
          <w:rStyle w:val="FootnoteReference"/>
          <w:rFonts w:ascii="Times New Roman" w:hAnsi="Times New Roman"/>
          <w:noProof/>
          <w:sz w:val="18"/>
        </w:rPr>
        <w:footnoteReference w:id="4"/>
      </w:r>
    </w:p>
    <w:p w:rsidR="00E53A37" w:rsidRDefault="00E53A37">
      <w:pPr>
        <w:spacing w:after="120" w:line="240" w:lineRule="auto"/>
        <w:jc w:val="right"/>
        <w:rPr>
          <w:noProof/>
          <w:sz w:val="16"/>
          <w:szCs w:val="16"/>
        </w:rPr>
      </w:pPr>
    </w:p>
    <w:p w:rsidR="00E53A37" w:rsidRDefault="006E3763">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cs="Times New Roman"/>
          <w:b/>
          <w:i/>
          <w:noProof/>
          <w:sz w:val="24"/>
          <w:szCs w:val="24"/>
        </w:rPr>
      </w:pPr>
      <w:r>
        <w:rPr>
          <w:rFonts w:ascii="Times New Roman" w:hAnsi="Times New Roman"/>
          <w:b/>
          <w:i/>
          <w:noProof/>
          <w:sz w:val="24"/>
        </w:rPr>
        <w:t>Santrauka</w:t>
      </w:r>
    </w:p>
    <w:p w:rsidR="00E53A37" w:rsidRDefault="006E3763">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cs="Times New Roman"/>
          <w:noProof/>
          <w:sz w:val="24"/>
          <w:szCs w:val="24"/>
        </w:rPr>
      </w:pPr>
      <w:r>
        <w:rPr>
          <w:rFonts w:ascii="Times New Roman" w:hAnsi="Times New Roman"/>
          <w:noProof/>
          <w:sz w:val="24"/>
        </w:rPr>
        <w:t>Jungtinės Karalystės išstojimas iš Europos Sąjungos turi poveikį piliečiams, įmonėms ir viešojo administravimo institucijoms tiek Jungtinėje Karalystėje, tiek Europos Sąjungoje. Šis poveikis yra įvairus: pradedant naujais patikrinimais prie ES (naujos) išorės sienos ir baigiant JK išduotų licencijų, sertifikatų ir leidimų galiojimu, taip pat naujomis duomenų perdavimo sąlygomis.</w:t>
      </w:r>
    </w:p>
    <w:p w:rsidR="00E53A37" w:rsidRDefault="006E3763">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cs="Times New Roman"/>
          <w:noProof/>
          <w:sz w:val="24"/>
          <w:szCs w:val="24"/>
        </w:rPr>
      </w:pPr>
      <w:r>
        <w:rPr>
          <w:rFonts w:ascii="Times New Roman" w:hAnsi="Times New Roman"/>
          <w:noProof/>
          <w:sz w:val="24"/>
        </w:rPr>
        <w:t>Europos Sąjunga deda didžiules pastangas, kad būtų pasiektas susitarimas dėl tvarkingo išstojimo, ir yra pasirengusi aptarti būsimų santykių su Jungtine Karalyste sistemą.</w:t>
      </w:r>
    </w:p>
    <w:p w:rsidR="00E53A37" w:rsidRDefault="006E3763">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cs="Times New Roman"/>
          <w:noProof/>
          <w:sz w:val="24"/>
          <w:szCs w:val="24"/>
        </w:rPr>
      </w:pPr>
      <w:r>
        <w:rPr>
          <w:rFonts w:ascii="Times New Roman" w:hAnsi="Times New Roman"/>
          <w:noProof/>
          <w:sz w:val="24"/>
        </w:rPr>
        <w:t>Tačiau nėra tikrumo, kad susitarimas bus pasiektas. Net jei susitarimas ir bus pasiektas, Jungtinės Karalystės santykiai su Europos Sąjunga daugiau nebebus kaip su viena iš valstybių narių, taigi padėtis iš esmės skirsis.</w:t>
      </w:r>
    </w:p>
    <w:p w:rsidR="00E53A37" w:rsidRDefault="006E3763">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cs="Times New Roman"/>
          <w:noProof/>
          <w:sz w:val="24"/>
          <w:szCs w:val="24"/>
        </w:rPr>
      </w:pPr>
      <w:r>
        <w:rPr>
          <w:rFonts w:ascii="Times New Roman" w:hAnsi="Times New Roman"/>
          <w:noProof/>
          <w:sz w:val="24"/>
        </w:rPr>
        <w:t>Todėl kiekvienas su tuo susijęs subjektas turi būti pasirengęs Jungtinės Karalystės išstojimui iš Europos Sąjungos 2019 m. kovo 30 d. Šiuo komunikatu atsižvelgiama į 27 ES valstybių narių vadovų raginimą suintensyvinti pasirengimą visais lygmenimis ir visi suinteresuotieji subjektai, kuriems Jungtinės Karalystės išstojimas gali turėti poveikio, skatinami nedelsiant imtis būtinų pasirengimo veiksmų.</w:t>
      </w:r>
    </w:p>
    <w:p w:rsidR="00E53A37" w:rsidRDefault="006E3763">
      <w:pPr>
        <w:rPr>
          <w:noProof/>
          <w:sz w:val="16"/>
          <w:szCs w:val="16"/>
        </w:rPr>
      </w:pPr>
      <w:r>
        <w:rPr>
          <w:noProof/>
        </w:rPr>
        <w:br w:type="page"/>
      </w:r>
    </w:p>
    <w:p w:rsidR="00E53A37" w:rsidRDefault="006E3763">
      <w:pPr>
        <w:pStyle w:val="NormalWeb"/>
        <w:numPr>
          <w:ilvl w:val="0"/>
          <w:numId w:val="7"/>
        </w:numPr>
        <w:spacing w:before="600" w:beforeAutospacing="0"/>
        <w:ind w:left="357" w:hanging="357"/>
        <w:rPr>
          <w:b/>
          <w:noProof/>
          <w:sz w:val="28"/>
          <w:szCs w:val="28"/>
        </w:rPr>
      </w:pPr>
      <w:r>
        <w:rPr>
          <w:b/>
          <w:noProof/>
          <w:sz w:val="28"/>
        </w:rPr>
        <w:t>Bendroji informacija</w:t>
      </w:r>
    </w:p>
    <w:p w:rsidR="00E53A37" w:rsidRDefault="006E3763">
      <w:pPr>
        <w:spacing w:before="240" w:after="120" w:line="240" w:lineRule="auto"/>
        <w:jc w:val="both"/>
        <w:rPr>
          <w:rFonts w:ascii="Times New Roman" w:hAnsi="Times New Roman" w:cs="Times New Roman"/>
          <w:b/>
          <w:i/>
          <w:noProof/>
          <w:sz w:val="28"/>
          <w:szCs w:val="28"/>
        </w:rPr>
      </w:pPr>
      <w:r>
        <w:rPr>
          <w:rFonts w:ascii="Times New Roman" w:hAnsi="Times New Roman"/>
          <w:b/>
          <w:i/>
          <w:noProof/>
          <w:sz w:val="28"/>
        </w:rPr>
        <w:t>Jungtinė Karalystė nusprendė išstoti iš Europos Sąjungos</w:t>
      </w:r>
    </w:p>
    <w:p w:rsidR="00E53A37" w:rsidRDefault="006E3763">
      <w:pPr>
        <w:spacing w:line="240" w:lineRule="auto"/>
        <w:jc w:val="both"/>
        <w:rPr>
          <w:rFonts w:ascii="Times New Roman" w:hAnsi="Times New Roman" w:cs="Times New Roman"/>
          <w:noProof/>
          <w:sz w:val="24"/>
          <w:szCs w:val="24"/>
        </w:rPr>
      </w:pPr>
      <w:r>
        <w:rPr>
          <w:rFonts w:ascii="Times New Roman" w:hAnsi="Times New Roman"/>
          <w:noProof/>
          <w:sz w:val="24"/>
        </w:rPr>
        <w:t>2019 m. kovo 30 d.</w:t>
      </w:r>
      <w:r>
        <w:rPr>
          <w:rStyle w:val="FootnoteReference"/>
          <w:rFonts w:ascii="Times New Roman" w:hAnsi="Times New Roman"/>
          <w:noProof/>
          <w:sz w:val="24"/>
        </w:rPr>
        <w:footnoteReference w:id="5"/>
      </w:r>
      <w:r>
        <w:rPr>
          <w:rFonts w:ascii="Times New Roman" w:hAnsi="Times New Roman"/>
          <w:noProof/>
          <w:sz w:val="24"/>
        </w:rPr>
        <w:t xml:space="preserve"> Jungtinė Karalystė išstos iš Europos Sąjungos ir taps trečiąja šalimi.</w:t>
      </w:r>
    </w:p>
    <w:p w:rsidR="00E53A37" w:rsidRDefault="006E3763">
      <w:pPr>
        <w:spacing w:line="240" w:lineRule="auto"/>
        <w:jc w:val="both"/>
        <w:rPr>
          <w:rFonts w:ascii="Times New Roman" w:hAnsi="Times New Roman" w:cs="Times New Roman"/>
          <w:noProof/>
          <w:sz w:val="24"/>
          <w:szCs w:val="24"/>
        </w:rPr>
      </w:pPr>
      <w:r>
        <w:rPr>
          <w:rFonts w:ascii="Times New Roman" w:hAnsi="Times New Roman"/>
          <w:noProof/>
          <w:sz w:val="24"/>
        </w:rPr>
        <w:t>Nepaisant numatyto scenarijaus, Europos piliečiams, įmonėms ir viešojo administravimo institucijoms kils didelių trikdžių. Europos Vadovų Taryba ne kartą pabrėžė, kad reikia imtis pasirengimo veiksmų, ir 2018 m. birželio 29 d. pakartotinai paragino valstybes nares, Sąjungos institucijas ir visus suinteresuotuosius subjektus suintensyvinti pasirengimą visais lygmenimis ir rengiantis visiems galimiems rezultatams</w:t>
      </w:r>
      <w:r>
        <w:rPr>
          <w:rStyle w:val="FootnoteReference"/>
          <w:rFonts w:ascii="Times New Roman" w:hAnsi="Times New Roman"/>
          <w:noProof/>
          <w:sz w:val="24"/>
        </w:rPr>
        <w:footnoteReference w:id="6"/>
      </w:r>
      <w:r>
        <w:rPr>
          <w:rFonts w:ascii="Times New Roman" w:hAnsi="Times New Roman"/>
          <w:noProof/>
          <w:sz w:val="24"/>
        </w:rPr>
        <w:t>. Šiame komunikate aprašomas vykdomas pasirengimas, išvardijami pasirengimo veiksmai, kurių imtasi iki šiol, ir nurodomi įvairūs laukiantys sunkumai.</w:t>
      </w:r>
    </w:p>
    <w:p w:rsidR="00E53A37" w:rsidRDefault="006E3763">
      <w:pPr>
        <w:pStyle w:val="NormalWeb"/>
        <w:spacing w:after="120" w:afterAutospacing="0"/>
        <w:rPr>
          <w:b/>
          <w:i/>
          <w:noProof/>
          <w:sz w:val="28"/>
          <w:szCs w:val="28"/>
        </w:rPr>
      </w:pPr>
      <w:r>
        <w:rPr>
          <w:b/>
          <w:i/>
          <w:noProof/>
          <w:sz w:val="28"/>
        </w:rPr>
        <w:t>Vyksta derybos dėl susitarimo dėl išstojimo</w:t>
      </w:r>
    </w:p>
    <w:p w:rsidR="00E53A37" w:rsidRDefault="006E3763">
      <w:pPr>
        <w:spacing w:line="240" w:lineRule="auto"/>
        <w:jc w:val="both"/>
        <w:rPr>
          <w:rFonts w:ascii="Times New Roman" w:hAnsi="Times New Roman" w:cs="Times New Roman"/>
          <w:noProof/>
          <w:sz w:val="24"/>
          <w:szCs w:val="24"/>
        </w:rPr>
      </w:pPr>
      <w:r>
        <w:rPr>
          <w:rFonts w:ascii="Times New Roman" w:hAnsi="Times New Roman"/>
          <w:noProof/>
          <w:sz w:val="24"/>
        </w:rPr>
        <w:t>Europos Sąjunga ir Jungtinė Karalystė dabar derasi dėl susitarimo dėl išstojimo. 2018 m. kovo 19 d.</w:t>
      </w:r>
      <w:r>
        <w:rPr>
          <w:rStyle w:val="FootnoteReference"/>
          <w:rFonts w:ascii="Times New Roman" w:hAnsi="Times New Roman"/>
          <w:noProof/>
          <w:sz w:val="24"/>
        </w:rPr>
        <w:footnoteReference w:id="7"/>
      </w:r>
      <w:r>
        <w:rPr>
          <w:rFonts w:ascii="Times New Roman" w:hAnsi="Times New Roman"/>
          <w:noProof/>
          <w:sz w:val="24"/>
        </w:rPr>
        <w:t xml:space="preserve"> pranešta apie derybininkų padarytą pažangą dėl teisinio teksto. Ši pažanga – tai išsamūs susitarimai, pagal kuriuos pereinamasis laikotarpis tęstųsi iki 2020 m. gruodžio 31 d. (žr. toliau). Apie tolesnę pažangą pranešta 2018 m. birželio 19 d.</w:t>
      </w:r>
      <w:r>
        <w:rPr>
          <w:rStyle w:val="FootnoteReference"/>
          <w:rFonts w:ascii="Times New Roman" w:hAnsi="Times New Roman"/>
          <w:noProof/>
          <w:sz w:val="24"/>
        </w:rPr>
        <w:footnoteReference w:id="8"/>
      </w:r>
      <w:r>
        <w:rPr>
          <w:rFonts w:ascii="Times New Roman" w:hAnsi="Times New Roman"/>
          <w:noProof/>
          <w:sz w:val="24"/>
        </w:rPr>
        <w:t xml:space="preserve"> ES ir JK derybininkų bendrame pareiškime. Nors padaryta pažanga, dar neišspręsti svarbūs klausimai, be kita ko, dėl geografinių nuorodų, kurios buvo saugomos Jungtinėje Karalystėje, kai ji buvo valstybė narė, tolesnės apsaugos Jungtinėje Karalystėje ir asmens duomenų, perduodamų Jungtinei Karalystei, kai ji buvo narė, apsaugos standartų. Taip pat neišspręsti klausimai, susiję su vykdomu policijos ir teismų bendradarbiavimu baudžiamosiose bylose. Be to, dar reikia išspręsti klausimus, susijusius su susitarimo dėl išstojimo valdymu, įskaitant Europos Sąjungos Teisingumo Teismo vaidmenį. Galiausiai, nebuvo padaryta pažangos tariantis dėl stabilumą užtikrinančio sprendimo, kad būtų išvengta fizinės sienos Airijos saloje, nesvarbu, koks bus derybų dėl būsimų santykių rezultatas.</w:t>
      </w:r>
    </w:p>
    <w:p w:rsidR="00E53A37" w:rsidRDefault="006E3763">
      <w:pPr>
        <w:spacing w:line="240" w:lineRule="auto"/>
        <w:jc w:val="both"/>
        <w:rPr>
          <w:rFonts w:ascii="Times New Roman" w:hAnsi="Times New Roman" w:cs="Times New Roman"/>
          <w:i/>
          <w:noProof/>
          <w:sz w:val="24"/>
          <w:szCs w:val="24"/>
        </w:rPr>
      </w:pPr>
      <w:r>
        <w:rPr>
          <w:rFonts w:ascii="Times New Roman" w:hAnsi="Times New Roman"/>
          <w:noProof/>
          <w:sz w:val="24"/>
        </w:rPr>
        <w:t xml:space="preserve">Kartu su susitarimo dėl išstojimo projektu Europos Sąjunga ir Jungtinė Karalystė pradėjo svarstyti politinio pareiškimo, kuriame būtų nustatytas bendras Europos Sąjungos ir Jungtinės Karalystės būsimų santykių sistemos supratimas, turinį. </w:t>
      </w:r>
    </w:p>
    <w:p w:rsidR="00E53A37" w:rsidRDefault="006E3763">
      <w:pPr>
        <w:spacing w:line="240" w:lineRule="auto"/>
        <w:jc w:val="both"/>
        <w:rPr>
          <w:rFonts w:ascii="Times New Roman" w:hAnsi="Times New Roman" w:cs="Times New Roman"/>
          <w:noProof/>
          <w:sz w:val="24"/>
          <w:szCs w:val="24"/>
        </w:rPr>
      </w:pPr>
      <w:r>
        <w:rPr>
          <w:rFonts w:ascii="Times New Roman" w:hAnsi="Times New Roman"/>
          <w:noProof/>
          <w:sz w:val="24"/>
        </w:rPr>
        <w:t>Dabar planuojama, kad 2018 m. spalio mėn. Europos Sąjunga ir Jungtinė Karalystė turėtų susitarti dėl susitarimo dėl išstojimo, prie kurio būtų pridėtas politinis pareiškimas dėl jų būsimų santykių. Taip liktų tik tiek laiko, kiek jo reikia susitarimo sudarymo procesui Europos Sąjungoje (Taryboje, gavus Europos Parlamento pritarimą) ir ratifikavimui Jungtinėje Karalystėje.</w:t>
      </w:r>
    </w:p>
    <w:p w:rsidR="00E53A37" w:rsidRDefault="006E3763">
      <w:pPr>
        <w:pStyle w:val="NormalWeb"/>
        <w:jc w:val="both"/>
        <w:rPr>
          <w:b/>
          <w:i/>
          <w:noProof/>
          <w:sz w:val="28"/>
          <w:szCs w:val="28"/>
        </w:rPr>
      </w:pPr>
      <w:r>
        <w:rPr>
          <w:b/>
          <w:i/>
          <w:noProof/>
          <w:sz w:val="28"/>
        </w:rPr>
        <w:t>Susitarimo dėl išstojimo sudarymas ir ratifikavimas yra sudėtingas procesas</w:t>
      </w:r>
    </w:p>
    <w:p w:rsidR="00E53A37" w:rsidRDefault="00E53A37">
      <w:pPr>
        <w:pStyle w:val="NormalWeb"/>
        <w:jc w:val="both"/>
        <w:rPr>
          <w:b/>
          <w:i/>
          <w:noProof/>
        </w:rPr>
      </w:pPr>
    </w:p>
    <w:p w:rsidR="00E53A37" w:rsidRDefault="006E3763">
      <w:pPr>
        <w:pStyle w:val="NormalWeb"/>
        <w:spacing w:before="0" w:beforeAutospacing="0" w:after="0" w:afterAutospacing="0"/>
        <w:jc w:val="both"/>
        <w:rPr>
          <w:noProof/>
        </w:rPr>
      </w:pPr>
      <w:r>
        <w:rPr>
          <w:noProof/>
          <w:lang w:bidi="ar-SA"/>
        </w:rPr>
        <w:drawing>
          <wp:inline distT="0" distB="0" distL="0" distR="0">
            <wp:extent cx="5760720" cy="364041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760720" cy="3640414"/>
                    </a:xfrm>
                    <a:prstGeom prst="rect">
                      <a:avLst/>
                    </a:prstGeom>
                    <a:noFill/>
                    <a:ln>
                      <a:noFill/>
                    </a:ln>
                  </pic:spPr>
                </pic:pic>
              </a:graphicData>
            </a:graphic>
          </wp:inline>
        </w:drawing>
      </w:r>
    </w:p>
    <w:p w:rsidR="00E53A37" w:rsidRDefault="00E53A37">
      <w:pPr>
        <w:spacing w:line="240" w:lineRule="auto"/>
        <w:jc w:val="both"/>
        <w:rPr>
          <w:rFonts w:ascii="Times New Roman" w:hAnsi="Times New Roman" w:cs="Times New Roman"/>
          <w:b/>
          <w:i/>
          <w:noProof/>
          <w:sz w:val="28"/>
          <w:szCs w:val="28"/>
        </w:rPr>
      </w:pPr>
    </w:p>
    <w:p w:rsidR="00E53A37" w:rsidRDefault="006E3763">
      <w:pPr>
        <w:spacing w:line="240" w:lineRule="auto"/>
        <w:jc w:val="both"/>
        <w:rPr>
          <w:rFonts w:ascii="Times New Roman" w:hAnsi="Times New Roman" w:cs="Times New Roman"/>
          <w:b/>
          <w:i/>
          <w:noProof/>
          <w:sz w:val="28"/>
          <w:szCs w:val="28"/>
        </w:rPr>
      </w:pPr>
      <w:r>
        <w:rPr>
          <w:rFonts w:ascii="Times New Roman" w:hAnsi="Times New Roman"/>
          <w:b/>
          <w:i/>
          <w:noProof/>
          <w:sz w:val="28"/>
        </w:rPr>
        <w:t>Gali būti pereinamasis laikotarpis...</w:t>
      </w:r>
    </w:p>
    <w:p w:rsidR="00E53A37" w:rsidRDefault="006E3763">
      <w:pPr>
        <w:spacing w:line="240" w:lineRule="auto"/>
        <w:jc w:val="both"/>
        <w:rPr>
          <w:rFonts w:ascii="Times New Roman" w:hAnsi="Times New Roman" w:cs="Times New Roman"/>
          <w:noProof/>
          <w:sz w:val="24"/>
          <w:szCs w:val="24"/>
        </w:rPr>
      </w:pPr>
      <w:r>
        <w:rPr>
          <w:rFonts w:ascii="Times New Roman" w:hAnsi="Times New Roman"/>
          <w:noProof/>
          <w:sz w:val="24"/>
        </w:rPr>
        <w:t xml:space="preserve">Jeigu Europos Sąjunga ir Jungtinė Karalystė susitars dėl susitarimo dėl išstojimo projekto, jame būtų numatytas pereinamasis laikotarpis nuo išstojimo dienos (t. y. 2019 m. kovo 30 d.) iki 2020 m. gruodžio 31 d. Per pereinamąjį laikotarpį Sąjungos taisyklės (vadinamasis Sąjungos </w:t>
      </w:r>
      <w:r>
        <w:rPr>
          <w:rFonts w:ascii="Times New Roman" w:hAnsi="Times New Roman"/>
          <w:i/>
          <w:noProof/>
          <w:sz w:val="24"/>
        </w:rPr>
        <w:t>acquis</w:t>
      </w:r>
      <w:r>
        <w:rPr>
          <w:rFonts w:ascii="Times New Roman" w:hAnsi="Times New Roman"/>
          <w:noProof/>
          <w:sz w:val="24"/>
        </w:rPr>
        <w:t>, įskaitant tarptautinius susitarimus</w:t>
      </w:r>
      <w:r>
        <w:rPr>
          <w:rStyle w:val="FootnoteReference"/>
          <w:rFonts w:ascii="Times New Roman" w:hAnsi="Times New Roman"/>
          <w:noProof/>
          <w:sz w:val="24"/>
        </w:rPr>
        <w:footnoteReference w:id="9"/>
      </w:r>
      <w:r>
        <w:rPr>
          <w:rFonts w:ascii="Times New Roman" w:hAnsi="Times New Roman"/>
          <w:noProof/>
          <w:sz w:val="24"/>
        </w:rPr>
        <w:t>), kurios toliau plėtojamos, apskritai bus taikomos Jungtinei Karalystei ir Jungtinėje Karalystėje, nors Jungtinė Karalystė nebedalyvaus ES institucijų, įstaigų ar agentūrų valdyme ar sprendimų priėmime. Taigi pereinamasis laikotarpis suteiks dar 21 mėnesį pasirengti dienai, kai ES teisė nebebus taikoma Jungtinei Karalystei ir Jungtinėje Karalystėje.</w:t>
      </w:r>
    </w:p>
    <w:p w:rsidR="00E53A37" w:rsidRDefault="006E3763">
      <w:pPr>
        <w:rPr>
          <w:rFonts w:ascii="Times New Roman" w:hAnsi="Times New Roman" w:cs="Times New Roman"/>
          <w:b/>
          <w:i/>
          <w:noProof/>
          <w:sz w:val="28"/>
          <w:szCs w:val="28"/>
        </w:rPr>
      </w:pPr>
      <w:r>
        <w:rPr>
          <w:noProof/>
        </w:rPr>
        <w:br w:type="page"/>
      </w:r>
    </w:p>
    <w:p w:rsidR="00E53A37" w:rsidRDefault="006E3763">
      <w:pPr>
        <w:spacing w:before="240" w:line="240" w:lineRule="auto"/>
        <w:jc w:val="both"/>
        <w:rPr>
          <w:rFonts w:ascii="Times New Roman" w:hAnsi="Times New Roman" w:cs="Times New Roman"/>
          <w:b/>
          <w:i/>
          <w:noProof/>
          <w:sz w:val="28"/>
          <w:szCs w:val="28"/>
        </w:rPr>
      </w:pPr>
      <w:r>
        <w:rPr>
          <w:rFonts w:ascii="Times New Roman" w:hAnsi="Times New Roman"/>
          <w:b/>
          <w:i/>
          <w:noProof/>
          <w:sz w:val="28"/>
        </w:rPr>
        <w:t>... bet turime pasirengti visiems scenarijams...</w:t>
      </w:r>
    </w:p>
    <w:p w:rsidR="00E53A37" w:rsidRDefault="006E3763">
      <w:pPr>
        <w:spacing w:line="240" w:lineRule="auto"/>
        <w:jc w:val="both"/>
        <w:rPr>
          <w:rFonts w:ascii="Times New Roman" w:hAnsi="Times New Roman" w:cs="Times New Roman"/>
          <w:noProof/>
          <w:sz w:val="24"/>
          <w:szCs w:val="24"/>
        </w:rPr>
      </w:pPr>
      <w:r>
        <w:rPr>
          <w:rFonts w:ascii="Times New Roman" w:hAnsi="Times New Roman"/>
          <w:noProof/>
          <w:sz w:val="24"/>
        </w:rPr>
        <w:t>Suinteresuotieji subjektai ir nacionalinės bei ES viešojo administravimo institucijos turi pasirengti dviem galimiems pagrindiniams scenarijams:</w:t>
      </w:r>
    </w:p>
    <w:p w:rsidR="00E53A37" w:rsidRDefault="006E3763">
      <w:pPr>
        <w:pStyle w:val="ListParagraph"/>
        <w:numPr>
          <w:ilvl w:val="0"/>
          <w:numId w:val="22"/>
        </w:numPr>
        <w:spacing w:line="240" w:lineRule="auto"/>
        <w:jc w:val="both"/>
        <w:rPr>
          <w:rFonts w:ascii="Times New Roman" w:hAnsi="Times New Roman" w:cs="Times New Roman"/>
          <w:noProof/>
          <w:sz w:val="24"/>
          <w:szCs w:val="24"/>
        </w:rPr>
      </w:pPr>
      <w:r>
        <w:rPr>
          <w:rFonts w:ascii="Times New Roman" w:hAnsi="Times New Roman"/>
          <w:noProof/>
          <w:sz w:val="24"/>
        </w:rPr>
        <w:t xml:space="preserve">jei susitarimas dėl išstojimo bus ratifikuotas dar iki 2019 m. kovo 30 d., kad jis galėtų įsigalioti tą dieną, Jungtinei Karalystei ir Jungtinėje Karalystėje ES teisė nebebus taikoma nuo </w:t>
      </w:r>
      <w:r>
        <w:rPr>
          <w:rFonts w:ascii="Times New Roman" w:hAnsi="Times New Roman"/>
          <w:b/>
          <w:noProof/>
          <w:sz w:val="24"/>
        </w:rPr>
        <w:t>2021 m. sausio 1 d.</w:t>
      </w:r>
      <w:r>
        <w:rPr>
          <w:rFonts w:ascii="Times New Roman" w:hAnsi="Times New Roman"/>
          <w:noProof/>
          <w:sz w:val="24"/>
        </w:rPr>
        <w:t xml:space="preserve">, t. y. pasibaigus 21 mėnesio pereinamajam laikotarpiui, kurio sąlygos nustatytos susitarime dėl išstojimo; </w:t>
      </w:r>
    </w:p>
    <w:p w:rsidR="00E53A37" w:rsidRDefault="00E53A37">
      <w:pPr>
        <w:pStyle w:val="ListParagraph"/>
        <w:spacing w:before="120" w:after="120" w:line="240" w:lineRule="auto"/>
        <w:ind w:left="360"/>
        <w:jc w:val="both"/>
        <w:rPr>
          <w:rFonts w:ascii="Times New Roman" w:hAnsi="Times New Roman" w:cs="Times New Roman"/>
          <w:noProof/>
          <w:sz w:val="24"/>
          <w:szCs w:val="24"/>
        </w:rPr>
      </w:pPr>
    </w:p>
    <w:p w:rsidR="00E53A37" w:rsidRDefault="006E3763">
      <w:pPr>
        <w:pStyle w:val="ListParagraph"/>
        <w:numPr>
          <w:ilvl w:val="0"/>
          <w:numId w:val="22"/>
        </w:numPr>
        <w:spacing w:line="240" w:lineRule="auto"/>
        <w:jc w:val="both"/>
        <w:rPr>
          <w:rFonts w:ascii="Times New Roman" w:hAnsi="Times New Roman" w:cs="Times New Roman"/>
          <w:noProof/>
          <w:sz w:val="24"/>
          <w:szCs w:val="24"/>
        </w:rPr>
      </w:pPr>
      <w:r>
        <w:rPr>
          <w:rFonts w:ascii="Times New Roman" w:hAnsi="Times New Roman"/>
          <w:noProof/>
          <w:sz w:val="24"/>
        </w:rPr>
        <w:t xml:space="preserve">jei </w:t>
      </w:r>
      <w:r>
        <w:rPr>
          <w:rFonts w:ascii="Times New Roman" w:hAnsi="Times New Roman"/>
          <w:b/>
          <w:noProof/>
          <w:sz w:val="24"/>
        </w:rPr>
        <w:t>nebus susitarta</w:t>
      </w:r>
      <w:r>
        <w:rPr>
          <w:rFonts w:ascii="Times New Roman" w:hAnsi="Times New Roman"/>
          <w:noProof/>
          <w:sz w:val="24"/>
        </w:rPr>
        <w:t xml:space="preserve"> dėl susitarimo dėl išstojimo arba jei abi šalys to susitarimo </w:t>
      </w:r>
      <w:r>
        <w:rPr>
          <w:rFonts w:ascii="Times New Roman" w:hAnsi="Times New Roman"/>
          <w:b/>
          <w:noProof/>
          <w:sz w:val="24"/>
        </w:rPr>
        <w:t>neratifikuos</w:t>
      </w:r>
      <w:r>
        <w:rPr>
          <w:rFonts w:ascii="Times New Roman" w:hAnsi="Times New Roman"/>
          <w:noProof/>
          <w:sz w:val="24"/>
        </w:rPr>
        <w:t xml:space="preserve"> laiku, pereinamojo laikotarpio nebus ir Jungtinei Karalystei ir Jungtinėje Karalystėje ES teisė nebebus taikoma nuo </w:t>
      </w:r>
      <w:r>
        <w:rPr>
          <w:rFonts w:ascii="Times New Roman" w:hAnsi="Times New Roman"/>
          <w:b/>
          <w:noProof/>
          <w:sz w:val="24"/>
        </w:rPr>
        <w:t>2019 m. kovo 30 d.</w:t>
      </w:r>
      <w:r>
        <w:rPr>
          <w:rFonts w:ascii="Times New Roman" w:hAnsi="Times New Roman"/>
          <w:noProof/>
          <w:sz w:val="24"/>
        </w:rPr>
        <w:t xml:space="preserve"> (šis scenarijus vadinamas baigties be sutarties arba staigaus lūžio scenarijumi.)</w:t>
      </w:r>
    </w:p>
    <w:p w:rsidR="00E53A37" w:rsidRDefault="006E3763">
      <w:pPr>
        <w:spacing w:line="240" w:lineRule="auto"/>
        <w:jc w:val="both"/>
        <w:rPr>
          <w:rFonts w:ascii="Times New Roman" w:hAnsi="Times New Roman" w:cs="Times New Roman"/>
          <w:noProof/>
          <w:sz w:val="24"/>
          <w:szCs w:val="24"/>
        </w:rPr>
      </w:pPr>
      <w:r>
        <w:rPr>
          <w:rFonts w:ascii="Times New Roman" w:hAnsi="Times New Roman"/>
          <w:noProof/>
          <w:sz w:val="24"/>
        </w:rPr>
        <w:t>Be to, net jei susitarimas dėl išstojimo bus ratifikuotas ir susitarimas dėl būsimų santykių bus sėkmingai sudarytas per pereinamąjį laikotarpį, šie santykiai nebebūtų Sąjungos valstybės narės santykiais. Europos Vadovų Taryba nuolat primena, kad trečioji šalis negali turėti tokių pačių teisių ir gauti tokią pačią naudą kaip valstybė narė. Todėl labai svarbu pasirengti tam, kad Jungtinė Karalystė bus trečioji šalis, netgi jei tai būtų scenarijus, pagal kurį trikdžių būtų mažiausia.</w:t>
      </w:r>
    </w:p>
    <w:p w:rsidR="00E53A37" w:rsidRDefault="006E3763">
      <w:pPr>
        <w:spacing w:before="360" w:after="360" w:line="240" w:lineRule="auto"/>
        <w:jc w:val="both"/>
        <w:rPr>
          <w:rFonts w:ascii="Times New Roman" w:hAnsi="Times New Roman" w:cs="Times New Roman"/>
          <w:b/>
          <w:i/>
          <w:noProof/>
          <w:sz w:val="28"/>
          <w:szCs w:val="28"/>
        </w:rPr>
      </w:pPr>
      <w:r>
        <w:rPr>
          <w:rFonts w:ascii="Times New Roman" w:hAnsi="Times New Roman"/>
          <w:b/>
          <w:i/>
          <w:noProof/>
          <w:sz w:val="28"/>
        </w:rPr>
        <w:t>... o kiekvienas scenarijus turi kitokių padarinių</w:t>
      </w:r>
    </w:p>
    <w:tbl>
      <w:tblPr>
        <w:tblStyle w:val="TableGrid"/>
        <w:tblW w:w="0" w:type="auto"/>
        <w:tblLook w:val="04A0" w:firstRow="1" w:lastRow="0" w:firstColumn="1" w:lastColumn="0" w:noHBand="0" w:noVBand="1"/>
      </w:tblPr>
      <w:tblGrid>
        <w:gridCol w:w="9288"/>
      </w:tblGrid>
      <w:tr w:rsidR="00E53A37">
        <w:tc>
          <w:tcPr>
            <w:tcW w:w="9288" w:type="dxa"/>
          </w:tcPr>
          <w:p w:rsidR="00E53A37" w:rsidRDefault="006E3763">
            <w:pPr>
              <w:ind w:left="360"/>
              <w:jc w:val="both"/>
              <w:rPr>
                <w:rFonts w:ascii="Times New Roman" w:hAnsi="Times New Roman" w:cs="Times New Roman"/>
                <w:b/>
                <w:noProof/>
                <w:sz w:val="24"/>
                <w:szCs w:val="24"/>
              </w:rPr>
            </w:pPr>
            <w:r>
              <w:rPr>
                <w:rFonts w:ascii="Times New Roman" w:hAnsi="Times New Roman"/>
                <w:b/>
                <w:noProof/>
                <w:sz w:val="24"/>
              </w:rPr>
              <w:t>Pagrindiniai 1 scenarijaus padariniai: išstojimas 2019 m. kovo 30 d. pagal susitarimą dėl išstojimo, įskaitant pereinamąjį laikotarpį iki 2020 m. gruodžio 31 d.</w:t>
            </w:r>
          </w:p>
          <w:p w:rsidR="00E53A37" w:rsidRDefault="00E53A37">
            <w:pPr>
              <w:pStyle w:val="ListParagraph"/>
              <w:ind w:left="0"/>
              <w:jc w:val="both"/>
              <w:rPr>
                <w:rFonts w:ascii="Times New Roman" w:hAnsi="Times New Roman" w:cs="Times New Roman"/>
                <w:b/>
                <w:noProof/>
                <w:sz w:val="24"/>
                <w:szCs w:val="24"/>
              </w:rPr>
            </w:pPr>
          </w:p>
          <w:p w:rsidR="00E53A37" w:rsidRDefault="006E3763">
            <w:pPr>
              <w:pStyle w:val="ListParagraph"/>
              <w:numPr>
                <w:ilvl w:val="0"/>
                <w:numId w:val="12"/>
              </w:numPr>
              <w:jc w:val="both"/>
              <w:rPr>
                <w:rFonts w:ascii="Times New Roman" w:hAnsi="Times New Roman" w:cs="Times New Roman"/>
                <w:noProof/>
                <w:sz w:val="24"/>
                <w:szCs w:val="24"/>
              </w:rPr>
            </w:pPr>
            <w:r>
              <w:rPr>
                <w:rFonts w:ascii="Times New Roman" w:hAnsi="Times New Roman"/>
                <w:noProof/>
                <w:sz w:val="24"/>
              </w:rPr>
              <w:t>Jungtinė Karalystė bus trečioji šalis.</w:t>
            </w:r>
          </w:p>
          <w:p w:rsidR="00E53A37" w:rsidRDefault="006E3763">
            <w:pPr>
              <w:pStyle w:val="ListParagraph"/>
              <w:numPr>
                <w:ilvl w:val="0"/>
                <w:numId w:val="12"/>
              </w:numPr>
              <w:jc w:val="both"/>
              <w:rPr>
                <w:rFonts w:ascii="Times New Roman" w:hAnsi="Times New Roman" w:cs="Times New Roman"/>
                <w:noProof/>
                <w:sz w:val="24"/>
                <w:szCs w:val="24"/>
              </w:rPr>
            </w:pPr>
            <w:r>
              <w:rPr>
                <w:rFonts w:ascii="Times New Roman" w:hAnsi="Times New Roman"/>
                <w:noProof/>
                <w:sz w:val="24"/>
              </w:rPr>
              <w:t>Jungtinei Karalystei ir Jungtinėje Karalystėje bus toliau tebetaikoma Sąjungos teisė. Apskritai ES teisė būtų toliau taikoma per pereinamąjį laikotarpį.</w:t>
            </w:r>
          </w:p>
          <w:p w:rsidR="00E53A37" w:rsidRDefault="006E3763">
            <w:pPr>
              <w:pStyle w:val="ListParagraph"/>
              <w:numPr>
                <w:ilvl w:val="0"/>
                <w:numId w:val="12"/>
              </w:numPr>
              <w:jc w:val="both"/>
              <w:rPr>
                <w:rFonts w:ascii="Times New Roman" w:hAnsi="Times New Roman" w:cs="Times New Roman"/>
                <w:noProof/>
                <w:sz w:val="24"/>
                <w:szCs w:val="24"/>
              </w:rPr>
            </w:pPr>
            <w:r>
              <w:rPr>
                <w:rFonts w:ascii="Times New Roman" w:hAnsi="Times New Roman"/>
                <w:noProof/>
                <w:sz w:val="24"/>
              </w:rPr>
              <w:t>Pasitraukimas iš institucinės struktūros. Nuo 2019 m. kovo 30 d. Jungtinė Karalystė nebedalyvautų ES priimant sprendimus, ES institucijų darbe ir ES įstaigų bei agentūrų valdyme.</w:t>
            </w:r>
          </w:p>
          <w:p w:rsidR="00E53A37" w:rsidRDefault="006E3763">
            <w:pPr>
              <w:pStyle w:val="ListParagraph"/>
              <w:numPr>
                <w:ilvl w:val="0"/>
                <w:numId w:val="12"/>
              </w:numPr>
              <w:jc w:val="both"/>
              <w:rPr>
                <w:rFonts w:ascii="Times New Roman" w:hAnsi="Times New Roman" w:cs="Times New Roman"/>
                <w:noProof/>
                <w:sz w:val="24"/>
                <w:szCs w:val="24"/>
              </w:rPr>
            </w:pPr>
            <w:r>
              <w:rPr>
                <w:rFonts w:ascii="Times New Roman" w:hAnsi="Times New Roman"/>
                <w:noProof/>
                <w:sz w:val="24"/>
              </w:rPr>
              <w:t>Pereinamojo laikotarpio valdymas. ES institucijos toliau atliktų savo vaidmenį vykdydamos ES teisės priežiūrą ir vykdymo užtikrinimą Jungtinėje Karalystėje.</w:t>
            </w:r>
          </w:p>
          <w:p w:rsidR="00E53A37" w:rsidRDefault="006E3763">
            <w:pPr>
              <w:pStyle w:val="ListParagraph"/>
              <w:numPr>
                <w:ilvl w:val="0"/>
                <w:numId w:val="12"/>
              </w:numPr>
              <w:jc w:val="both"/>
              <w:rPr>
                <w:rFonts w:ascii="Times New Roman" w:hAnsi="Times New Roman" w:cs="Times New Roman"/>
                <w:noProof/>
                <w:sz w:val="24"/>
                <w:szCs w:val="24"/>
              </w:rPr>
            </w:pPr>
            <w:r>
              <w:rPr>
                <w:rFonts w:ascii="Times New Roman" w:hAnsi="Times New Roman"/>
                <w:noProof/>
                <w:sz w:val="24"/>
              </w:rPr>
              <w:t>Derybos dėl būsimų santykių. Europos Sąjunga turėtų susiderėti su Jungtine Karalyste dėl susitarimo dėl būsimų santykių, kuris idealiu atveju turėtų būti parengtas (sutartas, pasirašytas ir ratifikuotas) pereinamojo laikotarpio pabaigoje ir būti taikomas nuo 2021 m. sausio 1 d.</w:t>
            </w:r>
          </w:p>
          <w:p w:rsidR="00E53A37" w:rsidRDefault="00E53A37">
            <w:pPr>
              <w:jc w:val="both"/>
              <w:rPr>
                <w:rFonts w:ascii="Times New Roman" w:hAnsi="Times New Roman" w:cs="Times New Roman"/>
                <w:noProof/>
                <w:sz w:val="24"/>
                <w:szCs w:val="24"/>
              </w:rPr>
            </w:pPr>
          </w:p>
        </w:tc>
      </w:tr>
    </w:tbl>
    <w:p w:rsidR="00E53A37" w:rsidRDefault="00E53A37">
      <w:pPr>
        <w:spacing w:line="240" w:lineRule="auto"/>
        <w:jc w:val="both"/>
        <w:rPr>
          <w:rFonts w:ascii="Times New Roman" w:hAnsi="Times New Roman" w:cs="Times New Roman"/>
          <w:noProof/>
          <w:sz w:val="24"/>
          <w:szCs w:val="24"/>
        </w:rPr>
      </w:pPr>
    </w:p>
    <w:p w:rsidR="00E53A37" w:rsidRDefault="006E3763">
      <w:pPr>
        <w:rPr>
          <w:rFonts w:ascii="Times New Roman" w:hAnsi="Times New Roman" w:cs="Times New Roman"/>
          <w:noProof/>
          <w:sz w:val="24"/>
          <w:szCs w:val="24"/>
        </w:rPr>
      </w:pPr>
      <w:r>
        <w:rPr>
          <w:noProof/>
        </w:rPr>
        <w:br w:type="page"/>
      </w:r>
    </w:p>
    <w:tbl>
      <w:tblPr>
        <w:tblStyle w:val="TableGrid"/>
        <w:tblW w:w="0" w:type="auto"/>
        <w:tblLook w:val="04A0" w:firstRow="1" w:lastRow="0" w:firstColumn="1" w:lastColumn="0" w:noHBand="0" w:noVBand="1"/>
      </w:tblPr>
      <w:tblGrid>
        <w:gridCol w:w="9288"/>
      </w:tblGrid>
      <w:tr w:rsidR="00E53A37">
        <w:tc>
          <w:tcPr>
            <w:tcW w:w="9288" w:type="dxa"/>
          </w:tcPr>
          <w:p w:rsidR="00E53A37" w:rsidRDefault="006E3763">
            <w:pPr>
              <w:jc w:val="both"/>
              <w:rPr>
                <w:rFonts w:ascii="Times New Roman" w:hAnsi="Times New Roman" w:cs="Times New Roman"/>
                <w:b/>
                <w:noProof/>
                <w:sz w:val="24"/>
                <w:szCs w:val="24"/>
              </w:rPr>
            </w:pPr>
            <w:r>
              <w:rPr>
                <w:rFonts w:ascii="Times New Roman" w:hAnsi="Times New Roman"/>
                <w:b/>
                <w:noProof/>
                <w:sz w:val="24"/>
              </w:rPr>
              <w:t>Pagrindiniai 2 scenarijaus padariniai: išstojimas 2019 m. kovo 30 d. be susitarimo dėl išstojimo</w:t>
            </w:r>
          </w:p>
          <w:p w:rsidR="00E53A37" w:rsidRDefault="00E53A37">
            <w:pPr>
              <w:jc w:val="both"/>
              <w:rPr>
                <w:rFonts w:ascii="Times New Roman" w:hAnsi="Times New Roman" w:cs="Times New Roman"/>
                <w:noProof/>
                <w:sz w:val="24"/>
                <w:szCs w:val="24"/>
              </w:rPr>
            </w:pPr>
          </w:p>
          <w:p w:rsidR="00E53A37" w:rsidRDefault="006E3763">
            <w:pPr>
              <w:pStyle w:val="ListParagraph"/>
              <w:numPr>
                <w:ilvl w:val="0"/>
                <w:numId w:val="16"/>
              </w:numPr>
              <w:jc w:val="both"/>
              <w:rPr>
                <w:rFonts w:ascii="Times New Roman" w:hAnsi="Times New Roman" w:cs="Times New Roman"/>
                <w:noProof/>
                <w:sz w:val="24"/>
                <w:szCs w:val="24"/>
              </w:rPr>
            </w:pPr>
            <w:r>
              <w:rPr>
                <w:rFonts w:ascii="Times New Roman" w:hAnsi="Times New Roman"/>
                <w:noProof/>
                <w:sz w:val="24"/>
              </w:rPr>
              <w:t>Jungtinė Karalystė bus trečioji šalis ir Sąjungos teisė nebebus taikoma Jungtinei Karalystei ir Jungtinėje Karalystėje</w:t>
            </w:r>
            <w:r>
              <w:rPr>
                <w:rStyle w:val="FootnoteReference"/>
                <w:rFonts w:ascii="Times New Roman" w:hAnsi="Times New Roman"/>
                <w:noProof/>
                <w:sz w:val="24"/>
              </w:rPr>
              <w:footnoteReference w:id="10"/>
            </w:r>
            <w:r>
              <w:rPr>
                <w:rFonts w:ascii="Times New Roman" w:hAnsi="Times New Roman"/>
                <w:noProof/>
                <w:sz w:val="24"/>
              </w:rPr>
              <w:t>.</w:t>
            </w:r>
          </w:p>
          <w:p w:rsidR="00E53A37" w:rsidRDefault="006E3763">
            <w:pPr>
              <w:pStyle w:val="ListParagraph"/>
              <w:numPr>
                <w:ilvl w:val="0"/>
                <w:numId w:val="16"/>
              </w:numPr>
              <w:jc w:val="both"/>
              <w:rPr>
                <w:rFonts w:ascii="Times New Roman" w:hAnsi="Times New Roman" w:cs="Times New Roman"/>
                <w:noProof/>
                <w:sz w:val="24"/>
                <w:szCs w:val="24"/>
              </w:rPr>
            </w:pPr>
            <w:r>
              <w:rPr>
                <w:rFonts w:ascii="Times New Roman" w:hAnsi="Times New Roman"/>
                <w:noProof/>
                <w:sz w:val="24"/>
              </w:rPr>
              <w:t>Piliečiai. Nebūtų jokio specialaus susitarimo dėl ES piliečių Jungtinėje Karalystėje ar dėl JK piliečių Europos Sąjungoje.</w:t>
            </w:r>
          </w:p>
          <w:p w:rsidR="00E53A37" w:rsidRDefault="006E3763">
            <w:pPr>
              <w:pStyle w:val="ListParagraph"/>
              <w:numPr>
                <w:ilvl w:val="0"/>
                <w:numId w:val="16"/>
              </w:numPr>
              <w:jc w:val="both"/>
              <w:rPr>
                <w:rFonts w:ascii="Times New Roman" w:hAnsi="Times New Roman" w:cs="Times New Roman"/>
                <w:noProof/>
                <w:sz w:val="24"/>
                <w:szCs w:val="24"/>
              </w:rPr>
            </w:pPr>
            <w:r>
              <w:rPr>
                <w:rFonts w:ascii="Times New Roman" w:hAnsi="Times New Roman"/>
                <w:noProof/>
                <w:sz w:val="24"/>
              </w:rPr>
              <w:t>Sienos klausimai. Europos Sąjunga privalo taikyti savo reglamentavimą ir tarifus prie sienų su Jungtine Karalyste, kaip trečiąja šalimi, be kita ko, muitinį tikrinimą ir kontrolę, sanitarijos bei fitosanitarijos standartus ir atitikties ES normoms tikrinimą. Būtų padarytas didelis poveikis transportui tarp Jungtinės Karalystės ir Europos Sąjungos. Dėl muitinio, sanitarijos ir fitosanitarijos tikrinimo prie sienų galėtų atsirasti didelių vėlavimų, pvz., kelių transporto sektoriuje, ir iškilti sunkumų uostuose.</w:t>
            </w:r>
          </w:p>
          <w:p w:rsidR="00E53A37" w:rsidRDefault="006E3763">
            <w:pPr>
              <w:pStyle w:val="ListParagraph"/>
              <w:numPr>
                <w:ilvl w:val="0"/>
                <w:numId w:val="16"/>
              </w:numPr>
              <w:jc w:val="both"/>
              <w:rPr>
                <w:rFonts w:ascii="Times New Roman" w:hAnsi="Times New Roman" w:cs="Times New Roman"/>
                <w:noProof/>
                <w:sz w:val="24"/>
                <w:szCs w:val="24"/>
              </w:rPr>
            </w:pPr>
            <w:r>
              <w:rPr>
                <w:rFonts w:ascii="Times New Roman" w:hAnsi="Times New Roman"/>
                <w:noProof/>
                <w:sz w:val="24"/>
              </w:rPr>
              <w:t>Prekybos ir reglamentavimo klausimai. Jungtinė Karalystė tampa trečiąja šalimi, kurios santykiai su Europos Sąjunga būtų reglamentuojami pagal bendrąją tarptautinę viešąją teisę, įskaitant Pasaulio prekybos organizacijos taisykles. Visų pirma labai reglamentuojamuose sektoriuose tai būtų didelis trūkumas, palyginti su dabartiniu rinkos integracijos lygmeniu.</w:t>
            </w:r>
          </w:p>
          <w:p w:rsidR="00E53A37" w:rsidRDefault="006E3763">
            <w:pPr>
              <w:pStyle w:val="ListParagraph"/>
              <w:numPr>
                <w:ilvl w:val="0"/>
                <w:numId w:val="16"/>
              </w:numPr>
              <w:jc w:val="both"/>
              <w:rPr>
                <w:rFonts w:ascii="Times New Roman" w:hAnsi="Times New Roman" w:cs="Times New Roman"/>
                <w:noProof/>
                <w:sz w:val="24"/>
                <w:szCs w:val="24"/>
              </w:rPr>
            </w:pPr>
            <w:r>
              <w:rPr>
                <w:rFonts w:ascii="Times New Roman" w:hAnsi="Times New Roman"/>
                <w:noProof/>
                <w:sz w:val="24"/>
              </w:rPr>
              <w:t>Derybos su Jungtine Karalyste. Priklausomai nuo aplinkybių, kuriomis išstojimas būtų be susitarimo, ES gali išreikšti norą pradėti derybas su Jungtine Karalyste, kaip trečiąja šalimi.</w:t>
            </w:r>
          </w:p>
          <w:p w:rsidR="00E53A37" w:rsidRDefault="006E3763">
            <w:pPr>
              <w:pStyle w:val="ListParagraph"/>
              <w:numPr>
                <w:ilvl w:val="0"/>
                <w:numId w:val="16"/>
              </w:numPr>
              <w:jc w:val="both"/>
              <w:rPr>
                <w:rFonts w:ascii="Times New Roman" w:hAnsi="Times New Roman" w:cs="Times New Roman"/>
                <w:noProof/>
                <w:sz w:val="24"/>
                <w:szCs w:val="24"/>
              </w:rPr>
            </w:pPr>
            <w:r>
              <w:rPr>
                <w:rFonts w:ascii="Times New Roman" w:hAnsi="Times New Roman"/>
                <w:noProof/>
                <w:sz w:val="24"/>
              </w:rPr>
              <w:t>ES finansavimas. ES subjektai nebebūtų tinkami finansuoti kaip Sąjungos subjektai, jei norėtų gauti ES dotacijų ir dalyvauti ES viešųjų pirkimų procedūrose. Jeigu galiojančiomis teisinėmis nuostatomis nebus nustatyta kitaip, kandidatai arba konkurso dalyviai iš Jungtinės Karalystės galėtų būti atmesti.</w:t>
            </w:r>
          </w:p>
        </w:tc>
      </w:tr>
    </w:tbl>
    <w:p w:rsidR="00E53A37" w:rsidRDefault="006E3763">
      <w:pPr>
        <w:pStyle w:val="NormalWeb"/>
        <w:spacing w:before="360" w:beforeAutospacing="0"/>
        <w:rPr>
          <w:b/>
          <w:noProof/>
          <w:sz w:val="28"/>
          <w:szCs w:val="28"/>
        </w:rPr>
      </w:pPr>
      <w:r>
        <w:rPr>
          <w:b/>
          <w:noProof/>
          <w:sz w:val="28"/>
        </w:rPr>
        <w:t>2. Kuo skiriasi pasirengimas ir veikimas nenumatytais atvejais</w:t>
      </w:r>
    </w:p>
    <w:p w:rsidR="00E53A37" w:rsidRDefault="006E3763">
      <w:pPr>
        <w:pStyle w:val="NormalWeb"/>
        <w:jc w:val="both"/>
        <w:rPr>
          <w:noProof/>
        </w:rPr>
      </w:pPr>
      <w:r>
        <w:rPr>
          <w:noProof/>
        </w:rPr>
        <w:t xml:space="preserve">Ardant santykius, kurie buvo kuriami daugiau kaip keturis dešimtmečius, neišvengiamai labai pasikeis ryšiai su Jungtine Karalyste visais lygmenimis, be kita ko, ekonomikos ir teisės. Pasirengimas negali užkirsti kelio šiems pakeitimams, kurie yra Jungtinės Karalystės sprendimo padarinys, tačiau juo siekiama sušvelninti jų poveikį. Derėdamasi su Jungtine Karalyste dėl tvarkingo išstojimo, Europos Sąjunga siekia apginti 27 valstybių narių Sąjungos interesus, o jos piliečiai, įmonės ir valstybės narės taip pat turėtų imtis veiksmų ir pasirengti. </w:t>
      </w:r>
      <w:r>
        <w:rPr>
          <w:b/>
          <w:noProof/>
        </w:rPr>
        <w:t>Todėl pasirengimas turi būti nedelsiant spartinamas visais lygmenimis ir atsižvelgiant į visus galimus rezultatus</w:t>
      </w:r>
      <w:r>
        <w:rPr>
          <w:noProof/>
        </w:rPr>
        <w:t xml:space="preserve">. </w:t>
      </w:r>
    </w:p>
    <w:p w:rsidR="00E53A37" w:rsidRDefault="006E3763">
      <w:pPr>
        <w:pStyle w:val="NormalWeb"/>
        <w:jc w:val="both"/>
        <w:rPr>
          <w:noProof/>
        </w:rPr>
      </w:pPr>
      <w:r>
        <w:rPr>
          <w:noProof/>
        </w:rPr>
        <w:t xml:space="preserve">Piliečiams, įmonėms ir valstybėms narėms bus daromas skirtingas poveikis, o trikdžių mastas priklausys nuo daugelio veiksnių, be kita ko, nuo to, ar įsigalios susitarimas dėl išstojimo, ir nuo būsimų Europos Sąjungos ir Jungtinės Karalystės santykių. </w:t>
      </w:r>
    </w:p>
    <w:p w:rsidR="00E53A37" w:rsidRDefault="006E3763">
      <w:pPr>
        <w:pStyle w:val="NormalWeb"/>
        <w:jc w:val="both"/>
        <w:rPr>
          <w:noProof/>
        </w:rPr>
      </w:pPr>
      <w:r>
        <w:rPr>
          <w:noProof/>
        </w:rPr>
        <w:t xml:space="preserve">Pasirengimas reiškia, kad reikia numatyti visus galimus scenarijus ir įvertinti visą svarbią susijusią riziką, planuoti atsakomąsias priemones ir reaguoti į galimus rezultatus. Reikia imtis visų galimų ir būtinų priemonių siekiant užtikrinti, kad Sąjungos suinteresuotieji subjektai ir valdžios institucijos suplanuotų atsakomąsias priemones ir galėtų kuo labiau sumažinti riziką. Todėl kiekvienas turi pasirengti pokyčiams, kurių neišvengiamai bus dėl Jungtinės Karalystės išstojimo. </w:t>
      </w:r>
    </w:p>
    <w:p w:rsidR="00E53A37" w:rsidRDefault="006E3763">
      <w:pPr>
        <w:pStyle w:val="NormalWeb"/>
        <w:jc w:val="both"/>
        <w:rPr>
          <w:noProof/>
        </w:rPr>
      </w:pPr>
      <w:r>
        <w:rPr>
          <w:noProof/>
        </w:rPr>
        <w:t>Apibrėždama veiksmus, kurių reikės imtis, Komisija išskiria dviejų rūšių priemones: pasirengimo priemones ir nenumatytų atvejų planavimą.</w:t>
      </w:r>
    </w:p>
    <w:p w:rsidR="00E53A37" w:rsidRDefault="006E3763">
      <w:pPr>
        <w:pStyle w:val="NormalWeb"/>
        <w:numPr>
          <w:ilvl w:val="0"/>
          <w:numId w:val="23"/>
        </w:numPr>
        <w:spacing w:before="0" w:beforeAutospacing="0" w:after="240" w:afterAutospacing="0"/>
        <w:jc w:val="both"/>
        <w:rPr>
          <w:b/>
          <w:i/>
          <w:noProof/>
          <w:sz w:val="28"/>
          <w:szCs w:val="28"/>
        </w:rPr>
      </w:pPr>
      <w:r>
        <w:rPr>
          <w:b/>
          <w:i/>
          <w:noProof/>
          <w:sz w:val="28"/>
        </w:rPr>
        <w:t>Pasirengimo priemonės</w:t>
      </w:r>
    </w:p>
    <w:p w:rsidR="00E53A37" w:rsidRDefault="006E3763">
      <w:pPr>
        <w:pStyle w:val="NormalWeb"/>
        <w:spacing w:before="0" w:beforeAutospacing="0" w:after="240" w:afterAutospacing="0"/>
        <w:jc w:val="both"/>
        <w:rPr>
          <w:noProof/>
        </w:rPr>
      </w:pPr>
      <w:r>
        <w:rPr>
          <w:noProof/>
        </w:rPr>
        <w:t xml:space="preserve">Pasirengimo priemonės yra priemonės, kurių reikės imtis Jungtinei Karalystei išstojus, nepriklausomai nuo to, ar su Jungtine Karalyste bus sudarytas susitarimas dėl išstojimo, ar ne. </w:t>
      </w:r>
    </w:p>
    <w:p w:rsidR="00E53A37" w:rsidRDefault="006E3763">
      <w:pPr>
        <w:pStyle w:val="NormalWeb"/>
        <w:spacing w:before="0" w:beforeAutospacing="0" w:after="240" w:afterAutospacing="0"/>
        <w:jc w:val="both"/>
        <w:rPr>
          <w:noProof/>
        </w:rPr>
      </w:pPr>
      <w:r>
        <w:rPr>
          <w:noProof/>
        </w:rPr>
        <w:t xml:space="preserve">Pavyzdžiui, ekonominės veiklos vykdytojams, kurie dabar vykdo veiklą turėdami Jungtinės Karalystės institucijų ir įstaigų išduotus leidimus ir sertifikatus, pasirengimo priemonės, be kitų priemonių, galėtų būti prašymų išduoti leidimus ir sertifikatus teikimas 27 ES valstybėse narėse siekiant užsitikrinti nuolatinę galimybę patekti į ES rinką. Valstybės narės galbūt norės apsvarstyti priemones, kuriomis siekiama sumažinti papildomą administracinę naštą, kuri atsirastų dėl naujų sienos kontrolės priemonių ir pagausėjusių ekonominės veiklos vykdytojų prašymų išduoti 27 ES valstybių narių licencijas arba sertifikatus. </w:t>
      </w:r>
    </w:p>
    <w:p w:rsidR="00E53A37" w:rsidRDefault="006E3763">
      <w:pPr>
        <w:pStyle w:val="NormalWeb"/>
        <w:spacing w:before="0" w:beforeAutospacing="0" w:after="240" w:afterAutospacing="0"/>
        <w:jc w:val="both"/>
        <w:rPr>
          <w:noProof/>
        </w:rPr>
      </w:pPr>
      <w:r>
        <w:rPr>
          <w:noProof/>
        </w:rPr>
        <w:t>ES lygmeniu pasirengimo priemonių pavyzdžiai yra Londone esančių decentralizuotų agentūrų perkėlimas ir Jungtinės Karalystės institucijų užduočių perdavimas 27 ES valstybių narių institucijoms. Šios priemonės būtinos, nesvarbu, koks susitarimas bus sudarytas su Jungtine Karalyste, nes negalima trečiajai šaliai pavesti tokių Sąjungos užduočių arba leisti joje veikti Sąjungos įstaigoms.</w:t>
      </w:r>
    </w:p>
    <w:p w:rsidR="00E53A37" w:rsidRDefault="006E3763">
      <w:pPr>
        <w:pStyle w:val="NormalWeb"/>
        <w:numPr>
          <w:ilvl w:val="0"/>
          <w:numId w:val="23"/>
        </w:numPr>
        <w:spacing w:before="360" w:beforeAutospacing="0" w:after="240" w:afterAutospacing="0"/>
        <w:ind w:left="714" w:hanging="357"/>
        <w:jc w:val="both"/>
        <w:rPr>
          <w:b/>
          <w:i/>
          <w:noProof/>
          <w:sz w:val="28"/>
          <w:szCs w:val="28"/>
        </w:rPr>
      </w:pPr>
      <w:r>
        <w:rPr>
          <w:b/>
          <w:i/>
          <w:noProof/>
          <w:sz w:val="28"/>
        </w:rPr>
        <w:t>Nenumatytų atvejų planavimas</w:t>
      </w:r>
    </w:p>
    <w:p w:rsidR="00E53A37" w:rsidRDefault="006E3763">
      <w:pPr>
        <w:pStyle w:val="NormalWeb"/>
        <w:spacing w:before="0" w:beforeAutospacing="0" w:after="240" w:afterAutospacing="0"/>
        <w:jc w:val="both"/>
        <w:rPr>
          <w:noProof/>
        </w:rPr>
      </w:pPr>
      <w:r>
        <w:rPr>
          <w:noProof/>
        </w:rPr>
        <w:t xml:space="preserve">Nors ES teisė nesikeičia, dėl derybų procesą gaubiančio netikrumo reikia nustatyti visus scenarijus. </w:t>
      </w:r>
    </w:p>
    <w:p w:rsidR="00E53A37" w:rsidRDefault="006E3763">
      <w:pPr>
        <w:pStyle w:val="NormalWeb"/>
        <w:spacing w:before="120" w:beforeAutospacing="0"/>
        <w:jc w:val="both"/>
        <w:rPr>
          <w:noProof/>
        </w:rPr>
      </w:pPr>
      <w:r>
        <w:rPr>
          <w:noProof/>
        </w:rPr>
        <w:t xml:space="preserve">Nenumatytų atvejų planavimas – numatyti priemones, kurių prireiktų siekiant sumažinti Jungtinės Karalystės išstojimo iš Sąjungos be susitarimo dėl išstojimo, taigi be pereinamojo laikotarpio, padarinius, kurių neišvengiamai būtų priartėjus išstojimo datai (2019 m. kovo 30 d.). </w:t>
      </w:r>
    </w:p>
    <w:p w:rsidR="00E53A37" w:rsidRDefault="006E3763">
      <w:pPr>
        <w:spacing w:line="240" w:lineRule="auto"/>
        <w:jc w:val="both"/>
        <w:rPr>
          <w:rFonts w:ascii="Times New Roman" w:hAnsi="Times New Roman" w:cs="Times New Roman"/>
          <w:noProof/>
          <w:sz w:val="24"/>
          <w:szCs w:val="24"/>
        </w:rPr>
      </w:pPr>
      <w:r>
        <w:rPr>
          <w:rFonts w:ascii="Times New Roman" w:hAnsi="Times New Roman"/>
          <w:noProof/>
          <w:sz w:val="24"/>
        </w:rPr>
        <w:t>Nenumatytiems atvejams skirtos priemonės iš esmės būtų laikinos, kol būtų nustatytos būtinos ilgalaikės sureguliavimo priemonės. Nenumatytiems atvejams skirtomis priemonėmis negalima pasiekti tokių pačių rezultatų kaip tvarkingu išstojimu, dėl kurio susiderama susitarimu dėl išstojimo, jomis taip pat nebūtų galima atkurti esamos padėties, kai Jungtinė Karalystė yra valstybė narė.</w:t>
      </w:r>
    </w:p>
    <w:p w:rsidR="00E53A37" w:rsidRDefault="006E3763">
      <w:pPr>
        <w:pStyle w:val="NormalWeb"/>
        <w:spacing w:before="0" w:beforeAutospacing="0" w:after="240" w:afterAutospacing="0"/>
        <w:jc w:val="both"/>
        <w:rPr>
          <w:noProof/>
        </w:rPr>
      </w:pPr>
      <w:r>
        <w:rPr>
          <w:noProof/>
        </w:rPr>
        <w:t>Nenumatytų atvejų planavimas numatant blogiausią įmanomą rezultatą nėra nepasitikėjimo derybomis ženklas. Komisija skiria labai daug išteklių ir deda dideles pastangas, kad būtų pasiektas susitarimas. Jis tebėra mūsų tikslas. Tačiau derybų rezultatų prognozuoti negalima.</w:t>
      </w:r>
    </w:p>
    <w:p w:rsidR="00E53A37" w:rsidRDefault="006E3763">
      <w:pPr>
        <w:spacing w:after="240" w:line="240" w:lineRule="auto"/>
        <w:jc w:val="both"/>
        <w:rPr>
          <w:rFonts w:ascii="Times New Roman" w:hAnsi="Times New Roman" w:cs="Times New Roman"/>
          <w:noProof/>
          <w:sz w:val="24"/>
          <w:szCs w:val="24"/>
        </w:rPr>
      </w:pPr>
      <w:r>
        <w:rPr>
          <w:rFonts w:ascii="Times New Roman" w:hAnsi="Times New Roman"/>
          <w:noProof/>
          <w:sz w:val="24"/>
        </w:rPr>
        <w:t>Nenumatytiems atvejams skirtos priemonės nebūtinai reikštų teisėkūros veiksmus ES lygmeniu ir galėtų patekti į valstybių narių atsakomybės sritį, priklausomai nuo kompetencijos srities. Pavyzdžiui, muitinės srityje iš esmės nereikėtų keisti Sąjungos muitinės kodekso, nes jame jau nustatytos taisyklės dėl trečiųjų šalių; gali prireikti nenumatytiems atvejams skirtų priemonių nacionaliniu lygmeniu, kad būtų galima išspręsti ilgų transporto priemonių eilių susidarymo laukiant, kol bus atliktos muitinės procedūros, rizikos klausimą. Sąjungos muitinės kodekso teisinėje sistemoje reikėtų parengti nenumatytiems atvejams skirtų priemonių ir jas įgyvendinti koordinuotai.</w:t>
      </w:r>
    </w:p>
    <w:p w:rsidR="00E53A37" w:rsidRDefault="00E53A37">
      <w:pPr>
        <w:spacing w:after="240" w:line="240" w:lineRule="auto"/>
        <w:jc w:val="both"/>
        <w:rPr>
          <w:rFonts w:ascii="Times New Roman" w:hAnsi="Times New Roman" w:cs="Times New Roman"/>
          <w:noProof/>
          <w:sz w:val="24"/>
          <w:szCs w:val="24"/>
        </w:rPr>
      </w:pPr>
    </w:p>
    <w:p w:rsidR="00E53A37" w:rsidRDefault="006E3763">
      <w:pPr>
        <w:autoSpaceDE w:val="0"/>
        <w:autoSpaceDN w:val="0"/>
        <w:adjustRightInd w:val="0"/>
        <w:spacing w:before="480" w:after="100" w:afterAutospacing="1" w:line="240" w:lineRule="auto"/>
        <w:rPr>
          <w:rFonts w:ascii="Times New Roman" w:hAnsi="Times New Roman" w:cs="Times New Roman"/>
          <w:b/>
          <w:noProof/>
          <w:sz w:val="28"/>
          <w:szCs w:val="28"/>
        </w:rPr>
      </w:pPr>
      <w:r>
        <w:rPr>
          <w:rFonts w:ascii="Times New Roman" w:hAnsi="Times New Roman"/>
          <w:b/>
          <w:noProof/>
          <w:sz w:val="28"/>
        </w:rPr>
        <w:t>3. Kas turėtų pasirengti?</w:t>
      </w:r>
    </w:p>
    <w:p w:rsidR="00E53A37" w:rsidRDefault="006E3763">
      <w:pPr>
        <w:spacing w:after="240" w:line="240" w:lineRule="auto"/>
        <w:jc w:val="both"/>
        <w:rPr>
          <w:rFonts w:ascii="Times New Roman" w:hAnsi="Times New Roman"/>
          <w:noProof/>
          <w:sz w:val="24"/>
        </w:rPr>
      </w:pPr>
      <w:r>
        <w:rPr>
          <w:rFonts w:ascii="Times New Roman" w:hAnsi="Times New Roman"/>
          <w:noProof/>
          <w:sz w:val="24"/>
        </w:rPr>
        <w:t>Pasirengti Jungtinės Karalystės išstojimui turėtų ne tik Europos Sąjungos institucijos. Tai bendros ES, nacionalinio, regioninio ir vietos lygmenų, taip pat ekonominės veiklos vykdytojų pastangos. Siekiant pasirengti išstojimui ir sumažinti blogiausią galimo staigaus lūžio scenarijaus poveikį, visiems veikėjams reikia prisiimti savo atsakomybę.</w:t>
      </w:r>
    </w:p>
    <w:p w:rsidR="00E53A37" w:rsidRDefault="006E3763">
      <w:pPr>
        <w:spacing w:after="240" w:line="240" w:lineRule="auto"/>
        <w:jc w:val="both"/>
        <w:rPr>
          <w:rFonts w:ascii="Times New Roman" w:hAnsi="Times New Roman"/>
          <w:b/>
          <w:i/>
          <w:noProof/>
          <w:sz w:val="28"/>
          <w:szCs w:val="28"/>
        </w:rPr>
      </w:pPr>
      <w:r>
        <w:rPr>
          <w:rFonts w:ascii="Times New Roman" w:hAnsi="Times New Roman"/>
          <w:b/>
          <w:i/>
          <w:noProof/>
          <w:sz w:val="28"/>
        </w:rPr>
        <w:t>Visų pirma pasirengti turi privatieji subjektai, ūkio subjektai ir specialistai</w:t>
      </w:r>
    </w:p>
    <w:p w:rsidR="00E53A37" w:rsidRDefault="006E3763">
      <w:pPr>
        <w:spacing w:after="240" w:line="240" w:lineRule="auto"/>
        <w:jc w:val="both"/>
        <w:rPr>
          <w:rFonts w:ascii="Times New Roman" w:hAnsi="Times New Roman"/>
          <w:noProof/>
          <w:sz w:val="24"/>
        </w:rPr>
      </w:pPr>
      <w:r>
        <w:rPr>
          <w:rFonts w:ascii="Times New Roman" w:hAnsi="Times New Roman"/>
          <w:noProof/>
          <w:sz w:val="24"/>
        </w:rPr>
        <w:t>Nors gali pasirodyti, kad Jungtinės Karalystės išstojimas vyksta aukštu ir gana abstrakčiu lygmeniu tarp Jungtinės Karalystės ir Europos Sąjungos, jo padariniai bus labai realūs piliečiams, specialistams ir verslo subjektams. Valstybių narių ekonomika yra glaudžiai tarpusavyje susijusi dėl bendrosios rinkos, kurioje veikia integruotos tarpvalstybinės tiekimo grandinės ir plačiai tarpvalstybiniu mastu teikiamos paslaugos. Todėl išstojimas tokiems ekonominės veiklos vykdytojams gali turėti didelį poveikį.</w:t>
      </w:r>
    </w:p>
    <w:p w:rsidR="00E53A37" w:rsidRDefault="006E3763">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Svarbu, kad visų dydžių įmonės, įskaitant mažąsias ir vidutines įmones (MVĮ), pasirengtų ir jos turi imtis veiksmų dabar. </w:t>
      </w:r>
      <w:r>
        <w:rPr>
          <w:rFonts w:ascii="Times New Roman" w:hAnsi="Times New Roman"/>
          <w:b/>
          <w:noProof/>
          <w:sz w:val="24"/>
        </w:rPr>
        <w:t>Privatiesiems subjektams, ūkio subjektams ir specialistams reikia prisiimti atsakomybę už savo konkrečią padėtį, įvertinti galimą staigaus lūžio scenarijaus poveikį savo verslo modeliui, priimti būtinus ekonominius sprendimus, imtis visų reikalingų administracinių veiksmų ir juos atlikti dar iki 2019 m. kovo 30 d. 2019 m. kovo 30 dienai taip pat turėtų pasirengti piliečiai, kuriems Jungtinės Karalystės išstojimas turės poveikį, taip pat viešojo administravimo institucijos, kurios tiems piliečiams teikia paslaugas</w:t>
      </w:r>
      <w:r>
        <w:rPr>
          <w:rFonts w:ascii="Times New Roman" w:hAnsi="Times New Roman"/>
          <w:noProof/>
          <w:sz w:val="24"/>
        </w:rPr>
        <w:t>.</w:t>
      </w:r>
    </w:p>
    <w:p w:rsidR="00E53A37" w:rsidRDefault="006E3763">
      <w:pPr>
        <w:spacing w:after="240" w:line="240" w:lineRule="auto"/>
        <w:jc w:val="both"/>
        <w:rPr>
          <w:rFonts w:ascii="Times New Roman" w:hAnsi="Times New Roman" w:cs="Times New Roman"/>
          <w:noProof/>
          <w:sz w:val="24"/>
          <w:szCs w:val="24"/>
        </w:rPr>
      </w:pPr>
      <w:r>
        <w:rPr>
          <w:rFonts w:ascii="Times New Roman" w:hAnsi="Times New Roman"/>
          <w:noProof/>
          <w:sz w:val="24"/>
        </w:rPr>
        <w:t>Galimus klausimus reikėtų užduoti kompetentingoms institucijoms. Tiek ES lygmens, tiek nacionalinio ir (arba) regioninio lygmens pramonės asociacijos atlieka labai svarbų vaidmenį savo nariams, ypač MVĮ, perduodamos informaciją apie pasirengimą. Ambasadoms, konsulatams ir paslaugas gyventojams teikiančioms tarnyboms tenka panašus vaidmuo informuojant piliečius.</w:t>
      </w:r>
    </w:p>
    <w:p w:rsidR="00E53A37" w:rsidRDefault="006E3763">
      <w:pPr>
        <w:spacing w:after="240" w:line="240" w:lineRule="auto"/>
        <w:jc w:val="both"/>
        <w:rPr>
          <w:rFonts w:ascii="Times New Roman" w:hAnsi="Times New Roman"/>
          <w:noProof/>
          <w:sz w:val="24"/>
        </w:rPr>
      </w:pPr>
      <w:r>
        <w:rPr>
          <w:rFonts w:ascii="Times New Roman" w:hAnsi="Times New Roman"/>
          <w:noProof/>
          <w:sz w:val="24"/>
        </w:rPr>
        <w:t>Todėl primenama, kad trečiosioms šalims taikoma ES reglamentavimo sistema jau veikia ir turėtų būti žinoma suinteresuotiesiems subjektams. Ši reglamentavimo sistema išstojimo dieną nepasikeis. Komisija yra paskelbusi pranešimų (žr. toliau ir priede), kuriuose primena taisykles, kurios bus taikomos, kai Jungtinė Karalystė taps trečiąja šalimi.</w:t>
      </w:r>
    </w:p>
    <w:p w:rsidR="00E53A37" w:rsidRDefault="006E3763">
      <w:pPr>
        <w:spacing w:after="240" w:line="240" w:lineRule="auto"/>
        <w:jc w:val="both"/>
        <w:rPr>
          <w:rFonts w:ascii="Times New Roman" w:hAnsi="Times New Roman" w:cs="Times New Roman"/>
          <w:noProof/>
          <w:sz w:val="24"/>
          <w:szCs w:val="24"/>
        </w:rPr>
      </w:pPr>
      <w:r>
        <w:rPr>
          <w:rFonts w:ascii="Times New Roman" w:hAnsi="Times New Roman"/>
          <w:noProof/>
          <w:sz w:val="24"/>
        </w:rPr>
        <w:t>Nors valdžios institucijos gali suteikti paramos ir rekomendacijų kuo geriau išaiškindamos teisinę sistemą, pagal kurią bus reglamentuojami Europos Sąjungos ir Jungtinės Karalystės santykiai, ir gali padaryti būtinų teisinės sistemos pakeitimų, kad užtikrintų jos sklandų veikimą 27 valstybių narių Europos Sąjungoje, teisinės sistemos negalima pritaikyti taip, kad ji tiktų kiekvienai atskirai konkrečiai įmonei.</w:t>
      </w:r>
    </w:p>
    <w:p w:rsidR="00E53A37" w:rsidRDefault="006E3763">
      <w:pPr>
        <w:spacing w:after="240" w:line="240" w:lineRule="auto"/>
        <w:jc w:val="both"/>
        <w:rPr>
          <w:rFonts w:ascii="Times New Roman" w:hAnsi="Times New Roman"/>
          <w:noProof/>
          <w:sz w:val="24"/>
        </w:rPr>
      </w:pPr>
      <w:r>
        <w:rPr>
          <w:rFonts w:ascii="Times New Roman" w:hAnsi="Times New Roman"/>
          <w:noProof/>
          <w:sz w:val="24"/>
        </w:rPr>
        <w:t>Daugelis bendrovių perkelia veiklą į 27 ES valstybes nares arba ją ten plečia. Kitos bendrovės perspėjo apie poveikį, kurį netvarkingas „Brexit’as“ turės jų veiklai ar verslo modeliams.</w:t>
      </w:r>
    </w:p>
    <w:p w:rsidR="00E53A37" w:rsidRDefault="006E3763">
      <w:pPr>
        <w:spacing w:after="240" w:line="240" w:lineRule="auto"/>
        <w:jc w:val="both"/>
        <w:rPr>
          <w:rFonts w:ascii="Times New Roman" w:hAnsi="Times New Roman"/>
          <w:noProof/>
          <w:sz w:val="24"/>
        </w:rPr>
      </w:pPr>
      <w:r>
        <w:rPr>
          <w:rFonts w:ascii="Times New Roman" w:hAnsi="Times New Roman"/>
          <w:noProof/>
          <w:sz w:val="24"/>
        </w:rPr>
        <w:t>Kai kuriais atvejais bendrovės susirūpinusios, pavyzdžiui, ar reikės pakeisti JK leidimą į vienos iš 27 ES valstybių narių institucijų ar įstaigų išduotą leidimą. Pavieniams specialistams gali tekti pakeisti Jungtinės Karalystės sertifikatą vienu iš 27 ES valstybių narių išduotu sertifikatu ar prašyti pripažinti JK profesines kvalifikacijas vienoje iš 27 ES valstybių narių. Todėl suinteresuotiesiems subjektams skirtais pranešimais (žr. toliau) jie buvo raginami kuo greičiau imtis būtinų veiksmų.</w:t>
      </w:r>
    </w:p>
    <w:p w:rsidR="00E53A37" w:rsidRDefault="006E3763">
      <w:pPr>
        <w:spacing w:after="240" w:line="240" w:lineRule="auto"/>
        <w:jc w:val="both"/>
        <w:rPr>
          <w:rFonts w:ascii="Times New Roman" w:hAnsi="Times New Roman" w:cs="Times New Roman"/>
          <w:noProof/>
          <w:sz w:val="24"/>
          <w:szCs w:val="24"/>
        </w:rPr>
      </w:pPr>
      <w:r>
        <w:rPr>
          <w:rFonts w:ascii="Times New Roman" w:hAnsi="Times New Roman"/>
          <w:noProof/>
          <w:sz w:val="24"/>
        </w:rPr>
        <w:t>Europos Sąjunga, nacionalinės ir regioninės institucijos bei prekybos organizacijos paskelbė pagrindžiamosios informacijos ir sukūrė priemonių, kurios padėtų asmenims ir įmonėms, tačiau reikia dėti daugiau pastangų ir skirti daugiau dėmesio MVĮ.</w:t>
      </w:r>
    </w:p>
    <w:p w:rsidR="00E53A37" w:rsidRDefault="006E3763">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b/>
          <w:noProof/>
          <w:sz w:val="24"/>
          <w:szCs w:val="24"/>
        </w:rPr>
      </w:pPr>
      <w:r>
        <w:rPr>
          <w:rFonts w:ascii="Times New Roman" w:hAnsi="Times New Roman"/>
          <w:b/>
          <w:noProof/>
          <w:sz w:val="24"/>
        </w:rPr>
        <w:t>Nuo ES vidaus prekybos prie prekybos su JK, kaip trečiąja šalimi. Pasirengimas naujoms procedūroms</w:t>
      </w:r>
    </w:p>
    <w:p w:rsidR="00E53A37" w:rsidRDefault="006E3763">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noProof/>
          <w:sz w:val="24"/>
          <w:szCs w:val="24"/>
        </w:rPr>
      </w:pPr>
      <w:r>
        <w:rPr>
          <w:rFonts w:ascii="Times New Roman" w:hAnsi="Times New Roman"/>
          <w:noProof/>
          <w:sz w:val="24"/>
        </w:rPr>
        <w:t>Tarptautinės prekybos subjektai žino, ką reiškia prekyba su trečiosiomis šalimis už Europos Sąjungos ribų, t. y. apie muitinės deklaracijas, sanitarijos ir fitosanitarijos tikrinimus ir kt. Jie taip pat žino, kokie taikomi būtinieji reikalavimai norint įvežti produktus iš trečiųjų šalių į Sąjungos bendrąją rinką, pavyzdžiui, kokie yra importo formalumai, taip pat atitiktis taikytiniems Sąjungos teisės aktams ir atitikties vertinimo procedūros. Tačiau daug bendrovių neturi prekybos su trečiosiomis šalimis patirties, nes jos prekiauja tik bendrojoje rinkoje be sienų. Todėl labai svarbu informuoti tas bendroves, nes jos patirs daugiausia sunkumų, kuriuos sukelia Jungtinės Karalystės išstojimas iš Europos Sąjungos: joms reikės atlikti procedūras, prie kurių jos nepripratusios, bet kurios privalomos prekybai su trečiosiomis šalimis</w:t>
      </w:r>
      <w:r>
        <w:rPr>
          <w:rStyle w:val="FootnoteReference"/>
          <w:rFonts w:ascii="Times New Roman" w:hAnsi="Times New Roman"/>
          <w:noProof/>
          <w:sz w:val="24"/>
        </w:rPr>
        <w:footnoteReference w:id="11"/>
      </w:r>
      <w:r>
        <w:rPr>
          <w:rFonts w:ascii="Times New Roman" w:hAnsi="Times New Roman"/>
          <w:noProof/>
          <w:sz w:val="24"/>
        </w:rPr>
        <w:t>.</w:t>
      </w:r>
    </w:p>
    <w:p w:rsidR="00E53A37" w:rsidRDefault="006E3763">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noProof/>
          <w:sz w:val="24"/>
          <w:szCs w:val="24"/>
        </w:rPr>
      </w:pPr>
      <w:r>
        <w:rPr>
          <w:rFonts w:ascii="Times New Roman" w:hAnsi="Times New Roman"/>
          <w:noProof/>
          <w:sz w:val="24"/>
        </w:rPr>
        <w:t>Informacija apie prekybą su trečiosiomis šalimis pateikiama Komisijos interneto svetainėje</w:t>
      </w:r>
      <w:r>
        <w:rPr>
          <w:rStyle w:val="FootnoteReference"/>
          <w:rFonts w:ascii="Times New Roman" w:hAnsi="Times New Roman"/>
          <w:noProof/>
          <w:sz w:val="24"/>
        </w:rPr>
        <w:footnoteReference w:id="12"/>
      </w:r>
      <w:r>
        <w:rPr>
          <w:rFonts w:ascii="Times New Roman" w:hAnsi="Times New Roman"/>
          <w:noProof/>
          <w:sz w:val="24"/>
        </w:rPr>
        <w:t>. Be to, nacionalinės, pavyzdžiui, Austrijos, Airijos ir Nyderlandų, vyriausybės sukūrė specialius tinklalapius, kad padėtų bendrovėms įvertinti poveikį ir (arba) naujas procedūras, kurios bus taikomos Jungtinei Karalystei išstojus iš Europos Sąjungos (žr. toliau).</w:t>
      </w:r>
    </w:p>
    <w:p w:rsidR="00E53A37" w:rsidRDefault="006E3763">
      <w:pPr>
        <w:pStyle w:val="NormalWeb"/>
        <w:spacing w:before="480" w:beforeAutospacing="0" w:after="120" w:afterAutospacing="0"/>
        <w:jc w:val="both"/>
        <w:rPr>
          <w:b/>
          <w:i/>
          <w:noProof/>
          <w:sz w:val="28"/>
          <w:szCs w:val="28"/>
        </w:rPr>
      </w:pPr>
      <w:r>
        <w:rPr>
          <w:b/>
          <w:i/>
          <w:noProof/>
          <w:sz w:val="28"/>
        </w:rPr>
        <w:t>Valstybės narės, nacionalinės ir regioninės institucijos turi atlikti svarbų vaidmenį...</w:t>
      </w:r>
    </w:p>
    <w:p w:rsidR="00E53A37" w:rsidRDefault="006E3763">
      <w:pPr>
        <w:pStyle w:val="NormalWeb"/>
        <w:spacing w:before="120" w:beforeAutospacing="0"/>
        <w:jc w:val="both"/>
        <w:rPr>
          <w:noProof/>
        </w:rPr>
      </w:pPr>
      <w:r>
        <w:rPr>
          <w:noProof/>
        </w:rPr>
        <w:t xml:space="preserve">Nors Jungtinės Karalystės tapimas trečiąja šalimi turės didelį poveikį visai Europos Sąjungai, „Brexit’o“ poveikis atskiroms valstybėms narėms labai priklausys nuo jų artumo ir ekonominių ryšių su Jungtine Karalyste glaudumo, pavyzdžiui, nuo bendros infrastruktūros arba prekių ir žmonių judėjimo kontrolės. </w:t>
      </w:r>
    </w:p>
    <w:p w:rsidR="00E53A37" w:rsidRDefault="006E3763">
      <w:pPr>
        <w:pStyle w:val="NormalWeb"/>
        <w:jc w:val="both"/>
        <w:rPr>
          <w:noProof/>
        </w:rPr>
      </w:pPr>
      <w:r>
        <w:rPr>
          <w:noProof/>
        </w:rPr>
        <w:t xml:space="preserve">Valstybės narės kompetencija priimti teisės aktus su Europos Sąjunga dalijasi daugelyje politikos sričių, o jų nacionalinės ir regioninės institucijos yra atsakingos už Sąjungos </w:t>
      </w:r>
      <w:r>
        <w:rPr>
          <w:i/>
          <w:noProof/>
        </w:rPr>
        <w:t>acquis</w:t>
      </w:r>
      <w:r>
        <w:rPr>
          <w:noProof/>
        </w:rPr>
        <w:t xml:space="preserve"> įgyvendinimą ir vykdymo užtikrinimą. Reikės pritaikyti nacionalines taisykles, teikti rekomendacijų suinteresuotiesiems subjektams, taip pat prireiks didelių investicijų į personalą ir infrastruktūras (pvz., muitinės, sanitarijos ir fitosanitarijos tikrinimą prie sienų, kompetentingas institucijas, atsakingas už konkrečias procedūras ir kt.). Pasirengime turėtų dalyvauti regioninės institucijos, visų pirma tos, kurios turi teisėkūros galių, taip pat vietos valdžios institucijos.</w:t>
      </w:r>
    </w:p>
    <w:p w:rsidR="00E53A37" w:rsidRDefault="006E3763">
      <w:pPr>
        <w:pStyle w:val="Briefingtext"/>
        <w:rPr>
          <w:rFonts w:ascii="Times New Roman" w:hAnsi="Times New Roman" w:cs="Times New Roman"/>
          <w:noProof/>
          <w:sz w:val="24"/>
        </w:rPr>
      </w:pPr>
      <w:r>
        <w:rPr>
          <w:rFonts w:ascii="Times New Roman" w:hAnsi="Times New Roman"/>
          <w:noProof/>
          <w:sz w:val="24"/>
        </w:rPr>
        <w:t>Pasirengimo detales ir praktinius aspektus svarsto 27 ES valstybių narių ekspertai per Komisijos rengiamus techninių ekspertų seminarus. Šie neformalūs seminarai yra galimybė Komisijai teikti paaiškinimus, pavyzdžiui, dėl pranešimų turinio, ir sudaro sąlygas valstybėms narėms kelti rūpimas problemas, spręsti klausimus ir dalytis geriausia patirtimi. Jie yra labai svarbūs siekiant surasti Europos masto sprendimų nustatytoms problemoms.</w:t>
      </w:r>
    </w:p>
    <w:p w:rsidR="00E53A37" w:rsidRDefault="006E3763">
      <w:pPr>
        <w:pStyle w:val="NormalWeb"/>
        <w:spacing w:before="0" w:beforeAutospacing="0" w:after="240" w:afterAutospacing="0"/>
        <w:jc w:val="both"/>
        <w:rPr>
          <w:noProof/>
        </w:rPr>
      </w:pPr>
      <w:r>
        <w:rPr>
          <w:noProof/>
        </w:rPr>
        <w:t xml:space="preserve">Be ES lygmens diskusijų, kelios valstybės narės atliko išsamią vidaus teisės aktų keitimo ir kitų savo teisinių priemonių pritaikymo poreikių patikrą. Kai kurios iš jų parengė priemonių, kad padėtų savo ekonominės veiklos vykdytojams pasirengti Jungtinės Karalystės išstojimui. </w:t>
      </w:r>
    </w:p>
    <w:tbl>
      <w:tblPr>
        <w:tblStyle w:val="TableGrid"/>
        <w:tblW w:w="0" w:type="auto"/>
        <w:tblLook w:val="04A0" w:firstRow="1" w:lastRow="0" w:firstColumn="1" w:lastColumn="0" w:noHBand="0" w:noVBand="1"/>
      </w:tblPr>
      <w:tblGrid>
        <w:gridCol w:w="9288"/>
      </w:tblGrid>
      <w:tr w:rsidR="00E53A37">
        <w:tc>
          <w:tcPr>
            <w:tcW w:w="9288" w:type="dxa"/>
          </w:tcPr>
          <w:p w:rsidR="00E53A37" w:rsidRDefault="006E3763">
            <w:pPr>
              <w:pStyle w:val="NormalWeb"/>
              <w:spacing w:before="0" w:beforeAutospacing="0" w:after="240" w:afterAutospacing="0"/>
              <w:jc w:val="both"/>
              <w:rPr>
                <w:noProof/>
              </w:rPr>
            </w:pPr>
            <w:r>
              <w:rPr>
                <w:noProof/>
              </w:rPr>
              <w:t xml:space="preserve">Airijos tinklalapyje </w:t>
            </w:r>
            <w:r>
              <w:rPr>
                <w:i/>
                <w:noProof/>
              </w:rPr>
              <w:t>prepareforbrexit.com</w:t>
            </w:r>
            <w:r>
              <w:rPr>
                <w:noProof/>
              </w:rPr>
              <w:t xml:space="preserve"> MVĮ gali įvertinti „Brexit’o“ poveikį joms ir rasti informacijos apie susijusius renginius ir paramą. Airija taip pat MVĮ siūlo iki 5 000 EUR finansavimą su pasirengimu „Brexit’ui“ susijusioms išlaidoms padengti (t. y. pasirengimo planams rengti, dalyvauti renginiuose, naujiems ryšiams užmegzti, jeigu reikia alternatyvių tiekėjų, ir pan.). </w:t>
            </w:r>
          </w:p>
        </w:tc>
      </w:tr>
    </w:tbl>
    <w:p w:rsidR="00E53A37" w:rsidRDefault="00E53A37">
      <w:pPr>
        <w:pStyle w:val="NormalWeb"/>
        <w:spacing w:before="0" w:beforeAutospacing="0" w:after="240" w:afterAutospacing="0"/>
        <w:jc w:val="both"/>
        <w:rPr>
          <w:noProof/>
        </w:rPr>
      </w:pPr>
    </w:p>
    <w:tbl>
      <w:tblPr>
        <w:tblStyle w:val="TableGrid"/>
        <w:tblW w:w="0" w:type="auto"/>
        <w:tblLook w:val="04A0" w:firstRow="1" w:lastRow="0" w:firstColumn="1" w:lastColumn="0" w:noHBand="0" w:noVBand="1"/>
      </w:tblPr>
      <w:tblGrid>
        <w:gridCol w:w="9288"/>
      </w:tblGrid>
      <w:tr w:rsidR="00E53A37">
        <w:tc>
          <w:tcPr>
            <w:tcW w:w="9288" w:type="dxa"/>
          </w:tcPr>
          <w:p w:rsidR="00E53A37" w:rsidRDefault="006E3763">
            <w:pPr>
              <w:pStyle w:val="NormalWeb"/>
              <w:spacing w:before="0" w:beforeAutospacing="0" w:after="240" w:afterAutospacing="0"/>
              <w:jc w:val="both"/>
              <w:rPr>
                <w:noProof/>
              </w:rPr>
            </w:pPr>
            <w:r>
              <w:rPr>
                <w:noProof/>
              </w:rPr>
              <w:t xml:space="preserve">Nyderlandų institucijos sukūrė internetinį </w:t>
            </w:r>
            <w:r>
              <w:rPr>
                <w:i/>
                <w:noProof/>
              </w:rPr>
              <w:t>„Brexit’o“ poveikio skaitytuvą</w:t>
            </w:r>
            <w:r>
              <w:rPr>
                <w:noProof/>
              </w:rPr>
              <w:t xml:space="preserve">, kurį gali naudoti MVĮ siekdamos įvertinti, kokios jų gali laukti problemos, susijusios su Jungtinės Karalystės išstojimu. </w:t>
            </w:r>
          </w:p>
        </w:tc>
      </w:tr>
    </w:tbl>
    <w:p w:rsidR="00E53A37" w:rsidRDefault="006E3763">
      <w:pPr>
        <w:pStyle w:val="NormalWeb"/>
        <w:spacing w:before="480" w:beforeAutospacing="0" w:after="120" w:afterAutospacing="0"/>
        <w:jc w:val="both"/>
        <w:rPr>
          <w:b/>
          <w:i/>
          <w:noProof/>
          <w:sz w:val="28"/>
          <w:szCs w:val="28"/>
        </w:rPr>
      </w:pPr>
      <w:r>
        <w:rPr>
          <w:b/>
          <w:i/>
          <w:noProof/>
          <w:sz w:val="28"/>
        </w:rPr>
        <w:t>...kartu su ES institucijomis, Europos Komisija ir ES agentūromis</w:t>
      </w:r>
    </w:p>
    <w:p w:rsidR="00E53A37" w:rsidRDefault="006E3763">
      <w:pPr>
        <w:pStyle w:val="NormalWeb"/>
        <w:spacing w:before="120" w:beforeAutospacing="0"/>
        <w:jc w:val="both"/>
        <w:rPr>
          <w:noProof/>
        </w:rPr>
      </w:pPr>
      <w:r>
        <w:rPr>
          <w:noProof/>
        </w:rPr>
        <w:t xml:space="preserve">ES sutelkia valstybių narių suverenitetą, sukurdama darnią valstybių narių ir suinteresuotųjų subjektų veikimo sistemą. Vis dėlto, nors Europos Sąjunga turi išimtinę teisėkūros kompetenciją kai kuriose srityse (pvz., muitinės, prekybos, žuvininkystės) ir pasidalijamąją kompetenciją su valstybėmis narėmis kitose srityse (pvz., vidaus rinkos, transporto, energetikos, saugumo), jos įgaliojimai nustatyti pasirengimo ir nenumatytiems atvejams skirtas priemones daugeliu atvejų apsiriboja informuotumo didinimu ir susijusių šalių rengiamų diskusijų ir pasirengimo veiksmų lengvinimu. </w:t>
      </w:r>
    </w:p>
    <w:p w:rsidR="00E53A37" w:rsidRDefault="006E3763">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Komisija nustatė kelias veiklos kryptis, kuriose veiksmai priklauso jos kompetencijai. </w:t>
      </w:r>
    </w:p>
    <w:p w:rsidR="00E53A37" w:rsidRDefault="006E3763">
      <w:pPr>
        <w:pStyle w:val="ListParagraph"/>
        <w:numPr>
          <w:ilvl w:val="0"/>
          <w:numId w:val="25"/>
        </w:numPr>
        <w:spacing w:after="240" w:line="240" w:lineRule="auto"/>
        <w:jc w:val="both"/>
        <w:rPr>
          <w:rFonts w:ascii="Times New Roman" w:hAnsi="Times New Roman" w:cs="Times New Roman"/>
          <w:b/>
          <w:i/>
          <w:noProof/>
          <w:sz w:val="28"/>
          <w:szCs w:val="28"/>
        </w:rPr>
      </w:pPr>
      <w:r>
        <w:rPr>
          <w:rFonts w:ascii="Times New Roman" w:hAnsi="Times New Roman"/>
          <w:b/>
          <w:i/>
          <w:noProof/>
          <w:sz w:val="28"/>
        </w:rPr>
        <w:t>Teisės aktų keitimo ir kitos priemonės</w:t>
      </w:r>
    </w:p>
    <w:p w:rsidR="00E53A37" w:rsidRDefault="006E3763">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Pirmoji veiklos kryptis – išsami </w:t>
      </w:r>
      <w:r>
        <w:rPr>
          <w:rFonts w:ascii="Times New Roman" w:hAnsi="Times New Roman"/>
          <w:b/>
          <w:noProof/>
          <w:sz w:val="24"/>
        </w:rPr>
        <w:t xml:space="preserve">Sąjungos </w:t>
      </w:r>
      <w:r>
        <w:rPr>
          <w:rFonts w:ascii="Times New Roman" w:hAnsi="Times New Roman"/>
          <w:b/>
          <w:i/>
          <w:noProof/>
          <w:sz w:val="24"/>
        </w:rPr>
        <w:t>acquis</w:t>
      </w:r>
      <w:r>
        <w:rPr>
          <w:rFonts w:ascii="Times New Roman" w:hAnsi="Times New Roman"/>
          <w:b/>
          <w:noProof/>
          <w:sz w:val="24"/>
        </w:rPr>
        <w:t xml:space="preserve"> peržiūra</w:t>
      </w:r>
      <w:r>
        <w:rPr>
          <w:rFonts w:ascii="Times New Roman" w:hAnsi="Times New Roman"/>
          <w:noProof/>
          <w:sz w:val="24"/>
        </w:rPr>
        <w:t xml:space="preserve"> siekiant nustatyti priemones, kurių reikia imtis dėl padėties įvairiuose sektoriuose ir politikos srityse, kad būtų užtikrinta, jog ES taisyklės tebebūtų sklandžiai taikomos 27 valstybių narių Sąjungoje po Jungtinės Karalystės išstojimo. </w:t>
      </w:r>
    </w:p>
    <w:p w:rsidR="00E53A37" w:rsidRDefault="006E3763">
      <w:pPr>
        <w:spacing w:after="240" w:line="240" w:lineRule="auto"/>
        <w:jc w:val="both"/>
        <w:rPr>
          <w:rFonts w:ascii="Times New Roman" w:hAnsi="Times New Roman" w:cs="Times New Roman"/>
          <w:noProof/>
          <w:sz w:val="24"/>
          <w:szCs w:val="24"/>
        </w:rPr>
      </w:pPr>
      <w:r>
        <w:rPr>
          <w:rFonts w:ascii="Times New Roman" w:hAnsi="Times New Roman"/>
          <w:noProof/>
          <w:sz w:val="24"/>
        </w:rPr>
        <w:t>Per pirmąjį etapą Komisija sutelkė dėmesį į būtinus teisės aktų pakeitimus, kuriuos turi priimti Europos Parlamentas ir Taryba, ir nustatė aštuonias priemones, kurias reikės pritaikyti nepriklausomai nuo derybų dėl išstojimo rezultatų</w:t>
      </w:r>
      <w:r>
        <w:rPr>
          <w:rStyle w:val="FootnoteReference"/>
          <w:rFonts w:ascii="Times New Roman" w:hAnsi="Times New Roman"/>
          <w:noProof/>
          <w:sz w:val="24"/>
        </w:rPr>
        <w:footnoteReference w:id="13"/>
      </w:r>
      <w:r>
        <w:rPr>
          <w:rFonts w:ascii="Times New Roman" w:hAnsi="Times New Roman"/>
          <w:noProof/>
          <w:sz w:val="24"/>
        </w:rPr>
        <w:t xml:space="preserve">. Atsižvelgiant į tvarkaraštį, dėl šių pasiūlymų dėl teisės aktų reikės daryti sparčią pažangą ir jie turės būti priimti likus pakankamai laiko iki kitų metų kovo 30 d. </w:t>
      </w:r>
    </w:p>
    <w:p w:rsidR="00E53A37" w:rsidRDefault="006E3763">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Svarbu pabrėžti, kad teisiškai nėra būtina iš dalies pakeisti arba išbraukti visų nuorodų į Jungtinę Karalystę ar jos institucijas ir subjektus galiojančiuose ES teisės aktuose. Po išstojimo šios nuorodos paprasčiausia taps nebeaktualios ir nebereikalingos. Atitinkami pakeitimai gali būti daromi, kai ateityje dėl kitų priežasčių tie teisės aktai bus peržiūrimi ir atnaujinami. </w:t>
      </w:r>
    </w:p>
    <w:p w:rsidR="00E53A37" w:rsidRDefault="006E3763">
      <w:pPr>
        <w:spacing w:after="240" w:line="240" w:lineRule="auto"/>
        <w:jc w:val="both"/>
        <w:rPr>
          <w:rFonts w:ascii="Times New Roman" w:hAnsi="Times New Roman" w:cs="Times New Roman"/>
          <w:noProof/>
          <w:sz w:val="24"/>
          <w:szCs w:val="24"/>
        </w:rPr>
      </w:pPr>
      <w:r>
        <w:rPr>
          <w:rFonts w:ascii="Times New Roman" w:hAnsi="Times New Roman"/>
          <w:noProof/>
          <w:sz w:val="24"/>
        </w:rPr>
        <w:t>Be to, Komisija gali imtis papildomų būtinų veiksmų naudodamasi Europos Parlamento ir Tarybos suteiktais įgaliojimais dėl pagrindinių teisėkūros priemonių: priimti įgyvendinimo arba deleguotuosius aktus. Šią sritį Komisija dabar nuodugniai tikrina.</w:t>
      </w:r>
    </w:p>
    <w:tbl>
      <w:tblPr>
        <w:tblStyle w:val="TableGrid"/>
        <w:tblW w:w="0" w:type="auto"/>
        <w:tblLook w:val="04A0" w:firstRow="1" w:lastRow="0" w:firstColumn="1" w:lastColumn="0" w:noHBand="0" w:noVBand="1"/>
      </w:tblPr>
      <w:tblGrid>
        <w:gridCol w:w="9288"/>
      </w:tblGrid>
      <w:tr w:rsidR="00E53A37">
        <w:tc>
          <w:tcPr>
            <w:tcW w:w="9288" w:type="dxa"/>
          </w:tcPr>
          <w:p w:rsidR="00E53A37" w:rsidRDefault="006E3763">
            <w:pPr>
              <w:spacing w:after="240"/>
              <w:jc w:val="both"/>
              <w:rPr>
                <w:rFonts w:ascii="Times New Roman" w:hAnsi="Times New Roman" w:cs="Times New Roman"/>
                <w:b/>
                <w:noProof/>
                <w:sz w:val="24"/>
                <w:szCs w:val="24"/>
              </w:rPr>
            </w:pPr>
            <w:r>
              <w:rPr>
                <w:rFonts w:ascii="Times New Roman" w:hAnsi="Times New Roman"/>
                <w:b/>
                <w:noProof/>
                <w:sz w:val="24"/>
              </w:rPr>
              <w:t>Dėl Jungtinės Karalystės išstojimo būtinų teisės aktų pakeitimų pavyzdžiai</w:t>
            </w:r>
          </w:p>
          <w:p w:rsidR="00E53A37" w:rsidRDefault="006E3763">
            <w:pPr>
              <w:pStyle w:val="ListParagraph"/>
              <w:numPr>
                <w:ilvl w:val="0"/>
                <w:numId w:val="18"/>
              </w:numPr>
              <w:jc w:val="both"/>
              <w:rPr>
                <w:rFonts w:ascii="Times New Roman" w:hAnsi="Times New Roman" w:cs="Times New Roman"/>
                <w:noProof/>
                <w:sz w:val="24"/>
                <w:szCs w:val="24"/>
              </w:rPr>
            </w:pPr>
            <w:r>
              <w:rPr>
                <w:rFonts w:ascii="Times New Roman" w:hAnsi="Times New Roman"/>
                <w:noProof/>
                <w:sz w:val="24"/>
              </w:rPr>
              <w:t>Pasiūlymas dėl proporcingo tarifinių kvotų paskirstymo tarp Jungtinės Karalystės ir 27 ES valstybių narių, įtrauktas į Sąjungos Pasaulio prekybos organizacijos planą. Šis pasiūlymas papildytas rekomendacija dėl Tarybos suteikiamų derybų įgaliojimų vykdyti derybas su kitais PPO nariais (Taryba įgaliojimą priėmė 2018 m. birželio 26 d.). Proporcingas perskirstymas yra būtinas pritaikymas siekiant užtikrinti teisinį tikrumą ir tolesnį sklandų importą pagal tarifines kvotas tiek į 27 valstybių narių Sąjungą, tiek į Jungtinę Karalystę</w:t>
            </w:r>
            <w:r>
              <w:rPr>
                <w:rStyle w:val="FootnoteReference"/>
                <w:rFonts w:ascii="Times New Roman" w:hAnsi="Times New Roman"/>
                <w:noProof/>
                <w:sz w:val="24"/>
              </w:rPr>
              <w:footnoteReference w:id="14"/>
            </w:r>
            <w:r>
              <w:rPr>
                <w:noProof/>
              </w:rPr>
              <w:t>.</w:t>
            </w:r>
          </w:p>
          <w:p w:rsidR="00E53A37" w:rsidRDefault="00E53A37">
            <w:pPr>
              <w:pStyle w:val="ListParagraph"/>
              <w:rPr>
                <w:rFonts w:ascii="Times New Roman" w:hAnsi="Times New Roman" w:cs="Times New Roman"/>
                <w:noProof/>
                <w:sz w:val="24"/>
                <w:szCs w:val="24"/>
              </w:rPr>
            </w:pPr>
          </w:p>
          <w:p w:rsidR="00E53A37" w:rsidRDefault="006E3763">
            <w:pPr>
              <w:pStyle w:val="ListParagraph"/>
              <w:numPr>
                <w:ilvl w:val="0"/>
                <w:numId w:val="18"/>
              </w:numPr>
              <w:jc w:val="both"/>
              <w:rPr>
                <w:rFonts w:ascii="Times New Roman" w:hAnsi="Times New Roman" w:cs="Times New Roman"/>
                <w:noProof/>
                <w:sz w:val="24"/>
                <w:szCs w:val="24"/>
              </w:rPr>
            </w:pPr>
            <w:r>
              <w:rPr>
                <w:rFonts w:ascii="Times New Roman" w:hAnsi="Times New Roman"/>
                <w:noProof/>
                <w:sz w:val="24"/>
              </w:rPr>
              <w:t>Reglamento, kuriuo papildomi ES variklinių transporto priemonių ir kitų produktų tipo patvirtinimo sričiai priklausantys teisės aktai, pasiūlymas. Tai suteiks JK tipo patvirtinimų turėtojams galimybę kreiptis dėl naujų tipo patvirtinimų į 27 ES valstybių narių tipo patvirtinimo institucijas dėl tų pačių tipų remiantis dokumentais ir bandymų ataskaitomis, pateiktomis anksčiau siekiant gauti JK tipo patvirtinimus</w:t>
            </w:r>
            <w:r>
              <w:rPr>
                <w:rStyle w:val="FootnoteReference"/>
                <w:rFonts w:ascii="Times New Roman" w:hAnsi="Times New Roman"/>
                <w:noProof/>
                <w:sz w:val="24"/>
              </w:rPr>
              <w:footnoteReference w:id="15"/>
            </w:r>
            <w:r>
              <w:rPr>
                <w:noProof/>
              </w:rPr>
              <w:t>.</w:t>
            </w:r>
            <w:r>
              <w:rPr>
                <w:rFonts w:ascii="Times New Roman" w:hAnsi="Times New Roman"/>
                <w:noProof/>
                <w:sz w:val="24"/>
              </w:rPr>
              <w:t xml:space="preserve"> </w:t>
            </w:r>
          </w:p>
          <w:p w:rsidR="00E53A37" w:rsidRDefault="00E53A37">
            <w:pPr>
              <w:pStyle w:val="ListParagraph"/>
              <w:rPr>
                <w:rFonts w:ascii="Times New Roman" w:hAnsi="Times New Roman" w:cs="Times New Roman"/>
                <w:noProof/>
                <w:sz w:val="24"/>
                <w:szCs w:val="24"/>
              </w:rPr>
            </w:pPr>
          </w:p>
          <w:p w:rsidR="00E53A37" w:rsidRDefault="006E3763">
            <w:pPr>
              <w:pStyle w:val="ListParagraph"/>
              <w:numPr>
                <w:ilvl w:val="0"/>
                <w:numId w:val="18"/>
              </w:numPr>
              <w:jc w:val="both"/>
              <w:rPr>
                <w:rFonts w:ascii="Times New Roman" w:hAnsi="Times New Roman" w:cs="Times New Roman"/>
                <w:noProof/>
                <w:sz w:val="24"/>
                <w:szCs w:val="24"/>
              </w:rPr>
            </w:pPr>
            <w:r>
              <w:rPr>
                <w:rFonts w:ascii="Times New Roman" w:hAnsi="Times New Roman"/>
                <w:noProof/>
                <w:sz w:val="24"/>
              </w:rPr>
              <w:t xml:space="preserve">Energijos vartojimo efektyvumo srityje Sąjungos 2030 m. tikslų (išreikštų procentais) perskaičiavimą į absoliučiąsias vertes reikės pritaikyti atsižvelgiant į Jungtinės Sąjungos išstojimą. </w:t>
            </w:r>
          </w:p>
          <w:p w:rsidR="00E53A37" w:rsidRDefault="00E53A37">
            <w:pPr>
              <w:pStyle w:val="ListParagraph"/>
              <w:rPr>
                <w:rFonts w:ascii="Times New Roman" w:hAnsi="Times New Roman" w:cs="Times New Roman"/>
                <w:noProof/>
                <w:sz w:val="24"/>
                <w:szCs w:val="24"/>
              </w:rPr>
            </w:pPr>
          </w:p>
          <w:p w:rsidR="00E53A37" w:rsidRDefault="006E3763">
            <w:pPr>
              <w:pStyle w:val="ListParagraph"/>
              <w:numPr>
                <w:ilvl w:val="0"/>
                <w:numId w:val="18"/>
              </w:numPr>
              <w:jc w:val="both"/>
              <w:rPr>
                <w:rFonts w:ascii="Times New Roman" w:hAnsi="Times New Roman" w:cs="Times New Roman"/>
                <w:noProof/>
                <w:sz w:val="24"/>
                <w:szCs w:val="24"/>
              </w:rPr>
            </w:pPr>
            <w:r>
              <w:rPr>
                <w:rFonts w:ascii="Times New Roman" w:hAnsi="Times New Roman"/>
                <w:noProof/>
                <w:sz w:val="24"/>
              </w:rPr>
              <w:t>Dabartinio reglamento, kuriame išvardytos šalys, kurių piliečiams taikomas reikalavimas turėti vizą kertant valstybių narių išorės sienas, ir šalys, kurių piliečiams netaikomas reikalavimas turėti vizą, jei jų buvimo trukmė neviršija trijų mėnesių, pakeitimas. Jungtinė Karalystė turės būti įrašyta į vieną iš šių sąrašų</w:t>
            </w:r>
            <w:r>
              <w:rPr>
                <w:rStyle w:val="FootnoteReference"/>
                <w:rFonts w:ascii="Times New Roman" w:hAnsi="Times New Roman"/>
                <w:noProof/>
                <w:sz w:val="24"/>
              </w:rPr>
              <w:footnoteReference w:id="16"/>
            </w:r>
            <w:r>
              <w:rPr>
                <w:rFonts w:ascii="Times New Roman" w:hAnsi="Times New Roman"/>
                <w:noProof/>
                <w:sz w:val="24"/>
              </w:rPr>
              <w:t>.</w:t>
            </w:r>
          </w:p>
          <w:p w:rsidR="00E53A37" w:rsidRDefault="00E53A37">
            <w:pPr>
              <w:pStyle w:val="ListParagraph"/>
              <w:rPr>
                <w:rFonts w:ascii="Times New Roman" w:hAnsi="Times New Roman" w:cs="Times New Roman"/>
                <w:noProof/>
                <w:sz w:val="24"/>
                <w:szCs w:val="24"/>
              </w:rPr>
            </w:pPr>
          </w:p>
          <w:p w:rsidR="00E53A37" w:rsidRDefault="006E3763">
            <w:pPr>
              <w:pStyle w:val="ListParagraph"/>
              <w:numPr>
                <w:ilvl w:val="0"/>
                <w:numId w:val="18"/>
              </w:numPr>
              <w:jc w:val="both"/>
              <w:rPr>
                <w:rFonts w:ascii="Times New Roman" w:hAnsi="Times New Roman" w:cs="Times New Roman"/>
                <w:noProof/>
                <w:sz w:val="24"/>
                <w:szCs w:val="24"/>
              </w:rPr>
            </w:pPr>
            <w:r>
              <w:rPr>
                <w:rFonts w:ascii="Times New Roman" w:hAnsi="Times New Roman"/>
                <w:noProof/>
                <w:sz w:val="24"/>
              </w:rPr>
              <w:t>Pasiūlymas iš dalies pakeisti Reglamentą dėl Europos infrastruktūros tinklų priemonės, siekiant patikslinti Šiaurės jūros ir Viduržemio jūros koridoriaus suderinimą ir sukurti naują jūrinį maršrutą, kuris sujungtų Airiją su šio koridoriaus žemynine dalimi.</w:t>
            </w:r>
          </w:p>
          <w:p w:rsidR="00E53A37" w:rsidRDefault="00E53A37">
            <w:pPr>
              <w:pStyle w:val="ListParagraph"/>
              <w:rPr>
                <w:rFonts w:ascii="Times New Roman" w:hAnsi="Times New Roman" w:cs="Times New Roman"/>
                <w:noProof/>
                <w:sz w:val="24"/>
                <w:szCs w:val="24"/>
              </w:rPr>
            </w:pPr>
          </w:p>
          <w:p w:rsidR="00E53A37" w:rsidRDefault="006E3763">
            <w:pPr>
              <w:pStyle w:val="ListParagraph"/>
              <w:numPr>
                <w:ilvl w:val="0"/>
                <w:numId w:val="18"/>
              </w:numPr>
              <w:jc w:val="both"/>
              <w:rPr>
                <w:rFonts w:ascii="Times New Roman" w:hAnsi="Times New Roman" w:cs="Times New Roman"/>
                <w:noProof/>
                <w:sz w:val="24"/>
                <w:szCs w:val="24"/>
              </w:rPr>
            </w:pPr>
            <w:r>
              <w:rPr>
                <w:rFonts w:ascii="Times New Roman" w:hAnsi="Times New Roman"/>
                <w:noProof/>
                <w:sz w:val="24"/>
              </w:rPr>
              <w:t xml:space="preserve">Pasiūlymas iš dalies pakeisti Reglamentą dėl laivų patikrinimo ir apžiūros organizacijų bendrųjų taisyklių ir standartų siekiant užtikrinti, kad dalyvavimo dviejų pripažintų organizacijų reguliariame vertinime užduotis iš Jungtinės Karalystės būtų perduota 27 ES valstybėms narėms. </w:t>
            </w:r>
          </w:p>
          <w:p w:rsidR="00E53A37" w:rsidRDefault="00E53A37">
            <w:pPr>
              <w:jc w:val="both"/>
              <w:rPr>
                <w:rFonts w:ascii="Times New Roman" w:hAnsi="Times New Roman" w:cs="Times New Roman"/>
                <w:noProof/>
                <w:sz w:val="24"/>
                <w:szCs w:val="24"/>
              </w:rPr>
            </w:pPr>
          </w:p>
        </w:tc>
      </w:tr>
    </w:tbl>
    <w:p w:rsidR="00E53A37" w:rsidRDefault="006E3763">
      <w:pPr>
        <w:spacing w:before="240" w:after="240" w:line="240" w:lineRule="auto"/>
        <w:jc w:val="both"/>
        <w:rPr>
          <w:rFonts w:ascii="Times New Roman" w:hAnsi="Times New Roman" w:cs="Times New Roman"/>
          <w:noProof/>
          <w:sz w:val="24"/>
          <w:szCs w:val="24"/>
        </w:rPr>
      </w:pPr>
      <w:r>
        <w:rPr>
          <w:rFonts w:ascii="Times New Roman" w:hAnsi="Times New Roman"/>
          <w:noProof/>
          <w:sz w:val="24"/>
        </w:rPr>
        <w:t>Komisija ragina Europos Parlamentą ir Tarybą šiuos pasiūlymus, susijusius su Jungtinės Karalystės išstojimu, svarstyti prioriteto tvarka.</w:t>
      </w:r>
    </w:p>
    <w:p w:rsidR="00E53A37" w:rsidRDefault="006E3763">
      <w:pPr>
        <w:pStyle w:val="ListParagraph"/>
        <w:numPr>
          <w:ilvl w:val="0"/>
          <w:numId w:val="25"/>
        </w:numPr>
        <w:spacing w:before="480" w:after="240" w:line="240" w:lineRule="auto"/>
        <w:ind w:left="714" w:hanging="357"/>
        <w:jc w:val="both"/>
        <w:rPr>
          <w:rFonts w:ascii="Times New Roman" w:hAnsi="Times New Roman" w:cs="Times New Roman"/>
          <w:b/>
          <w:i/>
          <w:noProof/>
          <w:sz w:val="28"/>
          <w:szCs w:val="28"/>
        </w:rPr>
      </w:pPr>
      <w:r>
        <w:rPr>
          <w:rFonts w:ascii="Times New Roman" w:hAnsi="Times New Roman"/>
          <w:b/>
          <w:i/>
          <w:noProof/>
          <w:sz w:val="28"/>
        </w:rPr>
        <w:t>Komisijos tarnybų parengti pranešimai apie pasirengimą</w:t>
      </w:r>
    </w:p>
    <w:p w:rsidR="00E53A37" w:rsidRDefault="006E3763">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2017 m. pabaigoje Komisija pradėjo didinti informuotumą tose srityse, kuriose valstybėms narėms arba suinteresuotiesiems subjektams reikia imtis veiksmų: ji paskelbė daug </w:t>
      </w:r>
      <w:r>
        <w:rPr>
          <w:rFonts w:ascii="Times New Roman" w:hAnsi="Times New Roman"/>
          <w:b/>
          <w:noProof/>
          <w:sz w:val="24"/>
        </w:rPr>
        <w:t>techninių pranešimų</w:t>
      </w:r>
      <w:r>
        <w:rPr>
          <w:rFonts w:ascii="Times New Roman" w:hAnsi="Times New Roman"/>
          <w:noProof/>
          <w:sz w:val="24"/>
        </w:rPr>
        <w:t>, kuriuose nurodomas teisinis ir praktinis Jungtinės Karalystės išstojimo iš ES poveikis. Pranešimus parengė Komisijos tarnybos, prireikus bendradarbiaudamos su kompetentinga ES agentūra. Jie visi paskelbti svetainėje „Europa“</w:t>
      </w:r>
      <w:r>
        <w:rPr>
          <w:rStyle w:val="FootnoteReference"/>
          <w:rFonts w:ascii="Times New Roman" w:hAnsi="Times New Roman"/>
          <w:noProof/>
          <w:sz w:val="24"/>
        </w:rPr>
        <w:footnoteReference w:id="17"/>
      </w:r>
      <w:r>
        <w:rPr>
          <w:rFonts w:ascii="Times New Roman" w:hAnsi="Times New Roman"/>
          <w:noProof/>
          <w:sz w:val="24"/>
        </w:rPr>
        <w:t xml:space="preserve">, taigi yra prieinami viešai. </w:t>
      </w:r>
    </w:p>
    <w:p w:rsidR="00E53A37" w:rsidRDefault="006E3763">
      <w:pPr>
        <w:spacing w:after="240" w:line="240" w:lineRule="auto"/>
        <w:jc w:val="both"/>
        <w:rPr>
          <w:rFonts w:ascii="Times New Roman" w:hAnsi="Times New Roman" w:cs="Times New Roman"/>
          <w:noProof/>
          <w:sz w:val="24"/>
          <w:szCs w:val="24"/>
        </w:rPr>
      </w:pPr>
      <w:r>
        <w:rPr>
          <w:rFonts w:ascii="Times New Roman" w:hAnsi="Times New Roman"/>
          <w:noProof/>
          <w:sz w:val="24"/>
        </w:rPr>
        <w:t>Pranešimuose nurodoma, kokia padėtis bus konkrečiame sektoriuje po išstojimo. Jie išimtinai pagrįsti faktine ir teisine padėtimi, kuri bus po išstojimo, jeigu nebus jokio susitarimo dėl išstojimo, ir juose nepateikiama jokių derybų rezultatų ar jų poveikio konkrečių sektorių taisyklėms aiškinimų. Jeigu teisinė padėtis keisis su Jungtine Karalyste sudarius susitarimą dėl išstojimo arba dėl to, kad pasikeis konkretūs teisės aktai, pranešimai bus pritaikyti arba pašalinti, jeigu jie nebebus aktualūs.</w:t>
      </w:r>
    </w:p>
    <w:p w:rsidR="00E53A37" w:rsidRDefault="006E3763">
      <w:pPr>
        <w:spacing w:after="240" w:line="240" w:lineRule="auto"/>
        <w:jc w:val="both"/>
        <w:rPr>
          <w:rFonts w:ascii="Times New Roman" w:hAnsi="Times New Roman" w:cs="Times New Roman"/>
          <w:noProof/>
          <w:sz w:val="24"/>
          <w:szCs w:val="24"/>
        </w:rPr>
      </w:pPr>
      <w:r>
        <w:rPr>
          <w:rFonts w:ascii="Times New Roman" w:hAnsi="Times New Roman"/>
          <w:noProof/>
          <w:sz w:val="24"/>
        </w:rPr>
        <w:t>Iki šios dienos Komisija paskelbė 68 tokius pranešimus, apimančius, pavyzdžiui, sveikatos ir maisto saugos, transporto, finansinio stabilumo ir finansinių paslaugų, aplinkos, vidaus rinkos, muitinių, civilinės justicijos, bendrovių teisės ir profesinių kvalifikacijų sritis. Kai kuriose srityse, be pranešimų, pateikiami klausimai ir atsakymai, kurie skelbiami atskirų Komisijos generalinių direktoratų ir tarnybų arba ES agentūrų interneto svetainėse.</w:t>
      </w:r>
    </w:p>
    <w:p w:rsidR="00E53A37" w:rsidRDefault="006E3763">
      <w:pPr>
        <w:pStyle w:val="ListParagraph"/>
        <w:numPr>
          <w:ilvl w:val="0"/>
          <w:numId w:val="25"/>
        </w:numPr>
        <w:spacing w:before="360" w:after="240" w:line="240" w:lineRule="auto"/>
        <w:ind w:left="714" w:hanging="357"/>
        <w:jc w:val="both"/>
        <w:rPr>
          <w:rFonts w:ascii="Times New Roman" w:hAnsi="Times New Roman" w:cs="Times New Roman"/>
          <w:b/>
          <w:i/>
          <w:noProof/>
          <w:sz w:val="28"/>
          <w:szCs w:val="28"/>
        </w:rPr>
      </w:pPr>
      <w:r>
        <w:rPr>
          <w:rFonts w:ascii="Times New Roman" w:hAnsi="Times New Roman"/>
          <w:b/>
          <w:i/>
          <w:noProof/>
          <w:sz w:val="28"/>
        </w:rPr>
        <w:t>ES agentūrų ir įstaigų perkėlimo procesas</w:t>
      </w:r>
    </w:p>
    <w:p w:rsidR="00E53A37" w:rsidRDefault="006E3763">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Instituciniai ir biudžeto klausimai yra kitos svarbios sritys, kuriose Komisija tikrina poreikius, o kai kuriais atvejais jau ėmėsi būtinųjų priemonių. Pavyzdys – dviejų </w:t>
      </w:r>
      <w:r>
        <w:rPr>
          <w:rFonts w:ascii="Times New Roman" w:hAnsi="Times New Roman"/>
          <w:b/>
          <w:noProof/>
          <w:sz w:val="24"/>
        </w:rPr>
        <w:t>Londone esančių agentūrų</w:t>
      </w:r>
      <w:r>
        <w:rPr>
          <w:rFonts w:ascii="Times New Roman" w:hAnsi="Times New Roman"/>
          <w:noProof/>
          <w:sz w:val="24"/>
        </w:rPr>
        <w:t>: Europos vaistų agentūros ir Europos bankininkystės institucijos, perkėlimas. Jos bus atitinkamai perkeltos į Amsterdamą ir Paryžių ir ten pradės veiklą 2019 m. kovo 30 d.</w:t>
      </w:r>
    </w:p>
    <w:p w:rsidR="00E53A37" w:rsidRDefault="006E3763">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Yra kitų panašių atvejų, kai dėl Jungtinės Karalystės išstojimo iš ES reikės </w:t>
      </w:r>
      <w:r>
        <w:rPr>
          <w:rFonts w:ascii="Times New Roman" w:hAnsi="Times New Roman"/>
          <w:b/>
          <w:noProof/>
          <w:sz w:val="24"/>
        </w:rPr>
        <w:t>perkelti ar perskirstyti užduotis</w:t>
      </w:r>
      <w:r>
        <w:rPr>
          <w:rFonts w:ascii="Times New Roman" w:hAnsi="Times New Roman"/>
          <w:noProof/>
          <w:sz w:val="24"/>
        </w:rPr>
        <w:t>, pavyzdžiui, perkelti „Galileo“ saugumo stebėjimo centrą arba perskirstyti Jungtinėje Karalystėje įsteigtų ES etaloninių tam tikrų gyvūnų ligų ir maisto saugos laboratorijų užduotis 27 ES valstybių narių laboratorijoms. Kaip minėta, perkėlimas ir perskirstymas turės būti baigti dar iki 2019 m. kovo 30 d., nes po išstojimo dienos nebus įmanoma trečiajai šaliai pavesti tokių Sąjungos užduočių arba leisti joje veikti Sąjungos įstaigoms, net ir sudarius pereinamojo laikotarpio susitarimą.</w:t>
      </w:r>
    </w:p>
    <w:p w:rsidR="00E53A37" w:rsidRDefault="006E3763">
      <w:pPr>
        <w:pStyle w:val="NormalWeb"/>
        <w:numPr>
          <w:ilvl w:val="0"/>
          <w:numId w:val="25"/>
        </w:numPr>
        <w:spacing w:before="360" w:beforeAutospacing="0" w:after="240" w:afterAutospacing="0"/>
        <w:ind w:left="714" w:hanging="357"/>
        <w:jc w:val="both"/>
        <w:rPr>
          <w:rFonts w:cs="Arial"/>
          <w:b/>
          <w:i/>
          <w:noProof/>
          <w:sz w:val="28"/>
          <w:szCs w:val="28"/>
        </w:rPr>
      </w:pPr>
      <w:r>
        <w:rPr>
          <w:b/>
          <w:i/>
          <w:noProof/>
          <w:sz w:val="28"/>
        </w:rPr>
        <w:t>Kita veikla</w:t>
      </w:r>
    </w:p>
    <w:p w:rsidR="00E53A37" w:rsidRDefault="006E3763">
      <w:pPr>
        <w:pStyle w:val="NormalWeb"/>
        <w:spacing w:before="0" w:beforeAutospacing="0" w:after="240" w:afterAutospacing="0"/>
        <w:jc w:val="both"/>
        <w:rPr>
          <w:noProof/>
        </w:rPr>
      </w:pPr>
      <w:r>
        <w:rPr>
          <w:noProof/>
        </w:rPr>
        <w:t xml:space="preserve">Komisija taip pat vykdo kitą veiklą, be kita ko, sprendžia labai praktinius vidaus pasirengimo aspektus, būtent </w:t>
      </w:r>
      <w:r>
        <w:rPr>
          <w:b/>
          <w:noProof/>
        </w:rPr>
        <w:t>duomenų bazių</w:t>
      </w:r>
      <w:r>
        <w:rPr>
          <w:noProof/>
        </w:rPr>
        <w:t xml:space="preserve"> </w:t>
      </w:r>
      <w:r>
        <w:rPr>
          <w:b/>
          <w:noProof/>
        </w:rPr>
        <w:t>ir IT sistemų</w:t>
      </w:r>
      <w:r>
        <w:rPr>
          <w:noProof/>
        </w:rPr>
        <w:t xml:space="preserve"> bei kitų komunikacijos ir informacijos mainų platformų, prie kurių Jungtinė Karalystė jau nebeturėtų prieigos, atjungimo ir pritaikymo klausimą. </w:t>
      </w:r>
    </w:p>
    <w:p w:rsidR="00E53A37" w:rsidRDefault="006E3763">
      <w:pPr>
        <w:pStyle w:val="NormalWeb"/>
        <w:spacing w:before="0" w:beforeAutospacing="0" w:after="240" w:afterAutospacing="0"/>
        <w:jc w:val="both"/>
        <w:rPr>
          <w:noProof/>
        </w:rPr>
      </w:pPr>
      <w:r>
        <w:rPr>
          <w:noProof/>
        </w:rPr>
        <w:t xml:space="preserve">Be to, Komisija analizuoja poreikius, susijusius su </w:t>
      </w:r>
      <w:r>
        <w:rPr>
          <w:b/>
          <w:noProof/>
        </w:rPr>
        <w:t>išorės pasirengimu</w:t>
      </w:r>
      <w:r>
        <w:rPr>
          <w:noProof/>
        </w:rPr>
        <w:t>, t. y. išstojimo padarinius tarptautiniams susitarimams, kurių viena iš šalių yra ES (arba pati, arba kartu su ES valstybėmis narėmis, arba dėl ES valstybių narių) ir kurie galioja daugelyje politikos sričių, kurias apima Sąjungos teisė. ES ketina pranešti tarptautinėms partnerėms apie Jungtinės Karalystės išstojimą, kai tik bus pakankamai aišku, kokie bus vykdomų derybų dėl Jungtinės Karalystės išstojimo rezultatai.</w:t>
      </w:r>
    </w:p>
    <w:p w:rsidR="00E53A37" w:rsidRDefault="006E3763">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Galiausiai, 2019 m. kovo 30 d. bus uždaryta Komisijos atstovybė Jungtinė Karalystėje ir darbą pradės </w:t>
      </w:r>
      <w:r>
        <w:rPr>
          <w:rFonts w:ascii="Times New Roman" w:hAnsi="Times New Roman"/>
          <w:b/>
          <w:noProof/>
          <w:sz w:val="24"/>
        </w:rPr>
        <w:t>Europos Sąjungos delegacija</w:t>
      </w:r>
      <w:r>
        <w:rPr>
          <w:rFonts w:ascii="Times New Roman" w:hAnsi="Times New Roman"/>
          <w:noProof/>
          <w:sz w:val="24"/>
        </w:rPr>
        <w:t xml:space="preserve"> Jungtinėje Karalystėje.</w:t>
      </w:r>
    </w:p>
    <w:p w:rsidR="00E53A37" w:rsidRDefault="00E53A37">
      <w:pPr>
        <w:spacing w:after="240" w:line="240" w:lineRule="auto"/>
        <w:jc w:val="both"/>
        <w:rPr>
          <w:rFonts w:ascii="Times New Roman" w:hAnsi="Times New Roman" w:cs="Times New Roman"/>
          <w:noProof/>
          <w:sz w:val="24"/>
          <w:szCs w:val="24"/>
        </w:rPr>
      </w:pPr>
    </w:p>
    <w:p w:rsidR="00E53A37" w:rsidRDefault="006E3763">
      <w:pPr>
        <w:spacing w:before="360" w:line="240" w:lineRule="auto"/>
        <w:rPr>
          <w:rFonts w:ascii="Times New Roman" w:hAnsi="Times New Roman" w:cs="Times New Roman"/>
          <w:b/>
          <w:noProof/>
          <w:sz w:val="28"/>
          <w:szCs w:val="28"/>
        </w:rPr>
      </w:pPr>
      <w:r>
        <w:rPr>
          <w:rFonts w:ascii="Times New Roman" w:hAnsi="Times New Roman"/>
          <w:b/>
          <w:noProof/>
          <w:sz w:val="28"/>
        </w:rPr>
        <w:t>4. Išvada</w:t>
      </w:r>
    </w:p>
    <w:p w:rsidR="00E53A37" w:rsidRDefault="006E3763">
      <w:pPr>
        <w:spacing w:line="240" w:lineRule="auto"/>
        <w:jc w:val="both"/>
        <w:rPr>
          <w:rFonts w:ascii="Times New Roman" w:hAnsi="Times New Roman" w:cs="Times New Roman"/>
          <w:noProof/>
          <w:sz w:val="24"/>
          <w:szCs w:val="24"/>
        </w:rPr>
      </w:pPr>
      <w:r>
        <w:rPr>
          <w:rFonts w:ascii="Times New Roman" w:hAnsi="Times New Roman"/>
          <w:noProof/>
          <w:sz w:val="24"/>
        </w:rPr>
        <w:t xml:space="preserve">Pasirengimas Jungtinės Karalystės išstojimui iš Europos Sąjungos, nesvarbu, pagal kokį scenarijų jis vyktų, yra kiekvieno reikalas. Išstojimas pakeis santykius ir turės didelį poveikį 27 valstybių narių Europos Sąjungos piliečiams ir įmonėms, o dalies to poveikio negalima kompensuoti. </w:t>
      </w:r>
    </w:p>
    <w:p w:rsidR="00E53A37" w:rsidRDefault="006E3763">
      <w:pPr>
        <w:spacing w:line="240" w:lineRule="auto"/>
        <w:jc w:val="both"/>
        <w:rPr>
          <w:rFonts w:ascii="Times New Roman" w:hAnsi="Times New Roman" w:cs="Times New Roman"/>
          <w:noProof/>
          <w:sz w:val="24"/>
          <w:szCs w:val="24"/>
        </w:rPr>
      </w:pPr>
      <w:r>
        <w:rPr>
          <w:rFonts w:ascii="Times New Roman" w:hAnsi="Times New Roman"/>
          <w:noProof/>
          <w:sz w:val="24"/>
        </w:rPr>
        <w:t xml:space="preserve">Todėl svarbu laiku imtis reikiamų veiksmų ir kiekvienas – piliečiai, įmonės, valstybės narės ir ES institucijos – turėtų imtis būtinųjų priemonių, kad būtų pasirengęs neigiamam išstojimo poveikiui ir jį sumažintų. </w:t>
      </w:r>
    </w:p>
    <w:p w:rsidR="00E53A37" w:rsidRDefault="006E3763">
      <w:pPr>
        <w:spacing w:after="240" w:line="240" w:lineRule="auto"/>
        <w:jc w:val="both"/>
        <w:rPr>
          <w:rFonts w:ascii="Times New Roman" w:hAnsi="Times New Roman" w:cs="Times New Roman"/>
          <w:noProof/>
          <w:sz w:val="24"/>
          <w:szCs w:val="24"/>
        </w:rPr>
      </w:pPr>
      <w:r>
        <w:rPr>
          <w:rFonts w:ascii="Times New Roman" w:hAnsi="Times New Roman"/>
          <w:noProof/>
          <w:sz w:val="24"/>
        </w:rPr>
        <w:t>Komisija ragina Europos Parlamentą ir Tarybą prioriteto tvarka svarstyti pasiūlymus dėl teisės aktų, kurie yra susiję su išstojimu, kad tie aktai įsigaliotų iki išstojimo dienos.</w:t>
      </w:r>
    </w:p>
    <w:p w:rsidR="00E53A37" w:rsidRDefault="006E3763">
      <w:pPr>
        <w:spacing w:line="240" w:lineRule="auto"/>
        <w:jc w:val="both"/>
        <w:rPr>
          <w:rFonts w:ascii="Times New Roman" w:hAnsi="Times New Roman" w:cs="Times New Roman"/>
          <w:noProof/>
          <w:sz w:val="24"/>
          <w:szCs w:val="24"/>
        </w:rPr>
      </w:pPr>
      <w:r>
        <w:rPr>
          <w:rFonts w:ascii="Times New Roman" w:hAnsi="Times New Roman"/>
          <w:noProof/>
          <w:sz w:val="24"/>
        </w:rPr>
        <w:t>Komisija toliau tęs ir didins savo pasirengimą, jį laikydama didžiausiu prioritetu. Ji pasirengusi prisitaikyti prie derybų pažangos, kad geriausiai tarnautų 27 valstybėms narėms, jų piliečiams ir įmonėms. Ji peržiūrės padėtį po 2018 m. spalio mėn. Europos Vadovų Tarybos (50 straipsnis).</w:t>
      </w:r>
    </w:p>
    <w:p w:rsidR="00E53A37" w:rsidRDefault="006E3763">
      <w:pPr>
        <w:rPr>
          <w:rFonts w:ascii="Times New Roman" w:hAnsi="Times New Roman"/>
          <w:noProof/>
          <w:sz w:val="24"/>
        </w:rPr>
      </w:pPr>
      <w:r>
        <w:rPr>
          <w:noProof/>
        </w:rPr>
        <w:br w:type="page"/>
      </w:r>
    </w:p>
    <w:p w:rsidR="00E53A37" w:rsidRDefault="006E3763">
      <w:pPr>
        <w:pStyle w:val="NormalWeb"/>
        <w:spacing w:before="120" w:beforeAutospacing="0"/>
        <w:jc w:val="center"/>
        <w:rPr>
          <w:b/>
          <w:noProof/>
        </w:rPr>
      </w:pPr>
      <w:r>
        <w:rPr>
          <w:b/>
          <w:noProof/>
        </w:rPr>
        <w:t>Pasirengimo sunkumų ir veiksmų įvairiuose sektoriuose pavyzdžiai</w:t>
      </w:r>
    </w:p>
    <w:tbl>
      <w:tblPr>
        <w:tblStyle w:val="TableGrid"/>
        <w:tblW w:w="0" w:type="auto"/>
        <w:tblLook w:val="04A0" w:firstRow="1" w:lastRow="0" w:firstColumn="1" w:lastColumn="0" w:noHBand="0" w:noVBand="1"/>
      </w:tblPr>
      <w:tblGrid>
        <w:gridCol w:w="9288"/>
      </w:tblGrid>
      <w:tr w:rsidR="00E53A37">
        <w:tc>
          <w:tcPr>
            <w:tcW w:w="9288" w:type="dxa"/>
          </w:tcPr>
          <w:p w:rsidR="00E53A37" w:rsidRDefault="006E3763">
            <w:pPr>
              <w:rPr>
                <w:rFonts w:ascii="Times New Roman" w:hAnsi="Times New Roman"/>
                <w:b/>
                <w:noProof/>
                <w:sz w:val="24"/>
                <w:szCs w:val="24"/>
              </w:rPr>
            </w:pPr>
            <w:r>
              <w:rPr>
                <w:rFonts w:ascii="Times New Roman" w:hAnsi="Times New Roman"/>
                <w:b/>
                <w:noProof/>
                <w:sz w:val="24"/>
              </w:rPr>
              <w:t>Transportas, įskaitant aviaciją. Pasirengimas „Brexit’ui“</w:t>
            </w:r>
          </w:p>
          <w:p w:rsidR="00E53A37" w:rsidRDefault="00E53A37">
            <w:pPr>
              <w:jc w:val="both"/>
              <w:rPr>
                <w:rFonts w:ascii="Times New Roman" w:hAnsi="Times New Roman"/>
                <w:noProof/>
                <w:sz w:val="24"/>
                <w:szCs w:val="24"/>
              </w:rPr>
            </w:pPr>
          </w:p>
          <w:p w:rsidR="00E53A37" w:rsidRDefault="006E3763">
            <w:pPr>
              <w:jc w:val="both"/>
              <w:rPr>
                <w:rFonts w:ascii="Times New Roman" w:hAnsi="Times New Roman" w:cs="Times New Roman"/>
                <w:noProof/>
                <w:sz w:val="24"/>
                <w:szCs w:val="24"/>
              </w:rPr>
            </w:pPr>
            <w:r>
              <w:rPr>
                <w:rFonts w:ascii="Times New Roman" w:hAnsi="Times New Roman"/>
                <w:noProof/>
                <w:sz w:val="24"/>
              </w:rPr>
              <w:t>Atsižvelgdama į transporto rūšį (oro, kelių, geležinkelių, jūrų, vidaus vandenų kelių), ES nustato saugos, saugumo ir galimybių patekti į ES rinką taisykles. Dėl šių taisyklių paprastai skiriami ES operatoriai ir trečiųjų šalių operatoriai, ir galimybė patekti į rinką suteikiama tiems, kurie atitinka ES reikalavimus.</w:t>
            </w:r>
          </w:p>
          <w:p w:rsidR="00E53A37" w:rsidRDefault="00E53A37">
            <w:pPr>
              <w:jc w:val="both"/>
              <w:rPr>
                <w:rFonts w:ascii="Times New Roman" w:hAnsi="Times New Roman" w:cs="Times New Roman"/>
                <w:noProof/>
                <w:sz w:val="24"/>
                <w:szCs w:val="24"/>
              </w:rPr>
            </w:pPr>
          </w:p>
          <w:p w:rsidR="00E53A37" w:rsidRDefault="006E3763">
            <w:pPr>
              <w:jc w:val="both"/>
              <w:rPr>
                <w:rFonts w:ascii="Times New Roman" w:hAnsi="Times New Roman" w:cs="Times New Roman"/>
                <w:noProof/>
                <w:sz w:val="24"/>
                <w:szCs w:val="24"/>
              </w:rPr>
            </w:pPr>
            <w:r>
              <w:rPr>
                <w:rFonts w:ascii="Times New Roman" w:hAnsi="Times New Roman"/>
                <w:noProof/>
                <w:sz w:val="24"/>
              </w:rPr>
              <w:t>ES transporto įmonės turėtų atidžiai įvertinti, ar Jungtinės Karalystės statuso pasikeitimas iš valstybės narės statuso į trečiosios šalies statusą turės poveikio jų veiklai, ir turėtų imtis būtinų pasirengimo priemonių.</w:t>
            </w:r>
          </w:p>
          <w:p w:rsidR="00E53A37" w:rsidRDefault="006E3763">
            <w:pPr>
              <w:jc w:val="both"/>
              <w:rPr>
                <w:rFonts w:ascii="Times New Roman" w:hAnsi="Times New Roman" w:cs="Times New Roman"/>
                <w:noProof/>
                <w:sz w:val="24"/>
                <w:szCs w:val="24"/>
              </w:rPr>
            </w:pPr>
            <w:r>
              <w:rPr>
                <w:rFonts w:ascii="Times New Roman" w:hAnsi="Times New Roman"/>
                <w:noProof/>
                <w:sz w:val="24"/>
              </w:rPr>
              <w:t xml:space="preserve"> </w:t>
            </w:r>
          </w:p>
          <w:p w:rsidR="00E53A37" w:rsidRDefault="006E3763">
            <w:pPr>
              <w:jc w:val="both"/>
              <w:rPr>
                <w:rFonts w:ascii="Times New Roman" w:hAnsi="Times New Roman" w:cs="Times New Roman"/>
                <w:noProof/>
                <w:sz w:val="24"/>
                <w:szCs w:val="24"/>
              </w:rPr>
            </w:pPr>
            <w:r>
              <w:rPr>
                <w:rFonts w:ascii="Times New Roman" w:hAnsi="Times New Roman"/>
                <w:noProof/>
                <w:sz w:val="24"/>
              </w:rPr>
              <w:t>Komisija paskelbė 10 transporto sričiai (oro transportui, aviacijos saugai, aviacijos ir jūrų saugumui, kelių transportui, geležinkelių transportui, jūrininkų kvalifikacijai, jūrų transportui, vartotojų apsaugai ir keleivių teisėms, vidaus vandenų keliams, pramonės produktams) skirtų pranešimų, kuriuose aiškiai nustatyti Jungtinės Karalystės išstojimo iš ES padariniai, susiję su teisine ir reglamentavimo sistema (pvz., aviacijos saugos srityje, jeigu nebus sudarytas joks konkretus susitarimas), taigi suinteresuotiesiems subjektams suteikiamas reikiamas aiškumas dėl pradinės padėties, prie kurios jiems patariama prisitaikyti.</w:t>
            </w:r>
          </w:p>
          <w:p w:rsidR="00E53A37" w:rsidRDefault="00E53A37">
            <w:pPr>
              <w:jc w:val="both"/>
              <w:rPr>
                <w:rFonts w:ascii="Times New Roman" w:hAnsi="Times New Roman" w:cs="Times New Roman"/>
                <w:noProof/>
                <w:sz w:val="24"/>
                <w:szCs w:val="24"/>
              </w:rPr>
            </w:pPr>
          </w:p>
          <w:p w:rsidR="00E53A37" w:rsidRDefault="006E3763">
            <w:pPr>
              <w:jc w:val="both"/>
              <w:rPr>
                <w:rFonts w:ascii="Times New Roman" w:hAnsi="Times New Roman" w:cs="Times New Roman"/>
                <w:noProof/>
                <w:sz w:val="24"/>
                <w:szCs w:val="24"/>
              </w:rPr>
            </w:pPr>
            <w:r>
              <w:rPr>
                <w:rFonts w:ascii="Times New Roman" w:hAnsi="Times New Roman"/>
                <w:noProof/>
                <w:sz w:val="24"/>
              </w:rPr>
              <w:t>Artimiausioje ateityje Komisija priims du pasiūlymus iš dalies pakeisti galiojančius reglamentus, kuriuose reikėtų padaryti pakeitimų pagal bet kokį scenarijų. Reglamento dėl organizacijų, kurioms pavestos užduotys atlikti pareigas, susijusias su laivų tikrinimu ir apžiūromis, pripažinimo Sąjungos lygmeniu pakeitimas padidins teisinį tikrumą, užtikrins veiklos tęstinumą susijusių laivų savininkams ir išsaugos su 27 ES valstybių narių vėliavomis plaukiojančių laivų konkurencingumą. Pasiūlymu iš dalies pakeisti Reglamentą dėl Europos infrastruktūros tinklų priemonės siekiama ištaisyti padėtį po Jungtinės Karalystės išstojimo, kai pastarosios transporto infrastruktūra nebebus Sąjungoje, siekiant užtikrinti tolesnes jungtis su ES tinklais.</w:t>
            </w:r>
          </w:p>
          <w:p w:rsidR="00E53A37" w:rsidRDefault="00E53A37">
            <w:pPr>
              <w:jc w:val="both"/>
              <w:rPr>
                <w:rFonts w:ascii="Times New Roman" w:hAnsi="Times New Roman" w:cs="Times New Roman"/>
                <w:noProof/>
                <w:sz w:val="24"/>
                <w:szCs w:val="24"/>
              </w:rPr>
            </w:pPr>
          </w:p>
        </w:tc>
      </w:tr>
    </w:tbl>
    <w:p w:rsidR="00E53A37" w:rsidRDefault="00E53A37">
      <w:pPr>
        <w:pStyle w:val="NormalWeb"/>
        <w:spacing w:before="120" w:beforeAutospacing="0"/>
        <w:jc w:val="both"/>
        <w:rPr>
          <w:noProof/>
        </w:rPr>
      </w:pPr>
    </w:p>
    <w:tbl>
      <w:tblPr>
        <w:tblStyle w:val="TableGrid"/>
        <w:tblW w:w="0" w:type="auto"/>
        <w:tblLook w:val="04A0" w:firstRow="1" w:lastRow="0" w:firstColumn="1" w:lastColumn="0" w:noHBand="0" w:noVBand="1"/>
      </w:tblPr>
      <w:tblGrid>
        <w:gridCol w:w="9288"/>
      </w:tblGrid>
      <w:tr w:rsidR="00E53A37">
        <w:tc>
          <w:tcPr>
            <w:tcW w:w="9288" w:type="dxa"/>
          </w:tcPr>
          <w:p w:rsidR="00E53A37" w:rsidRDefault="006E3763">
            <w:pPr>
              <w:jc w:val="both"/>
              <w:rPr>
                <w:rFonts w:ascii="Times New Roman" w:hAnsi="Times New Roman" w:cs="Times New Roman"/>
                <w:b/>
                <w:noProof/>
                <w:sz w:val="24"/>
                <w:szCs w:val="24"/>
              </w:rPr>
            </w:pPr>
            <w:r>
              <w:rPr>
                <w:rFonts w:ascii="Times New Roman" w:hAnsi="Times New Roman"/>
                <w:b/>
                <w:noProof/>
                <w:sz w:val="24"/>
              </w:rPr>
              <w:t>Muitinė. Pasirengimas „Brexit’ui“</w:t>
            </w:r>
          </w:p>
          <w:p w:rsidR="00E53A37" w:rsidRDefault="00E53A37">
            <w:pPr>
              <w:jc w:val="both"/>
              <w:rPr>
                <w:rFonts w:ascii="Times New Roman" w:hAnsi="Times New Roman" w:cs="Times New Roman"/>
                <w:noProof/>
                <w:sz w:val="24"/>
                <w:szCs w:val="24"/>
              </w:rPr>
            </w:pPr>
          </w:p>
          <w:p w:rsidR="00E53A37" w:rsidRDefault="006E3763">
            <w:pPr>
              <w:jc w:val="both"/>
              <w:rPr>
                <w:rFonts w:ascii="Times New Roman" w:hAnsi="Times New Roman" w:cs="Times New Roman"/>
                <w:noProof/>
                <w:sz w:val="24"/>
                <w:szCs w:val="24"/>
              </w:rPr>
            </w:pPr>
            <w:r>
              <w:rPr>
                <w:rFonts w:ascii="Times New Roman" w:hAnsi="Times New Roman"/>
                <w:noProof/>
                <w:sz w:val="24"/>
              </w:rPr>
              <w:t xml:space="preserve">Kai Jungtinė Karalystė taps trečiąja šalimi, jeigu nebus susitarimo nustatančio kitaip, ES muitinės administracijos, t. y. nacionalinės muitinės, turės užtikrinti ES taisyklių taikymą tiek eksportui į Jungtinę Karalystę, tiek importui iš jos. Tai reiškia, kad bus taikomi formalumai, kurie dabar taikomi prekybai su ES nepriklausančiomis šalimis, be kita ko, reikės teikti muitinės deklaracijas už vežamas prekes ir bus atliekami susiję tikrinimai siekiant užtikrinti atitiktį. Reikės apskaityti muitus ir mokesčius (būtent PVM ir akcizo mokesčius). Padėtis skirsis nuo dabartinės padėties, kai tokie formalumai ar rinkliavos prie sienos netaikomi Jungtinės Karalystės ir likusių ES šalių tarpusavio prekybai. </w:t>
            </w:r>
          </w:p>
          <w:p w:rsidR="00E53A37" w:rsidRDefault="00E53A37">
            <w:pPr>
              <w:jc w:val="both"/>
              <w:rPr>
                <w:rFonts w:ascii="Times New Roman" w:hAnsi="Times New Roman" w:cs="Times New Roman"/>
                <w:noProof/>
                <w:sz w:val="24"/>
                <w:szCs w:val="24"/>
              </w:rPr>
            </w:pPr>
          </w:p>
          <w:p w:rsidR="00E53A37" w:rsidRDefault="006E3763">
            <w:pPr>
              <w:jc w:val="both"/>
              <w:rPr>
                <w:rFonts w:ascii="Times New Roman" w:hAnsi="Times New Roman" w:cs="Times New Roman"/>
                <w:noProof/>
                <w:sz w:val="24"/>
                <w:szCs w:val="24"/>
              </w:rPr>
            </w:pPr>
            <w:r>
              <w:rPr>
                <w:rFonts w:ascii="Times New Roman" w:hAnsi="Times New Roman"/>
                <w:noProof/>
                <w:sz w:val="24"/>
              </w:rPr>
              <w:t>Muitinės formalumai turi poveikio įmonėms dėl papildomų dokumentų ir duomenų reikalavimų, muitinei – dėl apdorojimo ir tikrinimo, o abiems šalims – dėl infrastruktūros reikalavimų, įskaitant IT ir fizinę infrastruktūrą, kuri leistų muitinėms atlikti reikiamą rizika pagrįstą tikrinimą.</w:t>
            </w:r>
          </w:p>
          <w:p w:rsidR="00E53A37" w:rsidRDefault="00E53A37">
            <w:pPr>
              <w:jc w:val="both"/>
              <w:rPr>
                <w:rFonts w:ascii="Times New Roman" w:hAnsi="Times New Roman" w:cs="Times New Roman"/>
                <w:noProof/>
                <w:sz w:val="24"/>
                <w:szCs w:val="24"/>
              </w:rPr>
            </w:pPr>
          </w:p>
          <w:p w:rsidR="00E53A37" w:rsidRDefault="006E3763">
            <w:pPr>
              <w:jc w:val="both"/>
              <w:rPr>
                <w:rFonts w:ascii="Times New Roman" w:hAnsi="Times New Roman" w:cs="Times New Roman"/>
                <w:noProof/>
                <w:sz w:val="24"/>
                <w:szCs w:val="24"/>
              </w:rPr>
            </w:pPr>
            <w:r>
              <w:rPr>
                <w:rFonts w:ascii="Times New Roman" w:hAnsi="Times New Roman"/>
                <w:noProof/>
                <w:sz w:val="24"/>
              </w:rPr>
              <w:t>Visi susiję suinteresuotieji subjektai turėtų pasirengti padėčiai, kai prekių vežimui iš Jungtinės Karalystės ir į ją taikomos muitinės procedūros ir tikrinimai.</w:t>
            </w:r>
          </w:p>
          <w:p w:rsidR="00E53A37" w:rsidRDefault="00E53A37">
            <w:pPr>
              <w:jc w:val="both"/>
              <w:rPr>
                <w:rFonts w:ascii="Times New Roman" w:hAnsi="Times New Roman" w:cs="Times New Roman"/>
                <w:noProof/>
                <w:sz w:val="24"/>
                <w:szCs w:val="24"/>
              </w:rPr>
            </w:pPr>
          </w:p>
          <w:p w:rsidR="00E53A37" w:rsidRDefault="006E3763">
            <w:pPr>
              <w:jc w:val="both"/>
              <w:rPr>
                <w:rFonts w:ascii="Times New Roman" w:hAnsi="Times New Roman" w:cs="Times New Roman"/>
                <w:noProof/>
                <w:sz w:val="24"/>
                <w:szCs w:val="24"/>
              </w:rPr>
            </w:pPr>
            <w:r>
              <w:rPr>
                <w:rFonts w:ascii="Times New Roman" w:hAnsi="Times New Roman"/>
                <w:noProof/>
                <w:sz w:val="24"/>
              </w:rPr>
              <w:t>Šiai naujai padėčiai nacionalinės viešojo administravimo institucijos pradėjo rengtis, visų pirma planuodamos naujų darbuotojų įdarbinimą.</w:t>
            </w:r>
          </w:p>
          <w:p w:rsidR="00E53A37" w:rsidRDefault="00E53A37">
            <w:pPr>
              <w:jc w:val="both"/>
              <w:rPr>
                <w:rFonts w:ascii="Times New Roman" w:hAnsi="Times New Roman" w:cs="Times New Roman"/>
                <w:noProof/>
                <w:sz w:val="24"/>
                <w:szCs w:val="24"/>
              </w:rPr>
            </w:pPr>
          </w:p>
          <w:p w:rsidR="00E53A37" w:rsidRDefault="006E3763">
            <w:pPr>
              <w:jc w:val="both"/>
              <w:rPr>
                <w:rFonts w:ascii="Times New Roman" w:hAnsi="Times New Roman" w:cs="Times New Roman"/>
                <w:noProof/>
                <w:sz w:val="24"/>
                <w:szCs w:val="24"/>
              </w:rPr>
            </w:pPr>
            <w:r>
              <w:rPr>
                <w:rFonts w:ascii="Times New Roman" w:hAnsi="Times New Roman"/>
                <w:noProof/>
                <w:sz w:val="24"/>
              </w:rPr>
              <w:t>Savo ruožtu Komisija atidžiai išnagrinėjo dabartinę teisinę sistemą ir jos taikymą. Ji taip pat stengėsi atkreipti valstybių narių dėmesį į ES teisės įpareigojimus, susijusius su prekyba su trečiosiomis šalimis, kartu skelbdama pranešimus suinteresuotiesiems subjektams. 27 ES valstybėse narėse surengti techniniai seminarai, kuriais siekta padidinti informuotumą ir iškelti problemas, ir visų pirma dalyvaujant Komisijos prekybos ryšių grupei vyko diskusijos apie prekybos interesus.</w:t>
            </w:r>
          </w:p>
          <w:p w:rsidR="00E53A37" w:rsidRDefault="00E53A37">
            <w:pPr>
              <w:jc w:val="both"/>
              <w:rPr>
                <w:rFonts w:ascii="Times New Roman" w:hAnsi="Times New Roman" w:cs="Times New Roman"/>
                <w:noProof/>
                <w:sz w:val="24"/>
                <w:szCs w:val="24"/>
              </w:rPr>
            </w:pPr>
          </w:p>
          <w:p w:rsidR="00E53A37" w:rsidRDefault="006E3763">
            <w:pPr>
              <w:jc w:val="both"/>
              <w:rPr>
                <w:rFonts w:ascii="Times New Roman" w:hAnsi="Times New Roman" w:cs="Times New Roman"/>
                <w:noProof/>
                <w:sz w:val="24"/>
                <w:szCs w:val="24"/>
              </w:rPr>
            </w:pPr>
            <w:r>
              <w:rPr>
                <w:rFonts w:ascii="Times New Roman" w:hAnsi="Times New Roman"/>
                <w:noProof/>
                <w:sz w:val="24"/>
              </w:rPr>
              <w:t>ES muitinės labai priklauso nuo sudėtingų ir sujungtų IT sistemų. Komisija jau pradėjo procesą, siekdama užtikrinti, kad būtų imtasi atitinkamų pakeitimų tiek ES, tiek valstybių narių lygmeniu siekiant atspindėti pasikeitusį Jungtinės Karalystės statusą.</w:t>
            </w:r>
          </w:p>
          <w:p w:rsidR="00E53A37" w:rsidRDefault="00E53A37">
            <w:pPr>
              <w:jc w:val="both"/>
              <w:rPr>
                <w:rFonts w:ascii="Times New Roman" w:hAnsi="Times New Roman" w:cs="Times New Roman"/>
                <w:noProof/>
                <w:sz w:val="24"/>
                <w:szCs w:val="24"/>
              </w:rPr>
            </w:pPr>
          </w:p>
          <w:p w:rsidR="00E53A37" w:rsidRDefault="006E3763">
            <w:pPr>
              <w:jc w:val="both"/>
              <w:rPr>
                <w:noProof/>
              </w:rPr>
            </w:pPr>
            <w:r>
              <w:rPr>
                <w:rFonts w:ascii="Times New Roman" w:hAnsi="Times New Roman"/>
                <w:noProof/>
                <w:sz w:val="24"/>
              </w:rPr>
              <w:t>Galiausiai Komisija remia Jungtinės Karalystės prisijungimą prie Konvencijos dėl bendrosios tranzito procedūros. Tai būtų svarbi prekybos lengvinimo priemonė, kuri leistų prekėms gana laisvai judėti įvairiose jurisdikcijose esant muitinės priežiūrai ir kuri yra ypač svarbi, kai prekės vežamos iš vienos ES dalies į kitą per Jungtinę Karalystę.</w:t>
            </w:r>
          </w:p>
        </w:tc>
      </w:tr>
    </w:tbl>
    <w:tbl>
      <w:tblPr>
        <w:tblStyle w:val="TableGrid"/>
        <w:tblpPr w:leftFromText="180" w:rightFromText="180" w:vertAnchor="text" w:horzAnchor="margin" w:tblpY="364"/>
        <w:tblW w:w="0" w:type="auto"/>
        <w:tblLook w:val="04A0" w:firstRow="1" w:lastRow="0" w:firstColumn="1" w:lastColumn="0" w:noHBand="0" w:noVBand="1"/>
      </w:tblPr>
      <w:tblGrid>
        <w:gridCol w:w="9288"/>
      </w:tblGrid>
      <w:tr w:rsidR="00E53A37">
        <w:tc>
          <w:tcPr>
            <w:tcW w:w="9288" w:type="dxa"/>
          </w:tcPr>
          <w:p w:rsidR="00E53A37" w:rsidRDefault="006E3763">
            <w:pPr>
              <w:jc w:val="both"/>
              <w:rPr>
                <w:rFonts w:ascii="Times New Roman" w:hAnsi="Times New Roman" w:cs="Times New Roman"/>
                <w:b/>
                <w:noProof/>
                <w:sz w:val="24"/>
                <w:szCs w:val="24"/>
              </w:rPr>
            </w:pPr>
            <w:r>
              <w:rPr>
                <w:rFonts w:ascii="Times New Roman" w:hAnsi="Times New Roman"/>
                <w:b/>
                <w:noProof/>
                <w:sz w:val="24"/>
              </w:rPr>
              <w:t>Finansinės paslaugos. Pasirengimas „Brexit’ui“</w:t>
            </w:r>
          </w:p>
          <w:p w:rsidR="00E53A37" w:rsidRDefault="00E53A37">
            <w:pPr>
              <w:jc w:val="both"/>
              <w:rPr>
                <w:rFonts w:ascii="Times New Roman" w:hAnsi="Times New Roman" w:cs="Times New Roman"/>
                <w:noProof/>
                <w:sz w:val="24"/>
                <w:szCs w:val="24"/>
              </w:rPr>
            </w:pPr>
          </w:p>
          <w:p w:rsidR="00E53A37" w:rsidRDefault="006E3763">
            <w:pPr>
              <w:jc w:val="both"/>
              <w:rPr>
                <w:rFonts w:ascii="Times New Roman" w:hAnsi="Times New Roman" w:cs="Times New Roman"/>
                <w:noProof/>
                <w:sz w:val="24"/>
                <w:szCs w:val="24"/>
              </w:rPr>
            </w:pPr>
            <w:r>
              <w:rPr>
                <w:rFonts w:ascii="Times New Roman" w:hAnsi="Times New Roman"/>
                <w:noProof/>
                <w:sz w:val="24"/>
              </w:rPr>
              <w:t xml:space="preserve">Metams bėgant Jungtinė Karalystė ir ypač Londono Sitis tapo svarbiu finansinių paslaugų centru, taip pat dėl bendrosios rinkos. Daugelis veiklos vykdytojų, be kita ko, iš trečiųjų šalių, yra įsisteigę Jungtinėje Karalystėje ir vykdo veiklą likusioje bendrosios rinkos dalyje remdamiesi paso mechanizmo teisėmis, įtvirtintomis ES finansinių paslaugų teisės aktais. </w:t>
            </w:r>
          </w:p>
          <w:p w:rsidR="00E53A37" w:rsidRDefault="00E53A37">
            <w:pPr>
              <w:jc w:val="both"/>
              <w:rPr>
                <w:rFonts w:ascii="Times New Roman" w:hAnsi="Times New Roman" w:cs="Times New Roman"/>
                <w:noProof/>
                <w:sz w:val="24"/>
                <w:szCs w:val="24"/>
              </w:rPr>
            </w:pPr>
          </w:p>
          <w:p w:rsidR="00E53A37" w:rsidRDefault="006E3763">
            <w:pPr>
              <w:jc w:val="both"/>
              <w:rPr>
                <w:rFonts w:ascii="Times New Roman" w:hAnsi="Times New Roman" w:cs="Times New Roman"/>
                <w:noProof/>
                <w:sz w:val="24"/>
                <w:szCs w:val="24"/>
              </w:rPr>
            </w:pPr>
            <w:r>
              <w:rPr>
                <w:rFonts w:ascii="Times New Roman" w:hAnsi="Times New Roman"/>
                <w:noProof/>
                <w:sz w:val="24"/>
              </w:rPr>
              <w:t>Šios paso mechanizmo teisės po išstojimo bus panaikintos. Tai reiškia, kad finansinių paslaugų teikimas iš Jungtinės Karalystės į 27 ES valstybes nares bus reglamentuojamas pagal trečiosioms šalims taikomą tvarką, nustatytą ES teisėje ir ES klientų atitinkamų valstybių narių nacionalinėse teisinėse sistemose. Galimybės patekti į bendrąją rinką nebus. Visų finansinių paslaugų sektorių veiklos vykdytojams reikia pasirengti šiam scenarijui, jeigu jie nori užsitikrinti, kad nebūtų dabartinio verslo modelio trikdžių ir kad jie galėtų toliau teikti paslaugas savo klientams. Kiek tai susiję su sutartimis, dabar nėra bendros problemos, susijusios su sutarčių tęstinumu, nes iš esmės net po išstojimo ir toliau bus galima vykdyti dabartinius įsipareigojimus. Tačiau į kiekvienos rūšies sutartis reikia pažvelgti atskirai.</w:t>
            </w:r>
          </w:p>
          <w:p w:rsidR="00E53A37" w:rsidRDefault="00E53A37">
            <w:pPr>
              <w:jc w:val="both"/>
              <w:rPr>
                <w:rFonts w:ascii="Times New Roman" w:hAnsi="Times New Roman" w:cs="Times New Roman"/>
                <w:noProof/>
                <w:sz w:val="24"/>
                <w:szCs w:val="24"/>
              </w:rPr>
            </w:pPr>
          </w:p>
          <w:p w:rsidR="00E53A37" w:rsidRDefault="006E3763">
            <w:pPr>
              <w:jc w:val="both"/>
              <w:rPr>
                <w:rFonts w:ascii="Times New Roman" w:hAnsi="Times New Roman" w:cs="Times New Roman"/>
                <w:noProof/>
                <w:sz w:val="24"/>
                <w:szCs w:val="24"/>
              </w:rPr>
            </w:pPr>
            <w:r>
              <w:rPr>
                <w:rFonts w:ascii="Times New Roman" w:hAnsi="Times New Roman"/>
                <w:noProof/>
                <w:sz w:val="24"/>
              </w:rPr>
              <w:t>Komisija paskelbė aštuonis šios srities pranešimus. Europos priežiūros institucijos paskelbė keletą nuomonių ir pateikė išsamių papildomų rekomendacijų, skirtų nacionalinėms kompetentingoms institucijoms ir rinkos dalyviams. Komisija taip pat pasiūlė kai kurios dabartinės priežiūros tvarkos pakeitimų, siekdama sureguliuoti galimą poveikį finansiniam stabilumui po Jungtinės Karalystės išstojimo. Abi teisėkūros institucijos raginamos kuo greičiau priimti šiuos pasiūlymus</w:t>
            </w:r>
            <w:r>
              <w:rPr>
                <w:rStyle w:val="FootnoteReference"/>
                <w:rFonts w:ascii="Times New Roman" w:hAnsi="Times New Roman"/>
                <w:noProof/>
                <w:sz w:val="24"/>
              </w:rPr>
              <w:footnoteReference w:id="18"/>
            </w:r>
            <w:r>
              <w:rPr>
                <w:rFonts w:ascii="Times New Roman" w:hAnsi="Times New Roman"/>
                <w:noProof/>
                <w:sz w:val="24"/>
              </w:rPr>
              <w:t>.</w:t>
            </w:r>
          </w:p>
          <w:p w:rsidR="00E53A37" w:rsidRDefault="00E53A37">
            <w:pPr>
              <w:jc w:val="both"/>
              <w:rPr>
                <w:rFonts w:ascii="Times New Roman" w:hAnsi="Times New Roman" w:cs="Times New Roman"/>
                <w:noProof/>
                <w:sz w:val="24"/>
                <w:szCs w:val="24"/>
              </w:rPr>
            </w:pPr>
          </w:p>
          <w:p w:rsidR="00E53A37" w:rsidRDefault="006E3763">
            <w:pPr>
              <w:jc w:val="both"/>
              <w:rPr>
                <w:noProof/>
              </w:rPr>
            </w:pPr>
            <w:r>
              <w:rPr>
                <w:rFonts w:ascii="Times New Roman" w:hAnsi="Times New Roman"/>
                <w:noProof/>
                <w:sz w:val="24"/>
              </w:rPr>
              <w:t xml:space="preserve">Atsižvelgiant į galimą poveikį finansiniam stabilumui, įsteigta techninė darbo grupė, kuriai kartu pirmininkauja Anglijos bankas ir Europos Centrinis Bankas, ir ji reguliariai posėdžiauja daugiausia dėmesio skirdama rizikos valdymui finansinių paslaugų srityje artėjant 2019 m. kovo 30 d. Papildomos institucijos dalyvauja analizuojant konkrečius klausimus. Grupė už savo darbą atsiskaitys Komisijai ir atsakingai Jungtinės Karalystės institucijai. </w:t>
            </w:r>
          </w:p>
        </w:tc>
      </w:tr>
    </w:tbl>
    <w:p w:rsidR="00E53A37" w:rsidRDefault="00E53A37">
      <w:pPr>
        <w:pStyle w:val="NormalWeb"/>
        <w:spacing w:before="360" w:beforeAutospacing="0"/>
        <w:rPr>
          <w:b/>
          <w:noProof/>
        </w:rPr>
      </w:pPr>
    </w:p>
    <w:tbl>
      <w:tblPr>
        <w:tblStyle w:val="TableGrid"/>
        <w:tblpPr w:leftFromText="180" w:rightFromText="180" w:vertAnchor="text" w:horzAnchor="margin" w:tblpY="364"/>
        <w:tblW w:w="0" w:type="auto"/>
        <w:tblLook w:val="04A0" w:firstRow="1" w:lastRow="0" w:firstColumn="1" w:lastColumn="0" w:noHBand="0" w:noVBand="1"/>
      </w:tblPr>
      <w:tblGrid>
        <w:gridCol w:w="9288"/>
      </w:tblGrid>
      <w:tr w:rsidR="00E53A37">
        <w:tc>
          <w:tcPr>
            <w:tcW w:w="9288" w:type="dxa"/>
          </w:tcPr>
          <w:p w:rsidR="00E53A37" w:rsidRDefault="006E3763">
            <w:pPr>
              <w:jc w:val="both"/>
              <w:rPr>
                <w:rFonts w:ascii="Times New Roman" w:hAnsi="Times New Roman" w:cs="Times New Roman"/>
                <w:b/>
                <w:noProof/>
                <w:sz w:val="24"/>
                <w:szCs w:val="24"/>
              </w:rPr>
            </w:pPr>
            <w:r>
              <w:rPr>
                <w:rFonts w:ascii="Times New Roman" w:hAnsi="Times New Roman"/>
                <w:b/>
                <w:noProof/>
                <w:sz w:val="24"/>
              </w:rPr>
              <w:t>Maisto sauga. Pasirengimas „Brexit’ui“</w:t>
            </w:r>
          </w:p>
          <w:p w:rsidR="00E53A37" w:rsidRDefault="00E53A37">
            <w:pPr>
              <w:jc w:val="both"/>
              <w:rPr>
                <w:rFonts w:ascii="Times New Roman" w:hAnsi="Times New Roman" w:cs="Times New Roman"/>
                <w:noProof/>
                <w:sz w:val="24"/>
                <w:szCs w:val="24"/>
              </w:rPr>
            </w:pPr>
          </w:p>
          <w:p w:rsidR="00E53A37" w:rsidRDefault="006E3763">
            <w:pPr>
              <w:jc w:val="both"/>
              <w:rPr>
                <w:rFonts w:ascii="Times New Roman" w:hAnsi="Times New Roman" w:cs="Times New Roman"/>
                <w:noProof/>
                <w:sz w:val="24"/>
                <w:szCs w:val="24"/>
              </w:rPr>
            </w:pPr>
            <w:r>
              <w:rPr>
                <w:rFonts w:ascii="Times New Roman" w:hAnsi="Times New Roman"/>
                <w:noProof/>
                <w:sz w:val="24"/>
              </w:rPr>
              <w:t>Kai Jungtinė Karalystė taps trečiąja šalimi, jeigu nebus susitarimo nustatančio kitaip, Jungtinei Karalystei, kaip bet kokiai kitai trečiajai šaliai, bus taikomos griežtos ES taisyklės dėl sanitarijos ir fitosanitarijos sąlygų ir gyvūnų, augalų ir jų produktų kontrolės.</w:t>
            </w:r>
          </w:p>
          <w:p w:rsidR="00E53A37" w:rsidRDefault="00E53A37">
            <w:pPr>
              <w:jc w:val="both"/>
              <w:rPr>
                <w:rFonts w:ascii="Times New Roman" w:hAnsi="Times New Roman" w:cs="Times New Roman"/>
                <w:noProof/>
                <w:sz w:val="24"/>
                <w:szCs w:val="24"/>
              </w:rPr>
            </w:pPr>
          </w:p>
          <w:p w:rsidR="00E53A37" w:rsidRDefault="006E3763">
            <w:pPr>
              <w:jc w:val="both"/>
              <w:rPr>
                <w:rFonts w:ascii="Times New Roman" w:hAnsi="Times New Roman" w:cs="Times New Roman"/>
                <w:noProof/>
                <w:sz w:val="24"/>
                <w:szCs w:val="24"/>
              </w:rPr>
            </w:pPr>
            <w:r>
              <w:rPr>
                <w:rFonts w:ascii="Times New Roman" w:hAnsi="Times New Roman"/>
                <w:noProof/>
                <w:sz w:val="24"/>
              </w:rPr>
              <w:t>Gyvūnų, augalų ir jų produktų importui iš Jungtinės Karalystės į Europos Sąjungą bus taikomos tokios taisyklės:</w:t>
            </w:r>
          </w:p>
          <w:p w:rsidR="00E53A37" w:rsidRDefault="006E3763">
            <w:pPr>
              <w:pStyle w:val="ListParagraph"/>
              <w:numPr>
                <w:ilvl w:val="0"/>
                <w:numId w:val="26"/>
              </w:numPr>
              <w:jc w:val="both"/>
              <w:rPr>
                <w:rFonts w:ascii="Times New Roman" w:hAnsi="Times New Roman" w:cs="Times New Roman"/>
                <w:noProof/>
                <w:sz w:val="24"/>
                <w:szCs w:val="24"/>
              </w:rPr>
            </w:pPr>
            <w:r>
              <w:rPr>
                <w:rFonts w:ascii="Times New Roman" w:hAnsi="Times New Roman"/>
                <w:noProof/>
                <w:sz w:val="24"/>
              </w:rPr>
              <w:t>prekyba galės vykti, kai bus nustatytos atitinkamų žemės ūkio maisto produktų sanitarinės ir fitosanitarinės sąlygos ir atitinkami sertifikavimo bei kontrolės reikalavimai;</w:t>
            </w:r>
          </w:p>
          <w:p w:rsidR="00E53A37" w:rsidRDefault="006E3763">
            <w:pPr>
              <w:pStyle w:val="ListParagraph"/>
              <w:numPr>
                <w:ilvl w:val="0"/>
                <w:numId w:val="26"/>
              </w:numPr>
              <w:jc w:val="both"/>
              <w:rPr>
                <w:rFonts w:ascii="Times New Roman" w:hAnsi="Times New Roman" w:cs="Times New Roman"/>
                <w:noProof/>
                <w:sz w:val="24"/>
                <w:szCs w:val="24"/>
              </w:rPr>
            </w:pPr>
            <w:r>
              <w:rPr>
                <w:rFonts w:ascii="Times New Roman" w:hAnsi="Times New Roman"/>
                <w:noProof/>
                <w:sz w:val="24"/>
              </w:rPr>
              <w:t>reikės sukurti fizinę infrastruktūrą, kad būtų įmanomas bet koks gyvų gyvūnų ir gyvūninių produktų (įskaitant gyvūninius maisto produktus) ir tam tikrų augalų ir augalinių produktų judėjimas per pasienio kontrolės postus jūrų uostuose, oro uostuose ir sausumoje, kaip reikalaujama pagal ES taisykles. Gali prireikti didinti dabartinių postų pajėgumus, bet taip pat reikės įsteigti naujų postų.</w:t>
            </w:r>
          </w:p>
          <w:p w:rsidR="00E53A37" w:rsidRDefault="00E53A37">
            <w:pPr>
              <w:jc w:val="both"/>
              <w:rPr>
                <w:rFonts w:ascii="Times New Roman" w:hAnsi="Times New Roman" w:cs="Times New Roman"/>
                <w:noProof/>
                <w:sz w:val="24"/>
                <w:szCs w:val="24"/>
              </w:rPr>
            </w:pPr>
          </w:p>
          <w:p w:rsidR="00E53A37" w:rsidRDefault="006E3763">
            <w:pPr>
              <w:jc w:val="both"/>
              <w:rPr>
                <w:noProof/>
              </w:rPr>
            </w:pPr>
            <w:r>
              <w:rPr>
                <w:rFonts w:ascii="Times New Roman" w:hAnsi="Times New Roman"/>
                <w:noProof/>
                <w:sz w:val="24"/>
              </w:rPr>
              <w:t>Paskelbta 10 pranešimų, kuriais siekiama padidinti ūkio subjektų informuotumą. Be to, surengtas techninių ekspertų seminaras dalyvaujat 27 ES valstybėms narėms ir posėdžiai su suinteresuotaisiais subjektais.</w:t>
            </w:r>
          </w:p>
        </w:tc>
      </w:tr>
    </w:tbl>
    <w:p w:rsidR="00E53A37" w:rsidRDefault="00E53A37">
      <w:pPr>
        <w:pStyle w:val="NormalWeb"/>
        <w:spacing w:before="360" w:beforeAutospacing="0"/>
        <w:rPr>
          <w:b/>
          <w:noProof/>
        </w:rPr>
      </w:pPr>
    </w:p>
    <w:tbl>
      <w:tblPr>
        <w:tblStyle w:val="TableGrid"/>
        <w:tblW w:w="0" w:type="auto"/>
        <w:tblLook w:val="04A0" w:firstRow="1" w:lastRow="0" w:firstColumn="1" w:lastColumn="0" w:noHBand="0" w:noVBand="1"/>
      </w:tblPr>
      <w:tblGrid>
        <w:gridCol w:w="9288"/>
      </w:tblGrid>
      <w:tr w:rsidR="00E53A37">
        <w:tc>
          <w:tcPr>
            <w:tcW w:w="9288" w:type="dxa"/>
          </w:tcPr>
          <w:p w:rsidR="00E53A37" w:rsidRDefault="006E3763">
            <w:pPr>
              <w:pStyle w:val="ListParagraph"/>
              <w:ind w:left="360" w:hanging="360"/>
              <w:rPr>
                <w:rFonts w:ascii="Times New Roman" w:hAnsi="Times New Roman"/>
                <w:b/>
                <w:noProof/>
                <w:sz w:val="24"/>
                <w:szCs w:val="24"/>
              </w:rPr>
            </w:pPr>
            <w:r>
              <w:rPr>
                <w:rFonts w:ascii="Times New Roman" w:hAnsi="Times New Roman"/>
                <w:b/>
                <w:noProof/>
                <w:sz w:val="24"/>
              </w:rPr>
              <w:t>Vaistai. Pasirengimas „Brexit’ui“</w:t>
            </w:r>
          </w:p>
          <w:p w:rsidR="00E53A37" w:rsidRDefault="00E53A37">
            <w:pPr>
              <w:pStyle w:val="ListParagraph"/>
              <w:ind w:hanging="360"/>
              <w:rPr>
                <w:rFonts w:ascii="Times New Roman" w:hAnsi="Times New Roman"/>
                <w:noProof/>
                <w:color w:val="003399"/>
                <w:sz w:val="24"/>
                <w:szCs w:val="24"/>
              </w:rPr>
            </w:pPr>
          </w:p>
          <w:p w:rsidR="00E53A37" w:rsidRDefault="006E3763">
            <w:pPr>
              <w:jc w:val="both"/>
              <w:rPr>
                <w:rFonts w:ascii="Times New Roman" w:hAnsi="Times New Roman"/>
                <w:noProof/>
                <w:sz w:val="24"/>
                <w:szCs w:val="24"/>
              </w:rPr>
            </w:pPr>
            <w:r>
              <w:rPr>
                <w:rFonts w:ascii="Times New Roman" w:hAnsi="Times New Roman"/>
                <w:noProof/>
                <w:sz w:val="24"/>
              </w:rPr>
              <w:t>Pagal ES farmacijos teisę reikalaujama, kad vaisto rinkodaros leidimo turėtojas būtų įsisteigęs ES. Be to, trečiosiose šalyse pagamintiems vaistams taikomos specifinės importo kontrolės priemonės.</w:t>
            </w:r>
          </w:p>
          <w:p w:rsidR="00E53A37" w:rsidRDefault="00E53A37">
            <w:pPr>
              <w:jc w:val="both"/>
              <w:rPr>
                <w:rFonts w:ascii="Times New Roman" w:hAnsi="Times New Roman"/>
                <w:noProof/>
                <w:sz w:val="24"/>
                <w:szCs w:val="24"/>
              </w:rPr>
            </w:pPr>
          </w:p>
          <w:p w:rsidR="00E53A37" w:rsidRDefault="006E3763">
            <w:pPr>
              <w:jc w:val="both"/>
              <w:rPr>
                <w:rFonts w:ascii="Times New Roman" w:hAnsi="Times New Roman"/>
                <w:noProof/>
                <w:sz w:val="24"/>
                <w:szCs w:val="24"/>
              </w:rPr>
            </w:pPr>
            <w:r>
              <w:rPr>
                <w:rFonts w:ascii="Times New Roman" w:hAnsi="Times New Roman"/>
                <w:noProof/>
                <w:sz w:val="24"/>
              </w:rPr>
              <w:t>Rinkodaros leidimo turėtojai ir tiekimo grandinėje dalyvaujantys subjektai turi pasirengti šiai padėčiai, visų pirma užsitikrindami, kad ES būtų reikiami bandymų įrenginiai.</w:t>
            </w:r>
          </w:p>
          <w:p w:rsidR="00E53A37" w:rsidRDefault="00E53A37">
            <w:pPr>
              <w:jc w:val="both"/>
              <w:rPr>
                <w:rFonts w:ascii="Times New Roman" w:hAnsi="Times New Roman"/>
                <w:noProof/>
                <w:sz w:val="24"/>
                <w:szCs w:val="24"/>
              </w:rPr>
            </w:pPr>
          </w:p>
          <w:p w:rsidR="00E53A37" w:rsidRDefault="006E3763">
            <w:pPr>
              <w:jc w:val="both"/>
              <w:rPr>
                <w:rFonts w:ascii="Times New Roman" w:hAnsi="Times New Roman"/>
                <w:noProof/>
                <w:sz w:val="24"/>
                <w:szCs w:val="24"/>
              </w:rPr>
            </w:pPr>
            <w:r>
              <w:rPr>
                <w:rFonts w:ascii="Times New Roman" w:hAnsi="Times New Roman"/>
                <w:noProof/>
                <w:sz w:val="24"/>
              </w:rPr>
              <w:t>Komisijos tarnybos, glaudžiai bendradarbiaudamos su Europos vaistų agentūra, paskelbė pranešimą ir kelis papildomus klausimų ir atsakymų dokumentus, kuriuose pateikė rekomendacijų. Be to, surengtas techninių ekspertų seminaras dalyvaujant 27 ES valstybėms narėms ir posėdžiai su suinteresuotaisiais subjektais. Galiausiai Europos vaistų agentūra, vykdydama platesnio masto pasirengimo planavimą, surengė apklausą dėl svarbiausių vaistinių preparatų.</w:t>
            </w:r>
          </w:p>
        </w:tc>
      </w:tr>
    </w:tbl>
    <w:p w:rsidR="00E53A37" w:rsidRDefault="00E53A37">
      <w:pPr>
        <w:rPr>
          <w:rFonts w:ascii="Times New Roman" w:hAnsi="Times New Roman" w:cs="Times New Roman"/>
          <w:noProof/>
          <w:sz w:val="24"/>
          <w:szCs w:val="24"/>
        </w:rPr>
      </w:pPr>
    </w:p>
    <w:tbl>
      <w:tblPr>
        <w:tblStyle w:val="TableGrid"/>
        <w:tblW w:w="0" w:type="auto"/>
        <w:tblLook w:val="04A0" w:firstRow="1" w:lastRow="0" w:firstColumn="1" w:lastColumn="0" w:noHBand="0" w:noVBand="1"/>
      </w:tblPr>
      <w:tblGrid>
        <w:gridCol w:w="9288"/>
      </w:tblGrid>
      <w:tr w:rsidR="00E53A37">
        <w:tc>
          <w:tcPr>
            <w:tcW w:w="9288" w:type="dxa"/>
          </w:tcPr>
          <w:p w:rsidR="00E53A37" w:rsidRDefault="006E3763">
            <w:pPr>
              <w:pStyle w:val="NormalWeb"/>
              <w:spacing w:before="360"/>
              <w:jc w:val="both"/>
              <w:rPr>
                <w:b/>
                <w:noProof/>
              </w:rPr>
            </w:pPr>
            <w:r>
              <w:rPr>
                <w:b/>
                <w:noProof/>
              </w:rPr>
              <w:t>Asmens duomenys. Pasirengimas „Brexit’ui“</w:t>
            </w:r>
          </w:p>
          <w:p w:rsidR="00E53A37" w:rsidRDefault="006E3763">
            <w:pPr>
              <w:pStyle w:val="NormalWeb"/>
              <w:spacing w:before="360"/>
              <w:jc w:val="both"/>
              <w:rPr>
                <w:noProof/>
              </w:rPr>
            </w:pPr>
            <w:r>
              <w:rPr>
                <w:noProof/>
              </w:rPr>
              <w:t xml:space="preserve">Dabar asmens duomenys gali laisvai judėti tarp ES valstybių narių, jeigu laikomasi Bendrojo duomenų apsaugos reglamento (BDAR 2016/679). Kai Jungtinei Karalystei nebebus taikoma ES teisė, asmens duomenų perdavimas iš ES į Jungtinę Karalystę vis tiek bus įmanomas, tik jam bus taikomos konkrečios ES teisėje nustatytos sąlygos. </w:t>
            </w:r>
          </w:p>
          <w:p w:rsidR="00E53A37" w:rsidRDefault="006E3763">
            <w:pPr>
              <w:jc w:val="both"/>
              <w:rPr>
                <w:rFonts w:ascii="Times New Roman" w:hAnsi="Times New Roman" w:cs="Times New Roman"/>
                <w:noProof/>
                <w:sz w:val="24"/>
                <w:szCs w:val="24"/>
              </w:rPr>
            </w:pPr>
            <w:r>
              <w:rPr>
                <w:rFonts w:ascii="Times New Roman" w:hAnsi="Times New Roman"/>
                <w:noProof/>
                <w:sz w:val="24"/>
              </w:rPr>
              <w:t>Todėl bendrovės ir valstybių narių institucijos, kurios dabar perduoda asmens duomenis į Jungtinę Karalystę, turėtų žinoti, kad šis perdavimas taps asmens duomenų perdavimu į trečiąją šalį, ir išsiaiškinti, ar tai galėtų būti leidžiama pagal atitinkamas ES teisės aktų nuostatas. Jeigu Jungtinės Karalystės asmens duomenų apsaugos lygis iš esmės atitiktų ES apsaugos lygį, Komisija priimtų sprendimą dėl tinkamumo, kuris leistų asmens duomenis perduoti į Jungtinę Karalystę be apribojimų. Tačiau šis sprendimas galėtų būti priimtas tik Jungtinei Karalystei tapus trečiąja šalimi. Todėl bendrovės taip pat turėtų įvertinti, ar, nesant sprendimo dėl tinkamumo, reikalingos priemonės, kad būtų galima užtikrinti, jog šis perdavimas toliau būtų įmanomas. Valstybių narių duomenų apsaugos institucijos turėtų padėti bendrovėms atlikti šį darbą.</w:t>
            </w:r>
          </w:p>
        </w:tc>
      </w:tr>
    </w:tbl>
    <w:p w:rsidR="00E53A37" w:rsidRDefault="00E53A37">
      <w:pPr>
        <w:rPr>
          <w:rFonts w:ascii="Times New Roman" w:hAnsi="Times New Roman" w:cs="Times New Roman"/>
          <w:noProof/>
          <w:sz w:val="24"/>
          <w:szCs w:val="24"/>
        </w:rPr>
      </w:pPr>
    </w:p>
    <w:p w:rsidR="00E53A37" w:rsidRDefault="006E3763">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b/>
          <w:noProof/>
          <w:sz w:val="24"/>
          <w:szCs w:val="24"/>
        </w:rPr>
      </w:pPr>
      <w:r>
        <w:rPr>
          <w:rFonts w:ascii="Times New Roman" w:hAnsi="Times New Roman"/>
          <w:b/>
          <w:noProof/>
          <w:sz w:val="24"/>
        </w:rPr>
        <w:t>Profesinės kvalifikacijos. Pasirengimas „Brexit’ui“</w:t>
      </w:r>
    </w:p>
    <w:p w:rsidR="00E53A37" w:rsidRDefault="006E3763">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noProof/>
          <w:sz w:val="24"/>
          <w:szCs w:val="24"/>
        </w:rPr>
      </w:pPr>
      <w:r>
        <w:rPr>
          <w:rFonts w:ascii="Times New Roman" w:hAnsi="Times New Roman"/>
          <w:noProof/>
          <w:sz w:val="24"/>
        </w:rPr>
        <w:t xml:space="preserve">ES teisėje numatytas supaprastintas ES piliečių kitose ES valstybėse narėse įgytų profesinių kvalifikacijų pripažinimas. </w:t>
      </w:r>
    </w:p>
    <w:p w:rsidR="00E53A37" w:rsidRDefault="006E3763">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noProof/>
          <w:sz w:val="24"/>
          <w:szCs w:val="24"/>
        </w:rPr>
      </w:pPr>
      <w:r>
        <w:rPr>
          <w:rFonts w:ascii="Times New Roman" w:hAnsi="Times New Roman"/>
          <w:noProof/>
          <w:sz w:val="24"/>
        </w:rPr>
        <w:t>Jungtinėje Karalystėje profesinę kvalifikaciją įgiję piliečiai turėtų apsvarstyti, ar vertėtų gauti profesinės kvalifikacijos pripažinimą 27 ES valstybėse narėse, kol Jungtinė Karalystė vis dar yra valstybė narė.</w:t>
      </w:r>
    </w:p>
    <w:p w:rsidR="00E53A37" w:rsidRDefault="006E3763">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noProof/>
          <w:sz w:val="24"/>
          <w:szCs w:val="24"/>
        </w:rPr>
      </w:pPr>
      <w:r>
        <w:rPr>
          <w:rFonts w:ascii="Times New Roman" w:hAnsi="Times New Roman"/>
          <w:noProof/>
          <w:sz w:val="24"/>
        </w:rPr>
        <w:t>Komisija paskelbė pranešimą apie reglamentuojamosioms profesijoms taikomas ES taisykles ir profesinių kvalifikacijų pripažinimą. ES piliečiams, iki „Brexit’o“ įgijusiems JK profesines kvalifikacijas, patartina pasikonsultuoti su atitinkamomis nacionalinėmis institucijomis, ar būtina gauti pripažinimą dar iki 2019 m. kovo 30 d.</w:t>
      </w:r>
    </w:p>
    <w:p w:rsidR="00E53A37" w:rsidRDefault="00E53A37">
      <w:pPr>
        <w:rPr>
          <w:rFonts w:ascii="Times New Roman" w:hAnsi="Times New Roman" w:cs="Times New Roman"/>
          <w:noProof/>
          <w:sz w:val="24"/>
          <w:szCs w:val="24"/>
        </w:rPr>
      </w:pPr>
    </w:p>
    <w:sectPr w:rsidR="00E53A37">
      <w:headerReference w:type="even" r:id="rId26"/>
      <w:headerReference w:type="default" r:id="rId27"/>
      <w:footerReference w:type="even" r:id="rId28"/>
      <w:footerReference w:type="default" r:id="rId29"/>
      <w:headerReference w:type="first" r:id="rId30"/>
      <w:footerReference w:type="first" r:id="rId31"/>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4582" w:rsidRDefault="00DE4582">
      <w:pPr>
        <w:spacing w:after="0" w:line="240" w:lineRule="auto"/>
      </w:pPr>
      <w:r>
        <w:separator/>
      </w:r>
    </w:p>
  </w:endnote>
  <w:endnote w:type="continuationSeparator" w:id="0">
    <w:p w:rsidR="00DE4582" w:rsidRDefault="00DE4582">
      <w:pPr>
        <w:spacing w:after="0" w:line="240" w:lineRule="auto"/>
      </w:pPr>
      <w:r>
        <w:continuationSeparator/>
      </w:r>
    </w:p>
  </w:endnote>
  <w:endnote w:type="continuationNotice" w:id="1">
    <w:p w:rsidR="00DE4582" w:rsidRDefault="00DE45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763" w:rsidRDefault="006E37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8E23A9" w:rsidRPr="00D94637" w:rsidTr="008E23A9">
      <w:trPr>
        <w:jc w:val="center"/>
      </w:trPr>
      <w:tc>
        <w:tcPr>
          <w:tcW w:w="5000" w:type="pct"/>
          <w:gridSpan w:val="7"/>
          <w:shd w:val="clear" w:color="auto" w:fill="auto"/>
          <w:tcMar>
            <w:top w:w="57" w:type="dxa"/>
          </w:tcMar>
        </w:tcPr>
        <w:p w:rsidR="008E23A9" w:rsidRPr="00D94637" w:rsidRDefault="008E23A9" w:rsidP="00D94637">
          <w:pPr>
            <w:pStyle w:val="FooterText"/>
            <w:pBdr>
              <w:top w:val="single" w:sz="4" w:space="1" w:color="auto"/>
            </w:pBdr>
            <w:spacing w:before="200"/>
            <w:rPr>
              <w:sz w:val="2"/>
              <w:szCs w:val="2"/>
            </w:rPr>
          </w:pPr>
          <w:bookmarkStart w:id="3" w:name="FOOTER_STANDARD"/>
        </w:p>
      </w:tc>
    </w:tr>
    <w:tr w:rsidR="008E23A9" w:rsidRPr="00B310DC" w:rsidTr="008E23A9">
      <w:trPr>
        <w:jc w:val="center"/>
      </w:trPr>
      <w:tc>
        <w:tcPr>
          <w:tcW w:w="2500" w:type="pct"/>
          <w:gridSpan w:val="2"/>
          <w:shd w:val="clear" w:color="auto" w:fill="auto"/>
          <w:tcMar>
            <w:top w:w="0" w:type="dxa"/>
          </w:tcMar>
        </w:tcPr>
        <w:p w:rsidR="008E23A9" w:rsidRPr="00AD7BF2" w:rsidRDefault="008E23A9" w:rsidP="004F54B2">
          <w:pPr>
            <w:pStyle w:val="FooterText"/>
          </w:pPr>
          <w:r>
            <w:t>11169/18</w:t>
          </w:r>
          <w:r w:rsidRPr="002511D8">
            <w:t xml:space="preserve"> </w:t>
          </w:r>
        </w:p>
      </w:tc>
      <w:tc>
        <w:tcPr>
          <w:tcW w:w="625" w:type="pct"/>
          <w:shd w:val="clear" w:color="auto" w:fill="auto"/>
          <w:tcMar>
            <w:top w:w="0" w:type="dxa"/>
          </w:tcMar>
        </w:tcPr>
        <w:p w:rsidR="008E23A9" w:rsidRPr="00AD7BF2" w:rsidRDefault="008E23A9" w:rsidP="00D94637">
          <w:pPr>
            <w:pStyle w:val="FooterText"/>
            <w:jc w:val="center"/>
          </w:pPr>
        </w:p>
      </w:tc>
      <w:tc>
        <w:tcPr>
          <w:tcW w:w="1286" w:type="pct"/>
          <w:gridSpan w:val="3"/>
          <w:shd w:val="clear" w:color="auto" w:fill="auto"/>
          <w:tcMar>
            <w:top w:w="0" w:type="dxa"/>
          </w:tcMar>
        </w:tcPr>
        <w:p w:rsidR="008E23A9" w:rsidRPr="002511D8" w:rsidRDefault="008E23A9" w:rsidP="00D94637">
          <w:pPr>
            <w:pStyle w:val="FooterText"/>
            <w:jc w:val="center"/>
          </w:pPr>
          <w:r>
            <w:t>nva</w:t>
          </w:r>
        </w:p>
      </w:tc>
      <w:tc>
        <w:tcPr>
          <w:tcW w:w="589" w:type="pct"/>
          <w:shd w:val="clear" w:color="auto" w:fill="auto"/>
          <w:tcMar>
            <w:top w:w="0" w:type="dxa"/>
          </w:tcMar>
        </w:tcPr>
        <w:p w:rsidR="008E23A9" w:rsidRPr="00B310DC" w:rsidRDefault="008E23A9" w:rsidP="008E23A9">
          <w:pPr>
            <w:pStyle w:val="FooterText"/>
            <w:jc w:val="right"/>
          </w:pPr>
          <w:r>
            <w:fldChar w:fldCharType="begin"/>
          </w:r>
          <w:r>
            <w:instrText xml:space="preserve"> PAGE  \* MERGEFORMAT </w:instrText>
          </w:r>
          <w:r>
            <w:fldChar w:fldCharType="separate"/>
          </w:r>
          <w:r w:rsidR="00080F57">
            <w:rPr>
              <w:noProof/>
            </w:rPr>
            <w:t>0</w:t>
          </w:r>
          <w:r>
            <w:fldChar w:fldCharType="end"/>
          </w:r>
        </w:p>
      </w:tc>
    </w:tr>
    <w:tr w:rsidR="008E23A9" w:rsidRPr="00D94637" w:rsidTr="008E23A9">
      <w:trPr>
        <w:jc w:val="center"/>
      </w:trPr>
      <w:tc>
        <w:tcPr>
          <w:tcW w:w="1774" w:type="pct"/>
          <w:shd w:val="clear" w:color="auto" w:fill="auto"/>
        </w:tcPr>
        <w:p w:rsidR="008E23A9" w:rsidRPr="00AD7BF2" w:rsidRDefault="008E23A9" w:rsidP="00D94637">
          <w:pPr>
            <w:pStyle w:val="FooterText"/>
            <w:spacing w:before="40"/>
          </w:pPr>
        </w:p>
      </w:tc>
      <w:tc>
        <w:tcPr>
          <w:tcW w:w="1455" w:type="pct"/>
          <w:gridSpan w:val="3"/>
          <w:shd w:val="clear" w:color="auto" w:fill="auto"/>
        </w:tcPr>
        <w:p w:rsidR="008E23A9" w:rsidRPr="00AD7BF2" w:rsidRDefault="008E23A9" w:rsidP="00D204D6">
          <w:pPr>
            <w:pStyle w:val="FooterText"/>
            <w:spacing w:before="40"/>
            <w:jc w:val="center"/>
          </w:pPr>
          <w:r>
            <w:t>UKTF</w:t>
          </w:r>
        </w:p>
      </w:tc>
      <w:tc>
        <w:tcPr>
          <w:tcW w:w="742" w:type="pct"/>
          <w:shd w:val="clear" w:color="auto" w:fill="auto"/>
        </w:tcPr>
        <w:p w:rsidR="008E23A9" w:rsidRPr="00D94637" w:rsidRDefault="008E23A9" w:rsidP="002F0099">
          <w:pPr>
            <w:pStyle w:val="FooterText"/>
            <w:jc w:val="center"/>
            <w:rPr>
              <w:b/>
              <w:position w:val="-4"/>
              <w:sz w:val="36"/>
            </w:rPr>
          </w:pPr>
        </w:p>
      </w:tc>
      <w:tc>
        <w:tcPr>
          <w:tcW w:w="1029" w:type="pct"/>
          <w:gridSpan w:val="2"/>
          <w:shd w:val="clear" w:color="auto" w:fill="auto"/>
        </w:tcPr>
        <w:p w:rsidR="008E23A9" w:rsidRPr="00D94637" w:rsidRDefault="008E23A9" w:rsidP="00D94637">
          <w:pPr>
            <w:pStyle w:val="FooterText"/>
            <w:jc w:val="right"/>
            <w:rPr>
              <w:sz w:val="16"/>
            </w:rPr>
          </w:pPr>
          <w:r>
            <w:rPr>
              <w:b/>
              <w:position w:val="-4"/>
              <w:sz w:val="36"/>
            </w:rPr>
            <w:t>LT</w:t>
          </w:r>
        </w:p>
      </w:tc>
    </w:tr>
    <w:bookmarkEnd w:id="3"/>
  </w:tbl>
  <w:p w:rsidR="00E53A37" w:rsidRPr="008E23A9" w:rsidRDefault="00E53A37" w:rsidP="008E23A9">
    <w:pPr>
      <w:pStyle w:val="FooterCouncil"/>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421"/>
      <w:gridCol w:w="1399"/>
      <w:gridCol w:w="1205"/>
      <w:gridCol w:w="200"/>
      <w:gridCol w:w="1430"/>
      <w:gridCol w:w="848"/>
      <w:gridCol w:w="1135"/>
    </w:tblGrid>
    <w:tr w:rsidR="008E23A9" w:rsidRPr="00D94637" w:rsidTr="008E23A9">
      <w:trPr>
        <w:jc w:val="center"/>
      </w:trPr>
      <w:tc>
        <w:tcPr>
          <w:tcW w:w="5000" w:type="pct"/>
          <w:gridSpan w:val="7"/>
          <w:shd w:val="clear" w:color="auto" w:fill="auto"/>
          <w:tcMar>
            <w:top w:w="57" w:type="dxa"/>
          </w:tcMar>
        </w:tcPr>
        <w:p w:rsidR="008E23A9" w:rsidRPr="00D94637" w:rsidRDefault="008E23A9" w:rsidP="00D94637">
          <w:pPr>
            <w:pStyle w:val="FooterText"/>
            <w:pBdr>
              <w:top w:val="single" w:sz="4" w:space="1" w:color="auto"/>
            </w:pBdr>
            <w:spacing w:before="200"/>
            <w:rPr>
              <w:sz w:val="2"/>
              <w:szCs w:val="2"/>
            </w:rPr>
          </w:pPr>
        </w:p>
      </w:tc>
    </w:tr>
    <w:tr w:rsidR="008E23A9" w:rsidRPr="00B310DC" w:rsidTr="008E23A9">
      <w:trPr>
        <w:jc w:val="center"/>
      </w:trPr>
      <w:tc>
        <w:tcPr>
          <w:tcW w:w="2500" w:type="pct"/>
          <w:gridSpan w:val="2"/>
          <w:shd w:val="clear" w:color="auto" w:fill="auto"/>
          <w:tcMar>
            <w:top w:w="0" w:type="dxa"/>
          </w:tcMar>
        </w:tcPr>
        <w:p w:rsidR="008E23A9" w:rsidRPr="00AD7BF2" w:rsidRDefault="008E23A9" w:rsidP="004F54B2">
          <w:pPr>
            <w:pStyle w:val="FooterText"/>
          </w:pPr>
          <w:r>
            <w:t>11169/18</w:t>
          </w:r>
          <w:r w:rsidRPr="002511D8">
            <w:t xml:space="preserve"> </w:t>
          </w:r>
        </w:p>
      </w:tc>
      <w:tc>
        <w:tcPr>
          <w:tcW w:w="625" w:type="pct"/>
          <w:shd w:val="clear" w:color="auto" w:fill="auto"/>
          <w:tcMar>
            <w:top w:w="0" w:type="dxa"/>
          </w:tcMar>
        </w:tcPr>
        <w:p w:rsidR="008E23A9" w:rsidRPr="00AD7BF2" w:rsidRDefault="008E23A9" w:rsidP="00D94637">
          <w:pPr>
            <w:pStyle w:val="FooterText"/>
            <w:jc w:val="center"/>
          </w:pPr>
        </w:p>
      </w:tc>
      <w:tc>
        <w:tcPr>
          <w:tcW w:w="1286" w:type="pct"/>
          <w:gridSpan w:val="3"/>
          <w:shd w:val="clear" w:color="auto" w:fill="auto"/>
          <w:tcMar>
            <w:top w:w="0" w:type="dxa"/>
          </w:tcMar>
        </w:tcPr>
        <w:p w:rsidR="008E23A9" w:rsidRPr="002511D8" w:rsidRDefault="008E23A9" w:rsidP="00D94637">
          <w:pPr>
            <w:pStyle w:val="FooterText"/>
            <w:jc w:val="center"/>
          </w:pPr>
          <w:r>
            <w:t>nva</w:t>
          </w:r>
        </w:p>
      </w:tc>
      <w:tc>
        <w:tcPr>
          <w:tcW w:w="589" w:type="pct"/>
          <w:shd w:val="clear" w:color="auto" w:fill="auto"/>
          <w:tcMar>
            <w:top w:w="0" w:type="dxa"/>
          </w:tcMar>
        </w:tcPr>
        <w:p w:rsidR="008E23A9" w:rsidRPr="00B310DC" w:rsidRDefault="008E23A9" w:rsidP="00D94637">
          <w:pPr>
            <w:pStyle w:val="FooterText"/>
            <w:jc w:val="right"/>
          </w:pPr>
        </w:p>
      </w:tc>
    </w:tr>
    <w:tr w:rsidR="008E23A9" w:rsidRPr="00D94637" w:rsidTr="008E23A9">
      <w:trPr>
        <w:jc w:val="center"/>
      </w:trPr>
      <w:tc>
        <w:tcPr>
          <w:tcW w:w="1774" w:type="pct"/>
          <w:shd w:val="clear" w:color="auto" w:fill="auto"/>
        </w:tcPr>
        <w:p w:rsidR="008E23A9" w:rsidRPr="00AD7BF2" w:rsidRDefault="008E23A9" w:rsidP="00D94637">
          <w:pPr>
            <w:pStyle w:val="FooterText"/>
            <w:spacing w:before="40"/>
          </w:pPr>
        </w:p>
      </w:tc>
      <w:tc>
        <w:tcPr>
          <w:tcW w:w="1455" w:type="pct"/>
          <w:gridSpan w:val="3"/>
          <w:shd w:val="clear" w:color="auto" w:fill="auto"/>
        </w:tcPr>
        <w:p w:rsidR="008E23A9" w:rsidRPr="00AD7BF2" w:rsidRDefault="008E23A9" w:rsidP="00D204D6">
          <w:pPr>
            <w:pStyle w:val="FooterText"/>
            <w:spacing w:before="40"/>
            <w:jc w:val="center"/>
          </w:pPr>
          <w:r>
            <w:t>UKTF</w:t>
          </w:r>
        </w:p>
      </w:tc>
      <w:tc>
        <w:tcPr>
          <w:tcW w:w="742" w:type="pct"/>
          <w:shd w:val="clear" w:color="auto" w:fill="auto"/>
        </w:tcPr>
        <w:p w:rsidR="008E23A9" w:rsidRPr="00D94637" w:rsidRDefault="008E23A9" w:rsidP="002F0099">
          <w:pPr>
            <w:pStyle w:val="FooterText"/>
            <w:jc w:val="center"/>
            <w:rPr>
              <w:b/>
              <w:position w:val="-4"/>
              <w:sz w:val="36"/>
            </w:rPr>
          </w:pPr>
        </w:p>
      </w:tc>
      <w:tc>
        <w:tcPr>
          <w:tcW w:w="1029" w:type="pct"/>
          <w:gridSpan w:val="2"/>
          <w:shd w:val="clear" w:color="auto" w:fill="auto"/>
        </w:tcPr>
        <w:p w:rsidR="008E23A9" w:rsidRPr="00D94637" w:rsidRDefault="008E23A9" w:rsidP="00D94637">
          <w:pPr>
            <w:pStyle w:val="FooterText"/>
            <w:jc w:val="right"/>
            <w:rPr>
              <w:sz w:val="16"/>
            </w:rPr>
          </w:pPr>
          <w:r>
            <w:rPr>
              <w:b/>
              <w:position w:val="-4"/>
              <w:sz w:val="36"/>
            </w:rPr>
            <w:t>LT</w:t>
          </w:r>
        </w:p>
      </w:tc>
    </w:tr>
  </w:tbl>
  <w:p w:rsidR="008E23A9" w:rsidRPr="008E23A9" w:rsidRDefault="008E23A9" w:rsidP="008E23A9">
    <w:pPr>
      <w:pStyle w:val="FooterCouncil"/>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3A9" w:rsidRDefault="008E23A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3A9" w:rsidRDefault="008E23A9">
    <w:pPr>
      <w:pStyle w:val="FooterCoverPage"/>
      <w:rPr>
        <w:rFonts w:ascii="Arial" w:hAnsi="Arial" w:cs="Arial"/>
        <w:b/>
        <w:sz w:val="48"/>
      </w:rPr>
    </w:pPr>
    <w:r>
      <w:rPr>
        <w:rFonts w:ascii="Arial" w:hAnsi="Arial" w:cs="Arial"/>
        <w:b/>
        <w:sz w:val="48"/>
      </w:rPr>
      <w:t>LT</w:t>
    </w:r>
    <w:r>
      <w:rPr>
        <w:rFonts w:ascii="Arial" w:hAnsi="Arial" w:cs="Arial"/>
        <w:b/>
        <w:sz w:val="48"/>
      </w:rPr>
      <w:tab/>
    </w:r>
    <w:r>
      <w:rPr>
        <w:rFonts w:ascii="Arial" w:hAnsi="Arial" w:cs="Arial"/>
        <w:b/>
        <w:sz w:val="48"/>
      </w:rPr>
      <w:tab/>
    </w:r>
    <w:r>
      <w:tab/>
    </w:r>
    <w:r>
      <w:rPr>
        <w:rFonts w:ascii="Arial" w:hAnsi="Arial" w:cs="Arial"/>
        <w:b/>
        <w:sz w:val="48"/>
      </w:rPr>
      <w:t>LT</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3A9" w:rsidRDefault="008E23A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3A37" w:rsidRDefault="00E53A3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9883931"/>
      <w:docPartObj>
        <w:docPartGallery w:val="Page Numbers (Bottom of Page)"/>
        <w:docPartUnique/>
      </w:docPartObj>
    </w:sdtPr>
    <w:sdtEndPr>
      <w:rPr>
        <w:rFonts w:ascii="Times New Roman" w:hAnsi="Times New Roman" w:cs="Times New Roman"/>
        <w:noProof/>
      </w:rPr>
    </w:sdtEndPr>
    <w:sdtContent>
      <w:p w:rsidR="00E53A37" w:rsidRDefault="006E3763">
        <w:pPr>
          <w:pStyle w:val="Footer"/>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1218DA">
          <w:rPr>
            <w:rFonts w:ascii="Times New Roman" w:hAnsi="Times New Roman" w:cs="Times New Roman"/>
            <w:noProof/>
          </w:rPr>
          <w:t>16</w:t>
        </w:r>
        <w:r>
          <w:rPr>
            <w:rFonts w:ascii="Times New Roman" w:hAnsi="Times New Roman" w:cs="Times New Roman"/>
            <w:noProof/>
          </w:rPr>
          <w:fldChar w:fldCharType="end"/>
        </w:r>
      </w:p>
    </w:sdtContent>
  </w:sdt>
  <w:p w:rsidR="00E53A37" w:rsidRDefault="00E53A3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3A37" w:rsidRDefault="00E53A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4582" w:rsidRDefault="00DE4582">
      <w:pPr>
        <w:spacing w:after="0" w:line="240" w:lineRule="auto"/>
      </w:pPr>
      <w:r>
        <w:separator/>
      </w:r>
    </w:p>
  </w:footnote>
  <w:footnote w:type="continuationSeparator" w:id="0">
    <w:p w:rsidR="00DE4582" w:rsidRDefault="00DE4582">
      <w:pPr>
        <w:spacing w:after="0" w:line="240" w:lineRule="auto"/>
      </w:pPr>
      <w:r>
        <w:continuationSeparator/>
      </w:r>
    </w:p>
  </w:footnote>
  <w:footnote w:type="continuationNotice" w:id="1">
    <w:p w:rsidR="00DE4582" w:rsidRDefault="00DE4582">
      <w:pPr>
        <w:spacing w:after="0" w:line="240" w:lineRule="auto"/>
      </w:pPr>
    </w:p>
  </w:footnote>
  <w:footnote w:id="2">
    <w:p w:rsidR="00E53A37" w:rsidRDefault="006E3763">
      <w:pPr>
        <w:pStyle w:val="FootnoteText"/>
      </w:pPr>
      <w:r>
        <w:rPr>
          <w:rStyle w:val="FootnoteReference"/>
          <w:rFonts w:ascii="Times New Roman" w:hAnsi="Times New Roman"/>
        </w:rPr>
        <w:footnoteRef/>
      </w:r>
      <w:r>
        <w:tab/>
      </w:r>
      <w:hyperlink r:id="rId1">
        <w:r>
          <w:rPr>
            <w:rStyle w:val="Hyperlink"/>
            <w:rFonts w:ascii="Times New Roman" w:hAnsi="Times New Roman"/>
          </w:rPr>
          <w:t>http://www.consilium.europa.eu/media/21763/29-euco-art50-guidelinesen.pdf</w:t>
        </w:r>
      </w:hyperlink>
      <w:r>
        <w:rPr>
          <w:rStyle w:val="Hyperlink"/>
          <w:rFonts w:ascii="Times New Roman" w:hAnsi="Times New Roman"/>
        </w:rPr>
        <w:t>.</w:t>
      </w:r>
    </w:p>
  </w:footnote>
  <w:footnote w:id="3">
    <w:p w:rsidR="00E53A37" w:rsidRDefault="006E3763">
      <w:pPr>
        <w:pStyle w:val="FootnoteText"/>
        <w:rPr>
          <w:rFonts w:ascii="Times New Roman" w:hAnsi="Times New Roman" w:cs="Times New Roman"/>
        </w:rPr>
      </w:pPr>
      <w:r>
        <w:rPr>
          <w:rStyle w:val="FootnoteReference"/>
          <w:rFonts w:ascii="Times New Roman" w:hAnsi="Times New Roman"/>
        </w:rPr>
        <w:footnoteRef/>
      </w:r>
      <w:r>
        <w:tab/>
      </w:r>
      <w:hyperlink r:id="rId2">
        <w:r>
          <w:rPr>
            <w:rStyle w:val="Hyperlink"/>
            <w:rFonts w:ascii="Times New Roman" w:hAnsi="Times New Roman"/>
          </w:rPr>
          <w:t>http://www.consilium.europa.eu/media/33458/23-euco-art50-guidelines.pdf</w:t>
        </w:r>
      </w:hyperlink>
      <w:r>
        <w:rPr>
          <w:rFonts w:ascii="Times New Roman" w:hAnsi="Times New Roman"/>
        </w:rPr>
        <w:t xml:space="preserve">. </w:t>
      </w:r>
    </w:p>
  </w:footnote>
  <w:footnote w:id="4">
    <w:p w:rsidR="00E53A37" w:rsidRDefault="006E3763">
      <w:pPr>
        <w:pStyle w:val="FootnoteText"/>
        <w:rPr>
          <w:rFonts w:ascii="Times New Roman" w:hAnsi="Times New Roman" w:cs="Times New Roman"/>
        </w:rPr>
      </w:pPr>
      <w:r>
        <w:rPr>
          <w:rStyle w:val="FootnoteReference"/>
          <w:rFonts w:ascii="Times New Roman" w:hAnsi="Times New Roman"/>
        </w:rPr>
        <w:footnoteRef/>
      </w:r>
      <w:r>
        <w:tab/>
      </w:r>
      <w:hyperlink r:id="rId3">
        <w:r>
          <w:rPr>
            <w:rStyle w:val="Hyperlink"/>
            <w:rFonts w:ascii="Times New Roman" w:hAnsi="Times New Roman"/>
          </w:rPr>
          <w:t>https://www.consilium.europa.eu/media/35966/29-euco-art50-conclusions-en.pdf</w:t>
        </w:r>
      </w:hyperlink>
      <w:r>
        <w:rPr>
          <w:rFonts w:ascii="Times New Roman" w:hAnsi="Times New Roman"/>
        </w:rPr>
        <w:t xml:space="preserve">. </w:t>
      </w:r>
    </w:p>
  </w:footnote>
  <w:footnote w:id="5">
    <w:p w:rsidR="00E53A37" w:rsidRDefault="006E3763">
      <w:pPr>
        <w:pStyle w:val="FootnoteText"/>
        <w:ind w:left="720" w:hanging="720"/>
        <w:jc w:val="both"/>
      </w:pPr>
      <w:r>
        <w:rPr>
          <w:rStyle w:val="FootnoteReference"/>
        </w:rPr>
        <w:footnoteRef/>
      </w:r>
      <w:r>
        <w:t xml:space="preserve"> </w:t>
      </w:r>
      <w:r>
        <w:tab/>
      </w:r>
      <w:r>
        <w:rPr>
          <w:rFonts w:ascii="Times New Roman" w:hAnsi="Times New Roman"/>
        </w:rPr>
        <w:t>2017 m. kovo 29 d. Jungtinė Karalystė pranešė apie savo ketinimą išstoti iš Sąjungos pagal Europos Sąjungos sutarties 50 straipsnį. Tai reiškia, kad, jeigu ratifikuotame susitarime dėl išstojimo nebus nustatyta kita data arba jeigu pagal Europos Sąjungos sutarties 50 straipsnio 3 dalį Europos Vadovų Taryba, susitarusi su Jungtine Karalyste, vienbalsiai nenuspręs, kad Sutartys nustos galioti vėlesnę dieną, visa Sąjungos pirminė ir antrinė teisė nebebus taikoma Jungtinei Karalystei nuo 2019 m. kovo 30 d. 00.00 val. (Vidurio Europos laiku). Šiuo metu Komisija neturi jokių priežasčių manyti, kad Jungtinė Karalystė gali prašyti pratęsti jos narystę Europos Sąjungoje.</w:t>
      </w:r>
    </w:p>
  </w:footnote>
  <w:footnote w:id="6">
    <w:p w:rsidR="00E53A37" w:rsidRDefault="006E3763">
      <w:pPr>
        <w:pStyle w:val="FootnoteText"/>
        <w:ind w:left="720" w:hanging="720"/>
        <w:rPr>
          <w:rFonts w:ascii="Times New Roman" w:hAnsi="Times New Roman" w:cs="Times New Roman"/>
        </w:rPr>
      </w:pPr>
      <w:r>
        <w:rPr>
          <w:rStyle w:val="FootnoteReference"/>
          <w:rFonts w:ascii="Times New Roman" w:hAnsi="Times New Roman"/>
        </w:rPr>
        <w:footnoteRef/>
      </w:r>
      <w:r>
        <w:tab/>
      </w:r>
      <w:hyperlink r:id="rId4">
        <w:r>
          <w:rPr>
            <w:rStyle w:val="Hyperlink"/>
            <w:rFonts w:ascii="Times New Roman" w:hAnsi="Times New Roman"/>
          </w:rPr>
          <w:t>http://www.consilium.europa.eu/lt/press/press-releases/2018/06/29/20180629-euco-conclusions-art-50/</w:t>
        </w:r>
      </w:hyperlink>
      <w:r>
        <w:rPr>
          <w:rStyle w:val="Hyperlink"/>
          <w:rFonts w:ascii="Times New Roman" w:hAnsi="Times New Roman"/>
        </w:rPr>
        <w:t>.</w:t>
      </w:r>
    </w:p>
  </w:footnote>
  <w:footnote w:id="7">
    <w:p w:rsidR="00E53A37" w:rsidRDefault="006E3763">
      <w:pPr>
        <w:pStyle w:val="FootnoteText"/>
        <w:ind w:left="720" w:hanging="720"/>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hyperlink r:id="rId5">
        <w:r>
          <w:rPr>
            <w:rStyle w:val="Hyperlink"/>
            <w:rFonts w:ascii="Times New Roman" w:hAnsi="Times New Roman"/>
          </w:rPr>
          <w:t>https://ec.europa.eu/commission/publications/draft-agreement-withdrawal-united-kingdom-great-britain-and-northern-ireland-european-union-and-european-atomic-energy-community-0_lt</w:t>
        </w:r>
      </w:hyperlink>
      <w:r>
        <w:rPr>
          <w:rFonts w:ascii="Times New Roman" w:hAnsi="Times New Roman"/>
        </w:rPr>
        <w:t xml:space="preserve"> .</w:t>
      </w:r>
      <w:r>
        <w:fldChar w:fldCharType="begin"/>
      </w:r>
      <w:r>
        <w:rPr>
          <w:rFonts w:ascii="Times New Roman" w:hAnsi="Times New Roman" w:cs="Times New Roman"/>
        </w:rPr>
        <w:instrText xml:space="preserve">"https://ec.europa.eu/commission/sites/beta-political/files/draft_agreement_coloured.pdf" </w:instrText>
      </w:r>
      <w:r>
        <w:fldChar w:fldCharType="separate"/>
      </w:r>
      <w:r>
        <w:rPr>
          <w:rStyle w:val="Hyperlink"/>
          <w:rFonts w:ascii="Times New Roman" w:hAnsi="Times New Roman" w:cs="Times New Roman"/>
        </w:rPr>
        <w:t>https://ec.europa.eu/commission/sites/beta-political/files/draft_agreement_coloured.pdf</w:t>
      </w:r>
      <w:r>
        <w:rPr>
          <w:rStyle w:val="Hyperlink"/>
          <w:rFonts w:ascii="Times New Roman" w:hAnsi="Times New Roman" w:cs="Times New Roman"/>
        </w:rPr>
        <w:fldChar w:fldCharType="end"/>
      </w:r>
    </w:p>
  </w:footnote>
  <w:footnote w:id="8">
    <w:p w:rsidR="00E53A37" w:rsidRDefault="006E3763">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hyperlink r:id="rId6">
        <w:r>
          <w:rPr>
            <w:rStyle w:val="Hyperlink"/>
            <w:rFonts w:ascii="Times New Roman" w:hAnsi="Times New Roman"/>
          </w:rPr>
          <w:t>https://ec.europa.eu/commission/sites/beta-political/files/joint_statement.pdf</w:t>
        </w:r>
      </w:hyperlink>
    </w:p>
  </w:footnote>
  <w:footnote w:id="9">
    <w:p w:rsidR="00E53A37" w:rsidRDefault="006E3763">
      <w:pPr>
        <w:pStyle w:val="FootnoteText"/>
        <w:ind w:left="720" w:hanging="720"/>
        <w:jc w:val="both"/>
      </w:pPr>
      <w:r>
        <w:rPr>
          <w:rStyle w:val="FootnoteReference"/>
        </w:rPr>
        <w:footnoteRef/>
      </w:r>
      <w:r>
        <w:t xml:space="preserve"> </w:t>
      </w:r>
      <w:r>
        <w:tab/>
      </w:r>
      <w:r>
        <w:rPr>
          <w:rFonts w:ascii="Times New Roman" w:hAnsi="Times New Roman"/>
        </w:rPr>
        <w:t>Per pereinamąjį laikotarpį Jungtinė Karalystė būtų saistoma tarptautiniais susitarimais, kurių viena iš šalių yra ES, nustatytų įsipareigojimų. ES praneš kitoms šių susitarimų šalims, kad per pereinamąjį laikotarpį Jungtinė Karalystė taikant šiuos susitarimus turėtų būti laikoma valstybe nare.</w:t>
      </w:r>
    </w:p>
  </w:footnote>
  <w:footnote w:id="10">
    <w:p w:rsidR="00E53A37" w:rsidRDefault="006E3763">
      <w:pPr>
        <w:pStyle w:val="FootnoteText"/>
        <w:ind w:left="720" w:hanging="720"/>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Todėl speciali tvarka, kuria reglamentuojama užjūrio šalių ir teritorijų (UŠT), kurioms taikoma Sutarties dėl Europos Sąjungos veikimo ketvirtoji dalis, asociacija taip pat nebebus taikoma Britanijos UŠT.</w:t>
      </w:r>
    </w:p>
  </w:footnote>
  <w:footnote w:id="11">
    <w:p w:rsidR="00E53A37" w:rsidRDefault="006E3763">
      <w:pPr>
        <w:pStyle w:val="FootnoteText"/>
        <w:ind w:left="720" w:hanging="720"/>
        <w:jc w:val="both"/>
      </w:pPr>
      <w:r>
        <w:rPr>
          <w:rStyle w:val="FootnoteReference"/>
        </w:rPr>
        <w:footnoteRef/>
      </w:r>
      <w:r>
        <w:t xml:space="preserve"> </w:t>
      </w:r>
      <w:r>
        <w:tab/>
      </w:r>
      <w:r>
        <w:rPr>
          <w:rFonts w:ascii="Times New Roman" w:hAnsi="Times New Roman"/>
        </w:rPr>
        <w:t>Sanitarijos ir fitosanitarijos klausimai buvo aptarti su ES pramonės asociacijomis 2018 m. birželio 1 d. surengtame Maisto grandinės ir gyvūnų bei augalų sveikatos patariamojo forumo posėdyje.</w:t>
      </w:r>
    </w:p>
  </w:footnote>
  <w:footnote w:id="12">
    <w:p w:rsidR="00E53A37" w:rsidRDefault="006E3763">
      <w:pPr>
        <w:pStyle w:val="FootnoteText"/>
        <w:ind w:left="720" w:hanging="720"/>
        <w:jc w:val="both"/>
      </w:pPr>
      <w:r>
        <w:rPr>
          <w:rStyle w:val="FootnoteReference"/>
        </w:rPr>
        <w:footnoteRef/>
      </w:r>
      <w:r>
        <w:t xml:space="preserve"> </w:t>
      </w:r>
      <w:r>
        <w:tab/>
      </w:r>
      <w:hyperlink r:id="rId7">
        <w:r>
          <w:rPr>
            <w:rStyle w:val="Hyperlink"/>
            <w:rFonts w:ascii="Times New Roman" w:hAnsi="Times New Roman"/>
          </w:rPr>
          <w:t>http://madb.europa.eu/madb/servicesForSME.htm</w:t>
        </w:r>
      </w:hyperlink>
      <w:r>
        <w:rPr>
          <w:rStyle w:val="Hyperlink"/>
          <w:u w:val="none"/>
        </w:rPr>
        <w:t xml:space="preserve"> </w:t>
      </w:r>
      <w:r>
        <w:rPr>
          <w:rFonts w:ascii="Times New Roman" w:hAnsi="Times New Roman"/>
        </w:rPr>
        <w:t>– šis Jungtinei Karalystei skirtas puslapis laikui bėgant bus atnaujinamas atsižvelgiant į derybų rezultatus.</w:t>
      </w:r>
    </w:p>
  </w:footnote>
  <w:footnote w:id="13">
    <w:p w:rsidR="00E53A37" w:rsidRDefault="006E3763">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hyperlink r:id="rId8">
        <w:r>
          <w:rPr>
            <w:rStyle w:val="Hyperlink"/>
            <w:rFonts w:ascii="Times New Roman" w:hAnsi="Times New Roman"/>
          </w:rPr>
          <w:t>https://ec.europa.eu/info/files/brexit-legislative-preparedness-proposals_lt</w:t>
        </w:r>
      </w:hyperlink>
    </w:p>
  </w:footnote>
  <w:footnote w:id="14">
    <w:p w:rsidR="00E53A37" w:rsidRDefault="006E3763">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COM(2018) 321 </w:t>
      </w:r>
      <w:r>
        <w:rPr>
          <w:rFonts w:ascii="Times New Roman" w:hAnsi="Times New Roman"/>
          <w:i/>
        </w:rPr>
        <w:t>final</w:t>
      </w:r>
      <w:r>
        <w:rPr>
          <w:rFonts w:ascii="Times New Roman" w:hAnsi="Times New Roman"/>
        </w:rPr>
        <w:t>.</w:t>
      </w:r>
    </w:p>
  </w:footnote>
  <w:footnote w:id="15">
    <w:p w:rsidR="00E53A37" w:rsidRDefault="006E3763">
      <w:pPr>
        <w:pStyle w:val="FootnoteText"/>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COM(2018) 397 </w:t>
      </w:r>
      <w:r>
        <w:rPr>
          <w:rFonts w:ascii="Times New Roman" w:hAnsi="Times New Roman"/>
          <w:i/>
        </w:rPr>
        <w:t>final</w:t>
      </w:r>
      <w:r>
        <w:rPr>
          <w:rFonts w:ascii="Times New Roman" w:hAnsi="Times New Roman"/>
        </w:rPr>
        <w:t>.</w:t>
      </w:r>
    </w:p>
  </w:footnote>
  <w:footnote w:id="16">
    <w:p w:rsidR="00E53A37" w:rsidRDefault="006E3763">
      <w:pPr>
        <w:pStyle w:val="FootnoteText"/>
        <w:rPr>
          <w:rFonts w:ascii="Times New Roman" w:hAnsi="Times New Roman" w:cs="Times New Roman"/>
        </w:rPr>
      </w:pPr>
      <w:r>
        <w:rPr>
          <w:rStyle w:val="FootnoteReference"/>
        </w:rPr>
        <w:footnoteRef/>
      </w:r>
      <w:r>
        <w:t xml:space="preserve"> </w:t>
      </w:r>
      <w:r>
        <w:tab/>
      </w:r>
      <w:r>
        <w:rPr>
          <w:rFonts w:ascii="Times New Roman" w:hAnsi="Times New Roman"/>
        </w:rPr>
        <w:t>Šį sprendimą priims Taryba, atsižvelgdama į derybų rezultatus.</w:t>
      </w:r>
    </w:p>
  </w:footnote>
  <w:footnote w:id="17">
    <w:p w:rsidR="00E53A37" w:rsidRDefault="006E3763">
      <w:pPr>
        <w:pStyle w:val="FootnoteText"/>
        <w:rPr>
          <w:rFonts w:ascii="Times New Roman" w:hAnsi="Times New Roman" w:cs="Times New Roman"/>
        </w:rPr>
      </w:pPr>
      <w:r>
        <w:rPr>
          <w:rStyle w:val="FootnoteReference"/>
          <w:rFonts w:ascii="Times New Roman" w:hAnsi="Times New Roman"/>
        </w:rPr>
        <w:footnoteRef/>
      </w:r>
      <w:r>
        <w:t xml:space="preserve"> </w:t>
      </w:r>
      <w:r>
        <w:tab/>
      </w:r>
      <w:hyperlink r:id="rId9">
        <w:r>
          <w:rPr>
            <w:rStyle w:val="Hyperlink"/>
            <w:rFonts w:ascii="Times New Roman" w:hAnsi="Times New Roman"/>
            <w:sz w:val="18"/>
          </w:rPr>
          <w:t>https://ec.europa.eu/info/brexit/brexit-preparedness_lt</w:t>
        </w:r>
      </w:hyperlink>
      <w:r>
        <w:rPr>
          <w:rFonts w:ascii="Times New Roman" w:hAnsi="Times New Roman"/>
        </w:rPr>
        <w:t xml:space="preserve"> </w:t>
      </w:r>
    </w:p>
  </w:footnote>
  <w:footnote w:id="18">
    <w:p w:rsidR="00E53A37" w:rsidRDefault="006E3763">
      <w:pPr>
        <w:pStyle w:val="FootnoteText"/>
        <w:rPr>
          <w:rFonts w:ascii="Times New Roman" w:hAnsi="Times New Roman" w:cs="Times New Roman"/>
          <w:lang w:val="pt-PT"/>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COM(2017) 331 </w:t>
      </w:r>
      <w:r>
        <w:rPr>
          <w:rFonts w:ascii="Times New Roman" w:hAnsi="Times New Roman"/>
          <w:i/>
        </w:rPr>
        <w:t>final</w:t>
      </w:r>
      <w:r>
        <w:rPr>
          <w:rFonts w:ascii="Times New Roman" w:hAnsi="Times New Roman"/>
        </w:rPr>
        <w:t xml:space="preserve"> ir COM(2017) 536 </w:t>
      </w:r>
      <w:r>
        <w:rPr>
          <w:rFonts w:ascii="Times New Roman" w:hAnsi="Times New Roman"/>
          <w:i/>
        </w:rPr>
        <w:t>final</w:t>
      </w:r>
      <w:r>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763" w:rsidRDefault="006E37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3A9" w:rsidRPr="008E23A9" w:rsidRDefault="008E23A9" w:rsidP="008E23A9">
    <w:pPr>
      <w:pStyle w:val="HeaderCouncilLarge"/>
    </w:pPr>
    <w:r>
      <w:t>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3A9" w:rsidRPr="008E23A9" w:rsidRDefault="008E23A9" w:rsidP="008E23A9">
    <w:pPr>
      <w:pStyle w:val="HeaderCouncil"/>
    </w:pPr>
    <w:r>
      <w:t>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3A9" w:rsidRDefault="008E23A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3A9" w:rsidRDefault="008E23A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3A9" w:rsidRDefault="008E23A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3A37" w:rsidRDefault="00E53A3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3A37" w:rsidRDefault="00E53A3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3A37" w:rsidRDefault="00E53A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B2F3B"/>
    <w:multiLevelType w:val="hybridMultilevel"/>
    <w:tmpl w:val="B6846246"/>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792A28"/>
    <w:multiLevelType w:val="hybridMultilevel"/>
    <w:tmpl w:val="EED4F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076132"/>
    <w:multiLevelType w:val="hybridMultilevel"/>
    <w:tmpl w:val="EC40F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233C01"/>
    <w:multiLevelType w:val="hybridMultilevel"/>
    <w:tmpl w:val="DCC2861C"/>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D6B7BCE"/>
    <w:multiLevelType w:val="hybridMultilevel"/>
    <w:tmpl w:val="9C04C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623DF6"/>
    <w:multiLevelType w:val="hybridMultilevel"/>
    <w:tmpl w:val="E3CA6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4B14AF"/>
    <w:multiLevelType w:val="hybridMultilevel"/>
    <w:tmpl w:val="7512B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514A34"/>
    <w:multiLevelType w:val="hybridMultilevel"/>
    <w:tmpl w:val="7A1E4AE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7624C4"/>
    <w:multiLevelType w:val="hybridMultilevel"/>
    <w:tmpl w:val="2EC6A98C"/>
    <w:lvl w:ilvl="0" w:tplc="73AE76AC">
      <w:start w:val="19"/>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03239F0"/>
    <w:multiLevelType w:val="hybridMultilevel"/>
    <w:tmpl w:val="C950BA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4B96C57"/>
    <w:multiLevelType w:val="hybridMultilevel"/>
    <w:tmpl w:val="141617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CE614D8"/>
    <w:multiLevelType w:val="hybridMultilevel"/>
    <w:tmpl w:val="5D9A7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9509C6"/>
    <w:multiLevelType w:val="hybridMultilevel"/>
    <w:tmpl w:val="45BEEF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BFD6BF0"/>
    <w:multiLevelType w:val="hybridMultilevel"/>
    <w:tmpl w:val="0E9255F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E4E5EF5"/>
    <w:multiLevelType w:val="hybridMultilevel"/>
    <w:tmpl w:val="BE602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87392E"/>
    <w:multiLevelType w:val="hybridMultilevel"/>
    <w:tmpl w:val="F022DF3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0702721"/>
    <w:multiLevelType w:val="hybridMultilevel"/>
    <w:tmpl w:val="4C9EDCF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3BF1F22"/>
    <w:multiLevelType w:val="hybridMultilevel"/>
    <w:tmpl w:val="3B1AC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0F40E0"/>
    <w:multiLevelType w:val="hybridMultilevel"/>
    <w:tmpl w:val="480411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E077E79"/>
    <w:multiLevelType w:val="hybridMultilevel"/>
    <w:tmpl w:val="20D4A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262ADA"/>
    <w:multiLevelType w:val="hybridMultilevel"/>
    <w:tmpl w:val="EED28CA6"/>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498646F"/>
    <w:multiLevelType w:val="hybridMultilevel"/>
    <w:tmpl w:val="D81430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B655042"/>
    <w:multiLevelType w:val="hybridMultilevel"/>
    <w:tmpl w:val="6C4C00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2AB56EB"/>
    <w:multiLevelType w:val="hybridMultilevel"/>
    <w:tmpl w:val="64F47AD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2B55B4F"/>
    <w:multiLevelType w:val="hybridMultilevel"/>
    <w:tmpl w:val="5D285D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BB303E"/>
    <w:multiLevelType w:val="hybridMultilevel"/>
    <w:tmpl w:val="EF0AE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12"/>
  </w:num>
  <w:num w:numId="4">
    <w:abstractNumId w:val="18"/>
  </w:num>
  <w:num w:numId="5">
    <w:abstractNumId w:val="23"/>
  </w:num>
  <w:num w:numId="6">
    <w:abstractNumId w:val="22"/>
  </w:num>
  <w:num w:numId="7">
    <w:abstractNumId w:val="10"/>
  </w:num>
  <w:num w:numId="8">
    <w:abstractNumId w:val="24"/>
  </w:num>
  <w:num w:numId="9">
    <w:abstractNumId w:val="0"/>
  </w:num>
  <w:num w:numId="10">
    <w:abstractNumId w:val="19"/>
  </w:num>
  <w:num w:numId="11">
    <w:abstractNumId w:val="7"/>
  </w:num>
  <w:num w:numId="12">
    <w:abstractNumId w:val="14"/>
  </w:num>
  <w:num w:numId="13">
    <w:abstractNumId w:val="5"/>
  </w:num>
  <w:num w:numId="14">
    <w:abstractNumId w:val="15"/>
  </w:num>
  <w:num w:numId="15">
    <w:abstractNumId w:val="3"/>
  </w:num>
  <w:num w:numId="16">
    <w:abstractNumId w:val="11"/>
  </w:num>
  <w:num w:numId="17">
    <w:abstractNumId w:val="21"/>
  </w:num>
  <w:num w:numId="18">
    <w:abstractNumId w:val="9"/>
  </w:num>
  <w:num w:numId="19">
    <w:abstractNumId w:val="6"/>
  </w:num>
  <w:num w:numId="20">
    <w:abstractNumId w:val="25"/>
  </w:num>
  <w:num w:numId="21">
    <w:abstractNumId w:val="8"/>
  </w:num>
  <w:num w:numId="22">
    <w:abstractNumId w:val="4"/>
  </w:num>
  <w:num w:numId="23">
    <w:abstractNumId w:val="16"/>
  </w:num>
  <w:num w:numId="24">
    <w:abstractNumId w:val="20"/>
  </w:num>
  <w:num w:numId="25">
    <w:abstractNumId w:val="13"/>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uncil" w:val="true"/>
    <w:docVar w:name="DocStatus" w:val="Green"/>
    <w:docVar w:name="DocuWriteMetaData" w:val="&lt;metadataset docuwriteversion=&quot;4.1.24&quot; technicalblockguid=&quot;4950591758356717910&quot;&gt;_x000d__x000a_  &lt;metadata key=&quot;md_DocumentLanguages&quot;&gt;_x000d__x000a_    &lt;basicdatatypelist&gt;_x000d__x000a_      &lt;language key=&quot;LT&quot; text=&quot;LT&quot; /&gt;_x000d__x000a_    &lt;/basicdatatypelist&gt;_x000d__x000a_  &lt;/metadata&gt;_x000d__x000a_  &lt;metadata key=&quot;md_OriginalLanguages&quot;&gt;_x000d__x000a_    &lt;basicdatatypelist&gt;_x000d__x000a_      &lt;language key=&quot;EN&quot; text=&quot;EN&quot; /&gt;_x000d__x000a_    &lt;/basicdatatypelist&gt;_x000d__x000a_  &lt;/metadata&gt;_x000d__x000a_  &lt;metadata key=&quot;md_UniqueHeading&quot;&gt;_x000d__x000a_    &lt;basicdatatype&gt;_x000d__x000a_      &lt;heading key=&quot;uh_64&quot; text=&quot;PRIDEDAMAS PRANE&amp;#352;IMAS&quot; /&gt;_x000d__x000a_    &lt;/basicdatatype&gt;_x000d__x000a_  &lt;/metadata&gt;_x000d__x000a_  &lt;metadata key=&quot;md_HeadingText&quot;&gt;_x000d__x000a_    &lt;headingtext text=&quot;PRIDEDAMAS PRANE&amp;#352;IMAS&quot;&gt;_x000d__x000a_      &lt;formattedtext&gt;_x000d__x000a_        &lt;xaml text=&quot;PRIDEDAMAS PRANE&amp;#352;IMAS&quot;&gt;&amp;lt;FlowDocument xmlns=&quot;http://schemas.microsoft.com/winfx/2006/xaml/presentation&quot;&amp;gt;&amp;lt;Paragraph&amp;gt;PRIDEDAMAS PRANE&amp;#352;IMAS&amp;lt;/Paragraph&amp;gt;&amp;lt;/FlowDocument&amp;gt;&lt;/xaml&gt;_x000d__x000a_      &lt;/formattedtext&gt;_x000d__x000a_    &lt;/headingtext&gt;_x000d__x000a_  &lt;/metadata&gt;_x000d__x000a_  &lt;metadata key=&quot;md_DocumentGroup&quot;&gt;_x000d__x000a_    &lt;basicdatatype&gt;_x000d__x000a_      &lt;document_group key=&quot;dg_12&quot; text=&quot;Cover Page&quot; /&gt;_x000d__x000a_    &lt;/basicdatatype&gt;_x000d__x000a_  &lt;/metadata&gt;_x000d__x000a_  &lt;metadata key=&quot;md_DocumentType&quot;&gt;_x000d__x000a_    &lt;basicdatatype&gt;_x000d__x000a_      &lt;doc_type key=&quot;dt_ST&quot; text=&quot;ST&quot; /&gt;_x000d__x000a_    &lt;/basicdatatype&gt;_x000d__x000a_  &lt;/metadata&gt;_x000d__x000a_  &lt;metadata key=&quot;md_InstitutionalFramework&quot;&gt;_x000d__x000a_    &lt;basicdatatype&gt;_x000d__x000a_      &lt;framework key=&quot;if_01&quot; text=&quot;Europos S&amp;#261;jungos Taryba&quot; institution=&quot;instfr_institution&quot; acronym=&quot;instfr_acronym&quot; /&gt;_x000d__x000a_    &lt;/basicdatatype&gt;_x000d__x000a_  &lt;/metadata&gt;_x000d__x000a_  &lt;metadata key=&quot;md_DraftNote&quot; /&gt;_x000d__x000a_  &lt;metadata key=&quot;md_DocumentLocation&quot;&gt;_x000d__x000a_    &lt;basicdatatype&gt;_x000d__x000a_      &lt;location key=&quot;loc_01&quot; text=&quot;Briuselis&quot; /&gt;_x000d__x000a_    &lt;/basicdatatype&gt;_x000d__x000a_  &lt;/metadata&gt;_x000d__x000a_  &lt;metadata key=&quot;md_DocumentDate&quot;&gt;_x000d__x000a_    &lt;text&gt;2018-07-19&lt;/text&gt;_x000d__x000a_  &lt;/metadata&gt;_x000d__x000a_  &lt;metadata key=&quot;md_Prefix&quot;&gt;_x000d__x000a_    &lt;text&gt;&lt;/text&gt;_x000d__x000a_  &lt;/metadata&gt;_x000d__x000a_  &lt;metadata key=&quot;md_DocumentNumber&quot;&gt;_x000d__x000a_    &lt;text&gt;11169&lt;/text&gt;_x000d__x000a_  &lt;/metadata&gt;_x000d__x000a_  &lt;metadata key=&quot;md_YearDocumentNumber&quot;&gt;_x000d__x000a_    &lt;text&gt;2018&lt;/text&gt;_x000d__x000a_  &lt;/metadata&gt;_x000d__x000a_  &lt;metadata key=&quot;md_Suffixes&quot;&gt;_x000d__x000a_    &lt;text&gt;&lt;/text&gt;_x000d__x000a_  &lt;/metadata&gt;_x000d__x000a_  &lt;metadata key=&quot;md_SuffixLanguagesInvolved&quot;&gt;_x000d__x000a_    &lt;text&gt;&lt;/text&gt;_x000d__x000a_  &lt;/metadata&gt;_x000d__x000a_  &lt;metadata key=&quot;md_FirstRevNumber&quot;&gt;_x000d__x000a_    &lt;text&gt;&lt;/text&gt;_x000d__x000a_  &lt;/metadata&gt;_x000d__x000a_  &lt;metadata key=&quot;md_Distribution&quot;&gt;_x000d__x000a_    &lt;basicdatatype&gt;_x000d__x000a_      &lt;distribution key=&quot;dis_01&quot; text=&quot;PUBLIC&quot; /&gt;_x000d__x000a_    &lt;/basicdatatype&gt;_x000d__x000a_  &lt;/metadata&gt;_x000d__x000a_  &lt;metadata key=&quot;md_SubjectCodes&quot;&gt;_x000d__x000a_    &lt;textlist&gt;_x000d__x000a_      &lt;text&gt;PREP-BXT 9&lt;/text&gt;_x000d__x000a_    &lt;/textlist&gt;_x000d__x000a_  &lt;/metadata&gt;_x000d__x000a_  &lt;metadata key=&quot;md_Contact&quot; /&gt;_x000d__x000a_  &lt;metadata key=&quot;md_ContactPhoneFax&quot; /&gt;_x000d__x000a_  &lt;metadata key=&quot;md_MeetingVenue&quot; /&gt;_x000d__x000a_  &lt;metadata key=&quot;md_ProvisionalVersion&quot;&gt;_x000d__x000a_    &lt;text&gt;&lt;/text&gt;_x000d__x000a_  &lt;/metadata&gt;_x000d__x000a_  &lt;metadata key=&quot;md_PresidentInformation&quot; /&gt;_x000d__x000a_  &lt;metadata key=&quot;md_MeetingNumber&quot; /&gt;_x000d__x000a_  &lt;metadata key=&quot;md_CouncilConfiguration&quot; /&gt;_x000d__x000a_  &lt;metadata key=&quot;md_CouncilIssue&quot; /&gt;_x000d__x000a_  &lt;metadata key=&quot;md_PhoneNumber&quot; /&gt;_x000d__x000a_  &lt;metadata key=&quot;md_TypeOfHeading&quot;&gt;_x000d__x000a_    &lt;basicdatatype&gt;_x000d__x000a_      &lt;typeofheading key=&quot;typeofhead_06&quot; text=&quot;Other&quot; /&gt;_x000d__x000a_    &lt;/basicdatatype&gt;_x000d__x000a_  &lt;/metadata&gt;_x000d__x000a_  &lt;metadata key=&quot;md_ReplyName&quot; /&gt;_x000d__x000a_  &lt;metadata key=&quot;md_EPQuestionsData&quot; /&gt;_x000d__x000a_  &lt;metadata key=&quot;md_Deadline&quot; /&gt;_x000d__x000a_  &lt;metadata key=&quot;md_InterinstitutionalFiles&quot;&gt;_x000d__x000a_    &lt;textlist /&gt;_x000d__x000a_  &lt;/metadata&gt;_x000d__x000a_  &lt;metadata key=&quot;md_AdditionalReferences&quot;&gt;_x000d__x000a_    &lt;textlist /&gt;_x000d__x000a_  &lt;/metadata&gt;_x000d__x000a_  &lt;metadata key=&quot;md_LEXNumber&quot;&gt;_x000d__x000a_    &lt;text&gt;&lt;/text&gt;_x000d__x000a_  &lt;/metadata&gt;_x000d__x000a_  &lt;metadata key=&quot;md_SousEmbargo&quot;&gt;_x000d__x000a_    &lt;text&gt;&lt;/text&gt;_x000d__x000a_  &lt;/metadata&gt;_x000d__x000a_  &lt;metadata key=&quot;md_DraftVersion&quot;&gt;_x000d__x000a_    &lt;text&gt;&lt;/text&gt;_x000d__x000a_  &lt;/metadata&gt;_x000d__x000a_  &lt;metadata key=&quot;md_Originator&quot;&gt;_x000d__x000a_    &lt;basicdatatype&gt;_x000d__x000a_      &lt;originator key=&quot;or_01&quot; text=&quot;Europos Komisijos generalinio sekretoriaus, kurio vardu pasira&amp;#353;o direktorius Jordi AYET PUIGARNAU&quot; /&gt;_x000d__x000a_    &lt;/basicdatatype&gt;_x000d__x000a_  &lt;/metadata&gt;_x000d__x000a_  &lt;metadata key=&quot;md_Recipient&quot;&gt;_x000d__x000a_    &lt;basicdatatype&gt;_x000d__x000a_      &lt;xaml text=&quot;Europos S&amp;#261;jungos Tarybos generaliniam sekretoriui Jeppe TRANHOLMUI-MIKKELSENUI&quot;&gt;&amp;lt;FlowDocument FontFamily=&quot;Arial Unicode MS&quot; FontSize=&quot;12&quot; LineHeight=&quot;6&quot; PageWidth=&quot;116&quot; PagePadding=&quot;5,0,5,0&quot; AllowDrop=&quot;True&quot; NumberSubstitution.CultureSource=&quot;User&quot; xmlns=&quot;http://schemas.microsoft.com/winfx/2006/xaml/presentation&quot;&amp;gt;&amp;lt;Paragraph&amp;gt;&amp;lt;Run xml:lang=&quot;lt-lt&quot;&amp;gt;Europos S&amp;#261;jungos Tarybos generaliniam sekretoriui Jeppe TRANHOLMUI-MIKKELSENUI&amp;lt;/Run&amp;gt;&amp;lt;/Paragraph&amp;gt;&amp;lt;/FlowDocument&amp;gt;&lt;/xaml&gt;_x000d__x000a_    &lt;/basicdatatype&gt;_x000d__x000a_  &lt;/metadata&gt;_x000d__x000a_  &lt;metadata key=&quot;md_DateOfReceipt&quot;&gt;_x000d__x000a_    &lt;text&gt;2018-07-19&lt;/text&gt;_x000d__x000a_  &lt;/metadata&gt;_x000d__x000a_  &lt;metadata key=&quot;md_FreeDate&quot;&gt;_x000d__x000a_    &lt;textlist /&gt;_x000d__x000a_  &lt;/metadata&gt;_x000d__x000a_  &lt;metadata key=&quot;md_PrecedingDocuments&quot;&gt;_x000d__x000a_    &lt;textlist /&gt;_x000d__x000a_  &lt;/metadata&gt;_x000d__x000a_  &lt;metadata key=&quot;md_CommissionDocuments&quot;&gt;_x000d__x000a_    &lt;textlist&gt;_x000d__x000a_      &lt;text&gt;COM(2018) 556 final&lt;/text&gt;_x000d__x000a_    &lt;/textlist&gt;_x000d__x000a_  &lt;/metadata&gt;_x000d__x000a_  &lt;metadata key=&quot;md_DocForDWNDCL&quot; /&gt;_x000d__x000a_  &lt;metadata key=&quot;md_Distribution_NewClassification&quot; /&gt;_x000d__x000a_  &lt;metadata key=&quot;md_DWNDCLAuthorization&quot; /&gt;_x000d__x000a_  &lt;metadata key=&quot;md_DateOfAuthorization&quot; /&gt;_x000d__x000a_  &lt;metadata key=&quot;md_MeetingLocation&quot; /&gt;_x000d__x000a_  &lt;metadata key=&quot;md_MeetingDate&quot; /&gt;_x000d__x000a_  &lt;metadata key=&quot;md_DateFormatOr&quot;&gt;_x000d__x000a_    &lt;text&gt;&lt;/text&gt;_x000d__x000a_  &lt;/metadata&gt;_x000d__x000a_  &lt;metadata key=&quot;md_MeetingInformation&quot; /&gt;_x000d__x000a_  &lt;metadata key=&quot;md_Item&quot; /&gt;_x000d__x000a_  &lt;metadata key=&quot;md_Subject&quot;&gt;_x000d__x000a_    &lt;xaml text=&quot;KOMISIJOS KOMUNIKATAS EUROPOS PARLAMENTUI, EUROPOS VADOV&amp;#370; TARYBAI, TARYBAI, EUROPOS CENTRINIAM BANKUI, EUROPOS EKONOMIKOS IR SOCIALINI&amp;#370; REIKAL&amp;#370; KOMITETUI, REGION&amp;#370; KOMITETUI IR EUROPOS INVESTICIJ&amp;#370; BANKUI d&amp;#279;l pasirengimo Jungtin&amp;#279;s Karalyst&amp;#279;s i&amp;#353;stojimui i&amp;#353; Europos S&amp;#261;jungos  2019 m. kovo 30 d.&quot;&gt;&amp;lt;FlowDocument FontFamily=&quot;Arial Unicode MS&quot; FontSize=&quot;12&quot; LineHeight=&quot;6&quot; PageWidth=&quot;329&quot; PagePadding=&quot;0,0,0,0&quot; AllowDrop=&quot;False&quot; xmlns=&quot;http://schemas.microsoft.com/winfx/2006/xaml/presentation&quot; xmlns:x=&quot;http://schemas.microsoft.com/winfx/2006/xaml&quot;&amp;gt;&amp;lt;Paragraph LineHeight=&quot;Auto&quot; FontFamily=&quot;Georgia&quot; FontSize=&quot;16&quot;&amp;gt;&amp;lt;Run FontFamily=&quot;Arial Unicode MS&quot; FontSize=&quot;12&quot;&amp;gt;KOMISIJOS KOMUNIKATAS EUROPOS PARLAMENTUI, EUROPOS VADOV&amp;#370; TARYBAI, TARYBAI, EUROPOS CENTRINIAM BANKUI, EUROPOS EKONOMIKOS IR SOCIALINI&amp;#370; REIKAL&amp;#370; KOMITETUI, REGION&amp;#370; KOMITETUI IR EUROPOS INVESTICIJ&amp;#370; BANKUI&amp;lt;/Run&amp;gt;&amp;lt;Run FontFamily=&quot;Arial Unicode MS&quot; FontSize=&quot;12&quot; xml:lang=&quot;lt-lt&quot; xml:space=&quot;preserve&quot;&amp;gt; &amp;lt;/Run&amp;gt;&amp;lt;Run FontFamily=&quot;Arial Unicode MS&quot; FontSize=&quot;12&quot; xml:space=&quot;preserve&quot;&amp;gt;d&amp;#279;l pasirengimo Jungtin&amp;#279;s Karalyst&amp;#279;s i&amp;#353;stojimui i&amp;#353; Europos S&amp;#261;jungos &amp;lt;/Run&amp;gt;&amp;lt;LineBreak /&amp;gt;&amp;lt;Run FontFamily=&quot;Arial Unicode MS&quot; FontSize=&quot;12&quot;&amp;gt;2019 m. kovo 30 d.&amp;lt;/Run&amp;gt;&amp;lt;/Paragraph&amp;gt;&amp;lt;/FlowDocument&amp;gt;&lt;/xaml&gt;_x000d__x000a_  &lt;/metadata&gt;_x000d__x000a_  &lt;metadata key=&quot;md_SubjectFootnote&quot; /&gt;_x000d__x000a_  &lt;metadata key=&quot;md_DG&quot;&gt;_x000d__x000a_    &lt;text&gt;UKTF&lt;/text&gt;_x000d__x000a_  &lt;/metadata&gt;_x000d__x000a_  &lt;metadata key=&quot;md_Initials&quot;&gt;_x000d__x000a_    &lt;text&gt;nva&lt;/text&gt;_x000d__x000a_  &lt;/metadata&gt;_x000d__x000a_  &lt;metadata key=&quot;md_RectifProcedureTyp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gt;_x000d__x000a_    &lt;basicdatatype&gt;_x000d__x000a_      &lt;text&gt;&lt;/text&gt;_x000d__x000a_    &lt;/basicdatatype&gt;_x000d__x000a_  &lt;/metadata&gt;_x000d__x000a_  &lt;metadata key=&quot;md_Rectif_Source1_DocumentType&quot;&gt;_x000d__x000a_    &lt;basicdatatype&gt;_x000d__x000a_      &lt;doc_type key=&quot;&quot; /&gt;_x000d__x000a_    &lt;/basicdatatype&gt;_x000d__x000a_  &lt;/metadata&gt;_x000d__x000a_  &lt;metadata key=&quot;md_Rectif_Source1_DocumentNumber&quot;&gt;_x000d__x000a_    &lt;text&gt;&lt;/text&gt;_x000d__x000a_  &lt;/metadata&gt;_x000d__x000a_  &lt;metadata key=&quot;md_Rectif_Source1_YearDocumentNumber&quot;&gt;_x000d__x000a_    &lt;text&gt;2018&lt;/text&gt;_x000d__x000a_  &lt;/metadata&gt;_x000d__x000a_  &lt;metadata key=&quot;md_Rectif_Source1_Suffixes&quot;&gt;_x000d__x000a_    &lt;text&gt;&lt;/text&gt;_x000d__x000a_  &lt;/metadata&gt;_x000d__x000a_  &lt;metadata key=&quot;md_Rectif_Source2_UniqueHeading&quot;&gt;_x000d__x000a_    &lt;basicdatatype&gt;_x000d__x000a_      &lt;text&gt;&lt;/text&gt;_x000d__x000a_    &lt;/basicdatatype&gt;_x000d__x000a_  &lt;/metadata&gt;_x000d__x000a_  &lt;metadata key=&quot;md_Rectif_Source2_DocumentType&quot;&gt;_x000d__x000a_    &lt;basicdatatype&gt;_x000d__x000a_      &lt;doc_type key=&quot;&quot; /&gt;_x000d__x000a_    &lt;/basicdatatype&gt;_x000d__x000a_  &lt;/metadata&gt;_x000d__x000a_  &lt;metadata key=&quot;md_Rectif_Source2_DocumentNumber&quot;&gt;_x000d__x000a_    &lt;text&gt;&lt;/text&gt;_x000d__x000a_  &lt;/metadata&gt;_x000d__x000a_  &lt;metadata key=&quot;md_Rectif_Source2_YearDocumentNumber&quot;&gt;_x000d__x000a_    &lt;text&gt;2018&lt;/text&gt;_x000d__x000a_  &lt;/metadata&gt;_x000d__x000a_  &lt;metadata key=&quot;md_Rectif_Source2_Suffixes&quot;&gt;_x000d__x000a_    &lt;text&gt;&lt;/text&gt;_x000d__x000a_  &lt;/metadata&gt;_x000d__x000a_  &lt;metadata key=&quot;md_CoverPageDocWithCouncilFooter&quot;&gt;_x000d__x000a_    &lt;text&gt;false&lt;/text&gt;_x000d__x000a_  &lt;/metadata&gt;_x000d__x000a_  &lt;metadata key=&quot;md_SourceDocLanguage&quot;&gt;_x000d__x000a_    &lt;text&gt;EN&lt;/text&gt;_x000d__x000a_  &lt;/metadata&gt;_x000d__x000a_  &lt;metadata key=&quot;md_SourceDocType&quot;&gt;_x000d__x000a_    &lt;text&gt;COMMUNICATION FROM THE COMMISSION&lt;/text&gt;_x000d__x000a_  &lt;/metadata&gt;_x000d__x000a_  &lt;metadata key=&quot;md_SourceDocTitle&quot;&gt;_x000d__x000a_    &lt;text&gt;Preparing for the withdrawal of the United Kingdom from the European Union _x000d__x000a_on 30 March 2019&lt;/text&gt;_x000d__x000a_  &lt;/metadata&gt;_x000d__x000a_  &lt;metadata key=&quot;md_SourceDocIsCECDoc&quot;&gt;_x000d__x000a_    &lt;text&gt;true&lt;/text&gt;_x000d__x000a_  &lt;/metadata&gt;_x000d__x000a_  &lt;metadata key=&quot;md_NB1&quot; /&gt;_x000d__x000a_  &lt;metadata key=&quot;md_NB2&quot; /&gt;_x000d__x000a_  &lt;metadata key=&quot;md_NB3&quot; /&gt;_x000d__x000a_  &lt;metadata key=&quot;md_NB4&quot; /&gt;_x000d__x000a_  &lt;metadata key=&quot;md_Meetings&quot;&gt;_x000d__x000a_    &lt;meetings /&gt;_x000d__x000a_  &lt;/metadata&gt;_x000d__x000a_  &lt;metadata key=&quot;md_VisualRepresentation&quot;&gt;_x000d__x000a_    &lt;basicdatatype&gt;_x000d__x000a_      &lt;visualrepresentation key=&quot;visrep_02&quot; text=&quot;New visual identity&quot; /&gt;_x000d__x000a_    &lt;/basicdatatype&gt;_x000d__x000a_  &lt;/metadata&gt;_x000d__x000a_  &lt;metadata key=&quot;md_LetterData&quot; /&gt;_x000d__x000a_  &lt;metadata key=&quot;md_InstFrSubWordmark&quot;&gt;_x000d__x000a_    &lt;xaml text=&quot;&quot;&gt;&amp;lt;FlowDocument FontFamily=&quot;Arial Unicode MS&quot; FontSize=&quot;12&quot; AllowDrop=&quot;False&quot; xmlns=&quot;http://schemas.microsoft.com/winfx/2006/xaml/presentation&quot; /&amp;gt;&lt;/xaml&gt;_x000d__x000a_  &lt;/metadata&gt;_x000d__x000a_  &lt;metadata key=&quot;md_WorkflowLinkStatus&quot;&gt;_x000d__x000a_    &lt;text&gt;Linked&lt;/text&gt;_x000d__x000a_  &lt;/metadata&gt;_x000d__x000a_  &lt;metadata key=&quot;md_Caveat&quot;&gt;_x000d__x000a_    &lt;text&gt;&lt;/text&gt;_x000d__x000a_  &lt;/metadata&gt;_x000d__x000a_&lt;/metadataset&gt;"/>
    <w:docVar w:name="LW_CORRIGENDUM" w:val="&lt;UNUSED&gt;"/>
    <w:docVar w:name="LW_COVERPAGE_EXISTS" w:val="True"/>
    <w:docVar w:name="LW_COVERPAGE_GUID" w:val="338D3F86-FDF7-4A21-B1BA-8E952B731CE0"/>
    <w:docVar w:name="LW_COVERPAGE_TYPE" w:val="1"/>
    <w:docVar w:name="LW_CROSSREFERENCE" w:val="&lt;UNUSED&gt;"/>
    <w:docVar w:name="LW_DocType" w:val="NORMAL"/>
    <w:docVar w:name="LW_EMISSION" w:val="2018 07 19"/>
    <w:docVar w:name="LW_EMISSION_ISODATE" w:val="2018-07-19"/>
    <w:docVar w:name="LW_EMISSION_LOCATION" w:val="BRX"/>
    <w:docVar w:name="LW_EMISSION_PREFIX" w:val="Briuselis, "/>
    <w:docVar w:name="LW_EMISSION_SUFFIX" w:val="&lt;EMPTY&gt;"/>
    <w:docVar w:name="LW_ID_DOCTYPE_NONLW" w:val="CP-009"/>
    <w:docVar w:name="LW_LANGUE" w:val="LT"/>
    <w:docVar w:name="LW_LEVEL_OF_SENSITIVITY" w:val="Standard treatment"/>
    <w:docVar w:name="LW_NOM.INST" w:val="EUROPOS KOMISIJA"/>
    <w:docVar w:name="LW_NOM.INST_JOINTDOC" w:val="&lt;EMPTY&gt;"/>
    <w:docVar w:name="LW_PART_NBR" w:val="1"/>
    <w:docVar w:name="LW_PART_NBR_TOTAL" w:val="1"/>
    <w:docVar w:name="LW_REF.INST.NEW" w:val="COM"/>
    <w:docVar w:name="LW_REF.INST.NEW_ADOPTED" w:val="final"/>
    <w:docVar w:name="LW_REF.INST.NEW_TEXT" w:val="(2018) 55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YPE.DOC.CP" w:val="KOMISIJOS KOMUNIKATAS"/>
    <w:docVar w:name="LW_TYPE.DOC.CP.USERTEXT" w:val="EUROPOS PARLAMENTUI, EUROPOS VADOV\u370? TARYBAI, TARYBAI, EUROPOS CENTRINIAM BANKUI, EUROPOS EKONOMIKOS IR SOCIALINI\u370? REIKAL\u370? KOMITETUI, REGION\u370? KOMITETUI IR EUROPOS INVESTICIJ\u370? BANKUI"/>
    <w:docVar w:name="LW_TITRE.OBJ.CP" w:val="d\u279?l pasirengimo Jungtin\u279?s Karalyst\u279?s i\u353?stojimui i\u353? Europos S\u261?jungos _x000b_2019 m. kovo 30 d."/>
  </w:docVars>
  <w:rsids>
    <w:rsidRoot w:val="00E53A37"/>
    <w:rsid w:val="00080F57"/>
    <w:rsid w:val="001218DA"/>
    <w:rsid w:val="00570A71"/>
    <w:rsid w:val="006E3763"/>
    <w:rsid w:val="007A5475"/>
    <w:rsid w:val="008E23A9"/>
    <w:rsid w:val="00B2567F"/>
    <w:rsid w:val="00DE4582"/>
    <w:rsid w:val="00E53A37"/>
    <w:rsid w:val="00F51F3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AF213C-27FD-4D39-877E-5371DD8DD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lt-LT" w:bidi="lt-LT"/>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link w:val="PagedecouvertureChar"/>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Typedudocument">
    <w:name w:val="Type du document"/>
    <w:basedOn w:val="Normal"/>
    <w:next w:val="Normal"/>
    <w:link w:val="TypedudocumentChar"/>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TypedudocumentChar">
    <w:name w:val="Type du document Char"/>
    <w:basedOn w:val="DefaultParagraphFont"/>
    <w:link w:val="Typedudocument"/>
    <w:rPr>
      <w:rFonts w:ascii="Times New Roman" w:hAnsi="Times New Roman" w:cs="Times New Roman"/>
      <w:b/>
      <w:sz w:val="24"/>
    </w:rPr>
  </w:style>
  <w:style w:type="character" w:customStyle="1" w:styleId="FooterCoverPageChar">
    <w:name w:val="Footer Cover Page Char"/>
    <w:basedOn w:val="TypedudocumentChar"/>
    <w:link w:val="FooterCoverPage"/>
    <w:rPr>
      <w:rFonts w:ascii="Times New Roman" w:hAnsi="Times New Roman" w:cs="Times New Roman"/>
      <w:b w:val="0"/>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TypedudocumentChar"/>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TypedudocumentChar"/>
    <w:link w:val="HeaderCoverPage"/>
    <w:rPr>
      <w:rFonts w:ascii="Times New Roman" w:hAnsi="Times New Roman" w:cs="Times New Roman"/>
      <w:b w:val="0"/>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TypedudocumentChar"/>
    <w:link w:val="HeaderSensitivity"/>
    <w:rPr>
      <w:rFonts w:ascii="Times New Roman" w:hAnsi="Times New Roman" w:cs="Times New Roman"/>
      <w:b/>
      <w:sz w:val="32"/>
    </w:rPr>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paragraph" w:styleId="ListParagraph">
    <w:name w:val="List Paragraph"/>
    <w:aliases w:val="OBC Bullet,Normal 1,Task Body,Viñetas (Inicio Parrafo),Paragrafo elenco,3 Txt tabla,Zerrenda-paragrafoa,Fiche List Paragraph,Dot pt,F5 List Paragraph,List Paragraph1,No Spacing1,List Paragraph Char Char Char,Indicator Text,Numbered Para 1"/>
    <w:basedOn w:val="Normal"/>
    <w:link w:val="ListParagraphChar"/>
    <w:uiPriority w:val="34"/>
    <w:qFormat/>
    <w:pPr>
      <w:ind w:left="720"/>
      <w:contextualSpacing/>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unhideWhenUsed/>
    <w:rPr>
      <w:vertAlign w:val="superscript"/>
    </w:rPr>
  </w:style>
  <w:style w:type="character" w:styleId="Hyperlink">
    <w:name w:val="Hyperlink"/>
    <w:basedOn w:val="DefaultParagraphFont"/>
    <w:uiPriority w:val="99"/>
    <w:unhideWhenUsed/>
    <w:rPr>
      <w:color w:val="0000FF" w:themeColor="hyperlink"/>
      <w:u w:val="single"/>
    </w:rPr>
  </w:style>
  <w:style w:type="character" w:customStyle="1" w:styleId="ListParagraphChar">
    <w:name w:val="List Paragraph Char"/>
    <w:aliases w:val="OBC Bullet Char,Normal 1 Char,Task Body Char,Viñetas (Inicio Parrafo) Char,Paragrafo elenco Char,3 Txt tabla Char,Zerrenda-paragrafoa Char,Fiche List Paragraph Char,Dot pt Char,F5 List Paragraph Char,List Paragraph1 Char"/>
    <w:link w:val="ListParagraph"/>
    <w:uiPriority w:val="34"/>
    <w:qFormat/>
    <w:locked/>
  </w:style>
  <w:style w:type="paragraph" w:customStyle="1" w:styleId="Briefingtext">
    <w:name w:val="Briefing text"/>
    <w:basedOn w:val="Normal"/>
    <w:link w:val="BriefingtextChar"/>
    <w:pPr>
      <w:spacing w:after="240" w:line="240" w:lineRule="auto"/>
      <w:jc w:val="both"/>
    </w:pPr>
    <w:rPr>
      <w:rFonts w:ascii="Arial" w:eastAsia="Times New Roman" w:hAnsi="Arial" w:cs="Arial"/>
      <w:szCs w:val="24"/>
    </w:rPr>
  </w:style>
  <w:style w:type="character" w:customStyle="1" w:styleId="BriefingtextChar">
    <w:name w:val="Briefing text Char"/>
    <w:link w:val="Briefingtext"/>
    <w:rPr>
      <w:rFonts w:ascii="Arial" w:eastAsia="Times New Roman" w:hAnsi="Arial" w:cs="Arial"/>
      <w:szCs w:val="24"/>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statut">
    <w:name w:val="statut"/>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character" w:customStyle="1" w:styleId="truncate">
    <w:name w:val="truncate"/>
    <w:basedOn w:val="DefaultParagraphFont"/>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pPr>
      <w:spacing w:after="0" w:line="240" w:lineRule="auto"/>
    </w:pPr>
  </w:style>
  <w:style w:type="paragraph" w:customStyle="1" w:styleId="HeaderCouncil">
    <w:name w:val="Header Council"/>
    <w:basedOn w:val="Normal"/>
    <w:link w:val="HeaderCouncilChar"/>
    <w:rsid w:val="008E23A9"/>
    <w:pPr>
      <w:spacing w:after="0" w:line="360" w:lineRule="auto"/>
    </w:pPr>
    <w:rPr>
      <w:rFonts w:ascii="Times New Roman" w:hAnsi="Times New Roman" w:cs="Times New Roman"/>
      <w:sz w:val="2"/>
    </w:rPr>
  </w:style>
  <w:style w:type="character" w:customStyle="1" w:styleId="PagedecouvertureChar">
    <w:name w:val="Page de couverture Char"/>
    <w:basedOn w:val="DefaultParagraphFont"/>
    <w:link w:val="Pagedecouverture"/>
    <w:rsid w:val="008E23A9"/>
    <w:rPr>
      <w:rFonts w:ascii="Times New Roman" w:hAnsi="Times New Roman" w:cs="Times New Roman"/>
      <w:sz w:val="24"/>
    </w:rPr>
  </w:style>
  <w:style w:type="character" w:customStyle="1" w:styleId="HeaderCouncilChar">
    <w:name w:val="Header Council Char"/>
    <w:basedOn w:val="PagedecouvertureChar"/>
    <w:link w:val="HeaderCouncil"/>
    <w:rsid w:val="008E23A9"/>
    <w:rPr>
      <w:rFonts w:ascii="Times New Roman" w:hAnsi="Times New Roman" w:cs="Times New Roman"/>
      <w:sz w:val="2"/>
    </w:rPr>
  </w:style>
  <w:style w:type="paragraph" w:customStyle="1" w:styleId="HeaderCouncilLarge">
    <w:name w:val="Header Council Large"/>
    <w:basedOn w:val="Normal"/>
    <w:link w:val="HeaderCouncilLargeChar"/>
    <w:rsid w:val="008E23A9"/>
    <w:pPr>
      <w:spacing w:after="440" w:line="360" w:lineRule="auto"/>
    </w:pPr>
    <w:rPr>
      <w:rFonts w:ascii="Times New Roman" w:hAnsi="Times New Roman" w:cs="Times New Roman"/>
      <w:sz w:val="2"/>
    </w:rPr>
  </w:style>
  <w:style w:type="character" w:customStyle="1" w:styleId="HeaderCouncilLargeChar">
    <w:name w:val="Header Council Large Char"/>
    <w:basedOn w:val="PagedecouvertureChar"/>
    <w:link w:val="HeaderCouncilLarge"/>
    <w:rsid w:val="008E23A9"/>
    <w:rPr>
      <w:rFonts w:ascii="Times New Roman" w:hAnsi="Times New Roman" w:cs="Times New Roman"/>
      <w:sz w:val="2"/>
    </w:rPr>
  </w:style>
  <w:style w:type="paragraph" w:customStyle="1" w:styleId="FooterCouncil">
    <w:name w:val="Footer Council"/>
    <w:basedOn w:val="Normal"/>
    <w:link w:val="FooterCouncilChar"/>
    <w:rsid w:val="008E23A9"/>
    <w:pPr>
      <w:spacing w:after="0" w:line="360" w:lineRule="auto"/>
    </w:pPr>
    <w:rPr>
      <w:rFonts w:ascii="Times New Roman" w:hAnsi="Times New Roman" w:cs="Times New Roman"/>
      <w:sz w:val="2"/>
    </w:rPr>
  </w:style>
  <w:style w:type="character" w:customStyle="1" w:styleId="FooterCouncilChar">
    <w:name w:val="Footer Council Char"/>
    <w:basedOn w:val="PagedecouvertureChar"/>
    <w:link w:val="FooterCouncil"/>
    <w:rsid w:val="008E23A9"/>
    <w:rPr>
      <w:rFonts w:ascii="Times New Roman" w:hAnsi="Times New Roman" w:cs="Times New Roman"/>
      <w:sz w:val="2"/>
    </w:rPr>
  </w:style>
  <w:style w:type="paragraph" w:customStyle="1" w:styleId="FooterText">
    <w:name w:val="Footer Text"/>
    <w:basedOn w:val="Normal"/>
    <w:rsid w:val="008E23A9"/>
    <w:pPr>
      <w:spacing w:after="0" w:line="240" w:lineRule="auto"/>
    </w:pPr>
    <w:rPr>
      <w:rFonts w:ascii="Times New Roman" w:eastAsia="Times New Roman" w:hAnsi="Times New Roman" w:cs="Times New Roman"/>
      <w:sz w:val="24"/>
      <w:szCs w:val="24"/>
      <w:lang w:val="en-GB" w:eastAsia="en-US" w:bidi="ar-SA"/>
    </w:rPr>
  </w:style>
  <w:style w:type="character" w:styleId="PlaceholderText">
    <w:name w:val="Placeholder Text"/>
    <w:basedOn w:val="DefaultParagraphFont"/>
    <w:uiPriority w:val="99"/>
    <w:semiHidden/>
    <w:rsid w:val="008E23A9"/>
    <w:rPr>
      <w:color w:val="808080"/>
    </w:rPr>
  </w:style>
  <w:style w:type="paragraph" w:customStyle="1" w:styleId="TechnicalBlock">
    <w:name w:val="Technical Block"/>
    <w:basedOn w:val="Normal"/>
    <w:link w:val="TechnicalBlockChar"/>
    <w:rsid w:val="006E3763"/>
    <w:pPr>
      <w:spacing w:after="240"/>
      <w:jc w:val="center"/>
    </w:pPr>
    <w:rPr>
      <w:rFonts w:ascii="Times New Roman" w:hAnsi="Times New Roman" w:cs="Times New Roman"/>
      <w:noProof/>
      <w:sz w:val="24"/>
    </w:rPr>
  </w:style>
  <w:style w:type="character" w:customStyle="1" w:styleId="TechnicalBlockChar">
    <w:name w:val="Technical Block Char"/>
    <w:basedOn w:val="TypedudocumentChar"/>
    <w:link w:val="TechnicalBlock"/>
    <w:rsid w:val="006E3763"/>
    <w:rPr>
      <w:rFonts w:ascii="Times New Roman" w:hAnsi="Times New Roman" w:cs="Times New Roman"/>
      <w:b w:val="0"/>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621104">
      <w:bodyDiv w:val="1"/>
      <w:marLeft w:val="0"/>
      <w:marRight w:val="0"/>
      <w:marTop w:val="0"/>
      <w:marBottom w:val="0"/>
      <w:divBdr>
        <w:top w:val="none" w:sz="0" w:space="0" w:color="auto"/>
        <w:left w:val="none" w:sz="0" w:space="0" w:color="auto"/>
        <w:bottom w:val="none" w:sz="0" w:space="0" w:color="auto"/>
        <w:right w:val="none" w:sz="0" w:space="0" w:color="auto"/>
      </w:divBdr>
    </w:div>
    <w:div w:id="774642451">
      <w:bodyDiv w:val="1"/>
      <w:marLeft w:val="0"/>
      <w:marRight w:val="0"/>
      <w:marTop w:val="0"/>
      <w:marBottom w:val="0"/>
      <w:divBdr>
        <w:top w:val="none" w:sz="0" w:space="0" w:color="auto"/>
        <w:left w:val="none" w:sz="0" w:space="0" w:color="auto"/>
        <w:bottom w:val="none" w:sz="0" w:space="0" w:color="auto"/>
        <w:right w:val="none" w:sz="0" w:space="0" w:color="auto"/>
      </w:divBdr>
    </w:div>
    <w:div w:id="1253975440">
      <w:bodyDiv w:val="1"/>
      <w:marLeft w:val="0"/>
      <w:marRight w:val="0"/>
      <w:marTop w:val="0"/>
      <w:marBottom w:val="0"/>
      <w:divBdr>
        <w:top w:val="none" w:sz="0" w:space="0" w:color="auto"/>
        <w:left w:val="none" w:sz="0" w:space="0" w:color="auto"/>
        <w:bottom w:val="none" w:sz="0" w:space="0" w:color="auto"/>
        <w:right w:val="none" w:sz="0" w:space="0" w:color="auto"/>
      </w:divBdr>
    </w:div>
    <w:div w:id="1410493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edia/image1.emf"
                 Type="http://schemas.openxmlformats.org/officeDocument/2006/relationships/image"/>
   <Relationship Id="rId12" Target="header1.xml"
                 Type="http://schemas.openxmlformats.org/officeDocument/2006/relationships/header"/>
   <Relationship Id="rId13" Target="header2.xml"
                 Type="http://schemas.openxmlformats.org/officeDocument/2006/relationships/header"/>
   <Relationship Id="rId14" Target="footer1.xml"
                 Type="http://schemas.openxmlformats.org/officeDocument/2006/relationships/footer"/>
   <Relationship Id="rId15" Target="footer2.xml"
                 Type="http://schemas.openxmlformats.org/officeDocument/2006/relationships/footer"/>
   <Relationship Id="rId16" Target="header3.xml"
                 Type="http://schemas.openxmlformats.org/officeDocument/2006/relationships/header"/>
   <Relationship Id="rId17" Target="footer3.xml"
                 Type="http://schemas.openxmlformats.org/officeDocument/2006/relationships/footer"/>
   <Relationship Id="rId18" Target="media/image2.emf"
                 Type="http://schemas.openxmlformats.org/officeDocument/2006/relationships/image"/>
   <Relationship Id="rId19" Target="header4.xml"
                 Type="http://schemas.openxmlformats.org/officeDocument/2006/relationships/header"/>
   <Relationship Id="rId2" Target="../customXml/item2.xml"
                 Type="http://schemas.openxmlformats.org/officeDocument/2006/relationships/customXml"/>
   <Relationship Id="rId20" Target="header5.xml"
                 Type="http://schemas.openxmlformats.org/officeDocument/2006/relationships/header"/>
   <Relationship Id="rId21" Target="footer4.xml"
                 Type="http://schemas.openxmlformats.org/officeDocument/2006/relationships/footer"/>
   <Relationship Id="rId22" Target="footer5.xml"
                 Type="http://schemas.openxmlformats.org/officeDocument/2006/relationships/footer"/>
   <Relationship Id="rId23" Target="header6.xml"
                 Type="http://schemas.openxmlformats.org/officeDocument/2006/relationships/header"/>
   <Relationship Id="rId24" Target="footer6.xml"
                 Type="http://schemas.openxmlformats.org/officeDocument/2006/relationships/footer"/>
   <Relationship Id="rId25" Target="media/image3.emf"
                 Type="http://schemas.openxmlformats.org/officeDocument/2006/relationships/image"/>
   <Relationship Id="rId26" Target="header7.xml"
                 Type="http://schemas.openxmlformats.org/officeDocument/2006/relationships/header"/>
   <Relationship Id="rId27" Target="header8.xml"
                 Type="http://schemas.openxmlformats.org/officeDocument/2006/relationships/header"/>
   <Relationship Id="rId28" Target="footer7.xml"
                 Type="http://schemas.openxmlformats.org/officeDocument/2006/relationships/footer"/>
   <Relationship Id="rId29" Target="footer8.xml"
                 Type="http://schemas.openxmlformats.org/officeDocument/2006/relationships/footer"/>
   <Relationship Id="rId3" Target="../customXml/item3.xml"
                 Type="http://schemas.openxmlformats.org/officeDocument/2006/relationships/customXml"/>
   <Relationship Id="rId30" Target="header9.xml"
                 Type="http://schemas.openxmlformats.org/officeDocument/2006/relationships/header"/>
   <Relationship Id="rId31" Target="footer9.xml"
                 Type="http://schemas.openxmlformats.org/officeDocument/2006/relationships/footer"/>
   <Relationship Id="rId32" Target="fontTable.xml"
                 Type="http://schemas.openxmlformats.org/officeDocument/2006/relationships/fontTable"/>
   <Relationship Id="rId33" Target="theme/theme1.xml"
                 Type="http://schemas.openxmlformats.org/officeDocument/2006/relationships/theme"/>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footnotes.xml.rels><?xml version="1.0" encoding="UTF-8" standalone="yes"?>
<Relationships xmlns="http://schemas.openxmlformats.org/package/2006/relationships">
   <Relationship Id="rId1"
                 Target="http://www.consilium.europa.eu/media/21763/29-euco-art50-guidelinesen.pdf"
                 TargetMode="External"
                 Type="http://schemas.openxmlformats.org/officeDocument/2006/relationships/hyperlink"/>
   <Relationship Id="rId2"
                 Target="http://www.consilium.europa.eu/media/33458/23-euco-art50-guidelines.pdf"
                 TargetMode="External"
                 Type="http://schemas.openxmlformats.org/officeDocument/2006/relationships/hyperlink"/>
   <Relationship Id="rId3"
                 Target="https://www.consilium.europa.eu/media/35966/29-euco-art50-conclusions-en.pdf"
                 TargetMode="External"
                 Type="http://schemas.openxmlformats.org/officeDocument/2006/relationships/hyperlink"/>
   <Relationship Id="rId4"
                 Target="http://www.consilium.europa.eu/lt/press/press-releases/2018/06/29/20180629-euco-conclusions-art-50/"
                 TargetMode="External"
                 Type="http://schemas.openxmlformats.org/officeDocument/2006/relationships/hyperlink"/>
   <Relationship Id="rId5"
                 Target="https://ec.europa.eu/commission/publications/draft-agreement-withdrawal-united-kingdom-great-britain-and-northern-ireland-european-union-and-european-atomic-energy-community-0_lt"
                 TargetMode="External"
                 Type="http://schemas.openxmlformats.org/officeDocument/2006/relationships/hyperlink"/>
   <Relationship Id="rId6"
                 Target="https://ec.europa.eu/commission/sites/beta-political/files/joint_statement.pdf"
                 TargetMode="External"
                 Type="http://schemas.openxmlformats.org/officeDocument/2006/relationships/hyperlink"/>
   <Relationship Id="rId7" Target="http://madb.europa.eu/madb/servicesForSME.htm"
                 TargetMode="External"
                 Type="http://schemas.openxmlformats.org/officeDocument/2006/relationships/hyperlink"/>
   <Relationship Id="rId8"
                 Target="https://ec.europa.eu/info/files/brexit-legislative-preparedness-proposals_lt"
                 TargetMode="External"
                 Type="http://schemas.openxmlformats.org/officeDocument/2006/relationships/hyperlink"/>
   <Relationship Id="rId9" Target="https://ec.europa.eu/info/brexit/brexit-preparedness_lt"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D33D44CF0C8FEB45875F235DEEF2E1B9" ma:contentTypeVersion="2" ma:contentTypeDescription="Create a new document in this library." ma:contentTypeScope="" ma:versionID="793482bb0774cf18edf9ff3a849026f5">
  <xsd:schema xmlns:xsd="http://www.w3.org/2001/XMLSchema" xmlns:xs="http://www.w3.org/2001/XMLSchema" xmlns:p="http://schemas.microsoft.com/office/2006/metadata/properties" xmlns:ns1="http://schemas.microsoft.com/sharepoint/v3" xmlns:ns2="http://schemas.microsoft.com/sharepoint/v3/fields" xmlns:ns3="25173920-bf43-43cc-9123-1897e847dfc2" targetNamespace="http://schemas.microsoft.com/office/2006/metadata/properties" ma:root="true" ma:fieldsID="eca9eb0556aa25a5be60472ce53097ad" ns1:_="" ns2:_="" ns3:_="">
    <xsd:import namespace="http://schemas.microsoft.com/sharepoint/v3"/>
    <xsd:import namespace="http://schemas.microsoft.com/sharepoint/v3/fields"/>
    <xsd:import namespace="25173920-bf43-43cc-9123-1897e847dfc2"/>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1:RelatedItems" minOccurs="0"/>
                <xsd:element ref="ns3:D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latedItems" ma:index="16" nillable="true" ma:displayName="Related Items" ma:internalName="RelatedItem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25173920-bf43-43cc-9123-1897e847dfc2"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DG" ma:index="17" nillable="true" ma:displayName="DG" ma:description="Associated DG(s)" ma:list="{a436e1b9-89ab-4a0f-bf89-77e0c01004af}" ma:internalName="DG" ma:showField="Titl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C_Collab_Reference xmlns="25173920-bf43-43cc-9123-1897e847dfc2" xsi:nil="true"/>
    <_Status xmlns="http://schemas.microsoft.com/sharepoint/v3/fields">Not Started</_Status>
    <EC_Collab_Status xmlns="25173920-bf43-43cc-9123-1897e847dfc2">Not Started</EC_Collab_Status>
    <DG xmlns="25173920-bf43-43cc-9123-1897e847dfc2"/>
    <EC_Collab_DocumentLanguage xmlns="25173920-bf43-43cc-9123-1897e847dfc2">EN</EC_Collab_DocumentLanguage>
    <RelatedItem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960D9-1E0F-4419-B970-3D8F593E3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25173920-bf43-43cc-9123-1897e847df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58A393-0C97-4316-9003-FB37C9A89917}">
  <ds:schemaRefs>
    <ds:schemaRef ds:uri="http://schemas.microsoft.com/office/2006/metadata/properties"/>
    <ds:schemaRef ds:uri="http://schemas.microsoft.com/office/infopath/2007/PartnerControls"/>
    <ds:schemaRef ds:uri="25173920-bf43-43cc-9123-1897e847dfc2"/>
    <ds:schemaRef ds:uri="http://schemas.microsoft.com/sharepoint/v3/fields"/>
    <ds:schemaRef ds:uri="http://schemas.microsoft.com/sharepoint/v3"/>
  </ds:schemaRefs>
</ds:datastoreItem>
</file>

<file path=customXml/itemProps3.xml><?xml version="1.0" encoding="utf-8"?>
<ds:datastoreItem xmlns:ds="http://schemas.openxmlformats.org/officeDocument/2006/customXml" ds:itemID="{E0E9928D-FFCD-4332-B880-91048613D989}">
  <ds:schemaRefs>
    <ds:schemaRef ds:uri="http://schemas.microsoft.com/sharepoint/v3/contenttype/forms"/>
  </ds:schemaRefs>
</ds:datastoreItem>
</file>

<file path=customXml/itemProps4.xml><?xml version="1.0" encoding="utf-8"?>
<ds:datastoreItem xmlns:ds="http://schemas.openxmlformats.org/officeDocument/2006/customXml" ds:itemID="{CEEAD658-C0D6-4B7A-B065-C32C82423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26185</Words>
  <Characters>14927</Characters>
  <Application>Microsoft Office Word</Application>
  <DocSecurity>0</DocSecurity>
  <Lines>124</Lines>
  <Paragraphs>82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41030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2019-01-10T07:00:00Z</dcterms:created>
  <dc:creator>nva</dc:creator>
  <cp:lastModifiedBy>Vaida Gustainytė</cp:lastModifiedBy>
  <cp:lastPrinted>2018-07-14T11:42:00Z</cp:lastPrinted>
  <dcterms:modified xsi:type="dcterms:W3CDTF">2019-01-10T07:00:00Z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ContentTypeId">
    <vt:lpwstr>0x010100258AA79CEB83498886A3A0868112325000D33D44CF0C8FEB45875F235DEEF2E1B9</vt:lpwstr>
  </property>
  <property fmtid="{D5CDD505-2E9C-101B-9397-08002B2CF9AE}" pid="6" name="DocStatus">
    <vt:lpwstr>Green</vt:lpwstr>
  </property>
  <property fmtid="{D5CDD505-2E9C-101B-9397-08002B2CF9AE}" pid="7" name="Created using">
    <vt:lpwstr>DocuWrite 4.1.10, Build 20171130</vt:lpwstr>
  </property>
  <property fmtid="{D5CDD505-2E9C-101B-9397-08002B2CF9AE}" pid="8" name="Last edited using">
    <vt:lpwstr>DocuWrite 4.1.10, Build 20171130</vt:lpwstr>
  </property>
</Properties>
</file>