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1B" w:rsidRPr="00134709" w:rsidRDefault="00CA431B">
      <w:pPr>
        <w:jc w:val="center"/>
        <w:rPr>
          <w:b/>
          <w:lang w:val="lt-LT"/>
        </w:rPr>
      </w:pPr>
      <w:bookmarkStart w:id="0" w:name="_GoBack"/>
      <w:bookmarkEnd w:id="0"/>
      <w:r w:rsidRPr="00134709">
        <w:rPr>
          <w:b/>
          <w:lang w:val="lt-LT"/>
        </w:rPr>
        <w:t>PAŽYMA</w:t>
      </w:r>
    </w:p>
    <w:p w:rsidR="00F026F6" w:rsidRPr="00AC1391" w:rsidRDefault="00CF7F25" w:rsidP="00F026F6">
      <w:pPr>
        <w:jc w:val="center"/>
        <w:rPr>
          <w:b/>
          <w:bCs/>
          <w:color w:val="000000"/>
          <w:lang w:eastAsia="lt-LT"/>
        </w:rPr>
      </w:pPr>
      <w:r w:rsidRPr="00CF7F25">
        <w:rPr>
          <w:rFonts w:eastAsia="Lucida Sans Unicode"/>
          <w:b/>
          <w:lang w:val="lt-LT" w:eastAsia="lt-LT"/>
        </w:rPr>
        <w:t xml:space="preserve">DĖL </w:t>
      </w:r>
      <w:r w:rsidR="00F026F6" w:rsidRPr="00AC1391">
        <w:rPr>
          <w:b/>
          <w:bCs/>
          <w:color w:val="000000"/>
          <w:lang w:eastAsia="lt-LT"/>
        </w:rPr>
        <w:t xml:space="preserve">LIETUVOS RESPUBLIKOS ASMENS TAPATYBĖS KORTELĖS IR PASO ĮSTATYMO NR. XII-1519 </w:t>
      </w:r>
    </w:p>
    <w:p w:rsidR="00CA431B" w:rsidRPr="00CF7F25" w:rsidRDefault="00F026F6" w:rsidP="00F026F6">
      <w:pPr>
        <w:jc w:val="center"/>
        <w:rPr>
          <w:b/>
          <w:lang w:val="lt-LT"/>
        </w:rPr>
      </w:pPr>
      <w:r w:rsidRPr="00AC1391">
        <w:rPr>
          <w:b/>
          <w:bCs/>
          <w:color w:val="000000"/>
          <w:lang w:eastAsia="lt-LT"/>
        </w:rPr>
        <w:t xml:space="preserve">PAKEITIMO ĮSTATYMO PROJEKTO </w:t>
      </w:r>
      <w:r w:rsidR="00CA431B" w:rsidRPr="00CF7F25">
        <w:rPr>
          <w:b/>
          <w:lang w:val="lt-LT"/>
        </w:rPr>
        <w:t>DERINIMO</w:t>
      </w:r>
    </w:p>
    <w:p w:rsidR="00CA431B" w:rsidRPr="009214A3" w:rsidRDefault="00CA431B">
      <w:pPr>
        <w:jc w:val="both"/>
        <w:rPr>
          <w:b/>
          <w:lang w:val="lt-LT"/>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847"/>
        <w:gridCol w:w="6521"/>
      </w:tblGrid>
      <w:tr w:rsidR="00F40308" w:rsidRPr="00B07F18" w:rsidTr="002E2C80">
        <w:trPr>
          <w:trHeight w:val="790"/>
        </w:trPr>
        <w:tc>
          <w:tcPr>
            <w:tcW w:w="1800" w:type="dxa"/>
          </w:tcPr>
          <w:p w:rsidR="00F40308" w:rsidRPr="009214A3" w:rsidRDefault="00F40308">
            <w:pPr>
              <w:jc w:val="center"/>
              <w:rPr>
                <w:b/>
                <w:lang w:val="lt-LT"/>
              </w:rPr>
            </w:pPr>
            <w:r w:rsidRPr="009214A3">
              <w:rPr>
                <w:b/>
                <w:lang w:val="lt-LT"/>
              </w:rPr>
              <w:t>Institucijos pavadinimas, rašto data ir Nr.</w:t>
            </w:r>
          </w:p>
        </w:tc>
        <w:tc>
          <w:tcPr>
            <w:tcW w:w="6847" w:type="dxa"/>
          </w:tcPr>
          <w:p w:rsidR="00F40308" w:rsidRPr="009214A3" w:rsidRDefault="00F40308">
            <w:pPr>
              <w:jc w:val="center"/>
              <w:rPr>
                <w:b/>
                <w:lang w:val="lt-LT"/>
              </w:rPr>
            </w:pPr>
            <w:r w:rsidRPr="009214A3">
              <w:rPr>
                <w:b/>
                <w:lang w:val="lt-LT"/>
              </w:rPr>
              <w:t>Pastabos ir pasiūlymai</w:t>
            </w:r>
          </w:p>
        </w:tc>
        <w:tc>
          <w:tcPr>
            <w:tcW w:w="6521" w:type="dxa"/>
          </w:tcPr>
          <w:p w:rsidR="00F40308" w:rsidRPr="009214A3" w:rsidRDefault="00F40308">
            <w:pPr>
              <w:jc w:val="center"/>
              <w:rPr>
                <w:b/>
                <w:lang w:val="lt-LT"/>
              </w:rPr>
            </w:pPr>
            <w:r w:rsidRPr="009214A3">
              <w:rPr>
                <w:b/>
                <w:lang w:val="lt-LT"/>
              </w:rPr>
              <w:t>Pastabų ir pasiūlymų įvertinimas</w:t>
            </w:r>
          </w:p>
        </w:tc>
      </w:tr>
      <w:tr w:rsidR="00D3352D" w:rsidRPr="005F646E" w:rsidTr="002E2C80">
        <w:trPr>
          <w:trHeight w:val="350"/>
        </w:trPr>
        <w:tc>
          <w:tcPr>
            <w:tcW w:w="1800" w:type="dxa"/>
          </w:tcPr>
          <w:p w:rsidR="00D3352D" w:rsidRPr="005F646E" w:rsidRDefault="00B0383E" w:rsidP="00B0383E">
            <w:pPr>
              <w:rPr>
                <w:lang w:val="lt-LT"/>
              </w:rPr>
            </w:pPr>
            <w:r>
              <w:rPr>
                <w:lang w:val="lt-LT"/>
              </w:rPr>
              <w:t>Lietuvos Respublikos u</w:t>
            </w:r>
            <w:r w:rsidR="00A131C2" w:rsidRPr="00BA616B">
              <w:rPr>
                <w:lang w:val="lt-LT"/>
              </w:rPr>
              <w:t>ž</w:t>
            </w:r>
            <w:r w:rsidR="00F026F6">
              <w:rPr>
                <w:lang w:val="lt-LT"/>
              </w:rPr>
              <w:t>sienio reikalų ministerijos 2019</w:t>
            </w:r>
            <w:r>
              <w:rPr>
                <w:lang w:val="lt-LT"/>
              </w:rPr>
              <w:t xml:space="preserve"> m. spalio </w:t>
            </w:r>
            <w:r w:rsidR="00F026F6">
              <w:rPr>
                <w:lang w:val="lt-LT"/>
              </w:rPr>
              <w:t>4</w:t>
            </w:r>
            <w:r>
              <w:rPr>
                <w:lang w:val="lt-LT"/>
              </w:rPr>
              <w:t xml:space="preserve"> d.</w:t>
            </w:r>
            <w:r w:rsidR="00A131C2" w:rsidRPr="00BA616B">
              <w:rPr>
                <w:lang w:val="lt-LT"/>
              </w:rPr>
              <w:t xml:space="preserve"> raštas Nr. </w:t>
            </w:r>
            <w:r w:rsidR="00F026F6">
              <w:t>(25.2</w:t>
            </w:r>
            <w:r w:rsidR="00A131C2" w:rsidRPr="00BA616B">
              <w:t>.1</w:t>
            </w:r>
            <w:r w:rsidR="00F026F6">
              <w:t>E)3-4563</w:t>
            </w:r>
          </w:p>
        </w:tc>
        <w:tc>
          <w:tcPr>
            <w:tcW w:w="6847" w:type="dxa"/>
          </w:tcPr>
          <w:p w:rsidR="0051251F" w:rsidRDefault="00C85653" w:rsidP="00BE2E6F">
            <w:pPr>
              <w:jc w:val="both"/>
              <w:rPr>
                <w:sz w:val="20"/>
                <w:szCs w:val="20"/>
                <w:lang w:val="lt-LT" w:eastAsia="lt-LT"/>
              </w:rPr>
            </w:pPr>
            <w:r>
              <w:rPr>
                <w:i/>
                <w:iCs/>
                <w:lang w:val="lt-LT" w:eastAsia="lt-LT"/>
              </w:rPr>
              <w:t>1.</w:t>
            </w:r>
            <w:r w:rsidR="0051251F">
              <w:rPr>
                <w:i/>
                <w:iCs/>
                <w:lang w:val="lt-LT" w:eastAsia="lt-LT"/>
              </w:rPr>
              <w:t xml:space="preserve"> </w:t>
            </w:r>
            <w:r w:rsidRPr="00C85653">
              <w:rPr>
                <w:i/>
                <w:iCs/>
                <w:lang w:val="lt-LT" w:eastAsia="lt-LT"/>
              </w:rPr>
              <w:t>Dėl keičiamo įstatymo 6 straipsnio 6 dalies.</w:t>
            </w:r>
            <w:r w:rsidRPr="00C85653">
              <w:rPr>
                <w:sz w:val="20"/>
                <w:szCs w:val="20"/>
                <w:lang w:val="lt-LT" w:eastAsia="lt-LT"/>
              </w:rPr>
              <w:t xml:space="preserve"> </w:t>
            </w:r>
            <w:r w:rsidRPr="00C85653">
              <w:rPr>
                <w:lang w:val="lt-LT" w:eastAsia="lt-LT"/>
              </w:rPr>
              <w:t>Siūlome padidinti vaikų, kurių dalyvavimas pateikiant dokumentus dėl asmens tapatybės kortelės ar paso išdavimo ar keitimo nėra būtinas, amžių iki 5 metų. Pasiūlymą grindžiame šiais argumentais:</w:t>
            </w:r>
            <w:r w:rsidRPr="00C85653">
              <w:rPr>
                <w:sz w:val="20"/>
                <w:szCs w:val="20"/>
                <w:lang w:val="lt-LT" w:eastAsia="lt-LT"/>
              </w:rPr>
              <w:t xml:space="preserve"> </w:t>
            </w:r>
          </w:p>
          <w:p w:rsidR="00C85653" w:rsidRPr="00C85653" w:rsidRDefault="00C85653" w:rsidP="00BE2E6F">
            <w:pPr>
              <w:jc w:val="both"/>
              <w:rPr>
                <w:sz w:val="20"/>
                <w:szCs w:val="20"/>
                <w:lang w:val="lt-LT" w:eastAsia="lt-LT"/>
              </w:rPr>
            </w:pPr>
            <w:r w:rsidRPr="00C85653">
              <w:rPr>
                <w:lang w:val="lt-LT" w:eastAsia="lt-LT"/>
              </w:rPr>
              <w:t>Keičiamo įstatymo 4 straipsnio 1 dalies 1 punktas nustato, kad vaikui iki 5 metų asmens tapatybės kortelė ir pasas išduodami 2 metams. Šiuose vaiko dokumentuose pirštų antspaudai elektroniniu būdu nėra fiksuojami (keičiamo įstatymo 5 straipsnio 8 dalyje nustatoma, kad abu asmens tapatybę ir pilietybę patvirtinantys dokumentai gali būti išduodami be juose elektroniniu būdu fiksuotų pirštų antspaudų jaunesniems nei 12 metų amžiau piliečiams). Manytume, kad vaikų, kurių asmeninis dalyvavimas teikiant prašymus dėl asmens tapatybės dokumentų išdavimo ar keitimo nėra būtinas, amžiaus ribą padidinus iki 5 metų amžiaus, asmens tapatybės dokumento išdavimo ir keitimo procedūros taptų paprastesnės ir draugiškesnės piliečiams ir kartu neatsirastų jokių sąlygų papildomos rizikoms dėl dokumento išdavimo procedūrų patikimumo ar dokumento saugumo.</w:t>
            </w:r>
          </w:p>
          <w:p w:rsidR="00D3352D" w:rsidRPr="00BA616B" w:rsidRDefault="00D3352D" w:rsidP="003843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1019"/>
              </w:tabs>
              <w:snapToGrid/>
              <w:jc w:val="both"/>
              <w:rPr>
                <w:rFonts w:ascii="Times New Roman" w:hAnsi="Times New Roman"/>
                <w:sz w:val="24"/>
                <w:szCs w:val="24"/>
              </w:rPr>
            </w:pPr>
          </w:p>
        </w:tc>
        <w:tc>
          <w:tcPr>
            <w:tcW w:w="6521" w:type="dxa"/>
          </w:tcPr>
          <w:p w:rsidR="003F2185" w:rsidRPr="003F2185" w:rsidRDefault="00C85653" w:rsidP="003F2185">
            <w:pPr>
              <w:pStyle w:val="Pagrindinistekstas2"/>
              <w:spacing w:line="240" w:lineRule="auto"/>
              <w:jc w:val="both"/>
              <w:rPr>
                <w:bCs/>
                <w:szCs w:val="24"/>
              </w:rPr>
            </w:pPr>
            <w:r w:rsidRPr="003F2185">
              <w:rPr>
                <w:bCs/>
                <w:szCs w:val="24"/>
              </w:rPr>
              <w:t>Neatsižvelgta.</w:t>
            </w:r>
          </w:p>
          <w:p w:rsidR="001A56B6" w:rsidRPr="00763EF3" w:rsidRDefault="00DA215E" w:rsidP="009214A3">
            <w:pPr>
              <w:pStyle w:val="Pagrindinistekstas2"/>
              <w:spacing w:line="240" w:lineRule="auto"/>
              <w:jc w:val="both"/>
              <w:rPr>
                <w:bCs/>
                <w:szCs w:val="24"/>
              </w:rPr>
            </w:pPr>
            <w:r>
              <w:rPr>
                <w:b w:val="0"/>
                <w:szCs w:val="24"/>
              </w:rPr>
              <w:t xml:space="preserve">Lietuva dalyvauja </w:t>
            </w:r>
            <w:r w:rsidRPr="00FD0FB1">
              <w:rPr>
                <w:b w:val="0"/>
                <w:i/>
                <w:szCs w:val="24"/>
              </w:rPr>
              <w:t>Visa Waive</w:t>
            </w:r>
            <w:r w:rsidRPr="009214A3">
              <w:rPr>
                <w:i/>
              </w:rPr>
              <w:t>r</w:t>
            </w:r>
            <w:r>
              <w:rPr>
                <w:b w:val="0"/>
                <w:szCs w:val="24"/>
              </w:rPr>
              <w:t xml:space="preserve"> programoje ir </w:t>
            </w:r>
            <w:r w:rsidR="003F2185">
              <w:rPr>
                <w:b w:val="0"/>
                <w:szCs w:val="24"/>
              </w:rPr>
              <w:t>Lietuvos Respublikos pasas tarptautinėje bendruomenėje yra pripažįstamas kaip labai saugus kelio</w:t>
            </w:r>
            <w:r>
              <w:rPr>
                <w:b w:val="0"/>
                <w:szCs w:val="24"/>
              </w:rPr>
              <w:t>nės dokumen</w:t>
            </w:r>
            <w:r w:rsidR="00C24E29">
              <w:rPr>
                <w:b w:val="0"/>
                <w:szCs w:val="24"/>
              </w:rPr>
              <w:t xml:space="preserve">tas. Pažymėtina, kad </w:t>
            </w:r>
            <w:r w:rsidR="00BA3F82">
              <w:rPr>
                <w:b w:val="0"/>
                <w:szCs w:val="24"/>
              </w:rPr>
              <w:t>„</w:t>
            </w:r>
            <w:r w:rsidR="00C24E29">
              <w:rPr>
                <w:b w:val="0"/>
                <w:szCs w:val="24"/>
              </w:rPr>
              <w:t>saugaus dokumento</w:t>
            </w:r>
            <w:r w:rsidR="00BA3F82">
              <w:rPr>
                <w:b w:val="0"/>
                <w:szCs w:val="24"/>
              </w:rPr>
              <w:t>“</w:t>
            </w:r>
            <w:r w:rsidR="00C24E29">
              <w:rPr>
                <w:b w:val="0"/>
                <w:szCs w:val="24"/>
              </w:rPr>
              <w:t xml:space="preserve"> sąvoka</w:t>
            </w:r>
            <w:r>
              <w:rPr>
                <w:b w:val="0"/>
                <w:szCs w:val="24"/>
              </w:rPr>
              <w:t xml:space="preserve"> apima ne tik dokumento blanke įdiegtus saugumą nuo suklastojimo užtikrinančius technologinius sprendinius, bet ir saugias dokumento išdavimo procedūras (tarp jų </w:t>
            </w:r>
            <w:r w:rsidR="00BA3F82">
              <w:rPr>
                <w:b w:val="0"/>
                <w:szCs w:val="24"/>
              </w:rPr>
              <w:t xml:space="preserve">– </w:t>
            </w:r>
            <w:r>
              <w:rPr>
                <w:b w:val="0"/>
                <w:szCs w:val="24"/>
              </w:rPr>
              <w:t xml:space="preserve">ir patikimą asmens tapatybės nustatymą). Siekiant šio tikslo – patikimo asmens, kuriam išduodamas dokumentas, </w:t>
            </w:r>
            <w:r w:rsidR="00B86A73">
              <w:rPr>
                <w:b w:val="0"/>
                <w:szCs w:val="24"/>
              </w:rPr>
              <w:t>tapatybės nustatymo,</w:t>
            </w:r>
            <w:r>
              <w:rPr>
                <w:b w:val="0"/>
                <w:szCs w:val="24"/>
              </w:rPr>
              <w:t xml:space="preserve"> </w:t>
            </w:r>
            <w:r w:rsidR="00B0383E">
              <w:rPr>
                <w:b w:val="0"/>
                <w:szCs w:val="24"/>
              </w:rPr>
              <w:t>Lietuvos Respublikos a</w:t>
            </w:r>
            <w:r>
              <w:rPr>
                <w:b w:val="0"/>
                <w:szCs w:val="24"/>
              </w:rPr>
              <w:t>smens tapatybės kortelės ir paso įstatyme nustatytas bendras reikalavimas – pilietis dokumentus dėl asmens tapatybės kortelės ar paso išdavimo turi pateikti pats</w:t>
            </w:r>
            <w:r w:rsidR="00B86A73">
              <w:rPr>
                <w:b w:val="0"/>
                <w:szCs w:val="24"/>
              </w:rPr>
              <w:t>,</w:t>
            </w:r>
            <w:r>
              <w:rPr>
                <w:b w:val="0"/>
                <w:szCs w:val="24"/>
              </w:rPr>
              <w:t xml:space="preserve"> ir šiuo aspektu taikoma tik viena išimtis – vaiko iki vienų metų dalyvavimas nėra būtinas. </w:t>
            </w:r>
            <w:r w:rsidR="00A84240">
              <w:rPr>
                <w:b w:val="0"/>
                <w:szCs w:val="24"/>
              </w:rPr>
              <w:t xml:space="preserve">Reaguojant į piliečių pageidavimus dėl patogesnių asmens dokumentų išdavimo vaikams procedūrų, </w:t>
            </w:r>
            <w:r w:rsidR="00C24E29">
              <w:rPr>
                <w:b w:val="0"/>
                <w:szCs w:val="24"/>
              </w:rPr>
              <w:t>Į</w:t>
            </w:r>
            <w:r>
              <w:rPr>
                <w:b w:val="0"/>
                <w:szCs w:val="24"/>
              </w:rPr>
              <w:t xml:space="preserve">statymo projektu siūloma nustatyti, kad vaiko iki </w:t>
            </w:r>
            <w:r w:rsidR="00BA3F82">
              <w:rPr>
                <w:b w:val="0"/>
                <w:szCs w:val="24"/>
              </w:rPr>
              <w:t>2</w:t>
            </w:r>
            <w:r>
              <w:rPr>
                <w:b w:val="0"/>
                <w:szCs w:val="24"/>
              </w:rPr>
              <w:t xml:space="preserve"> metų</w:t>
            </w:r>
            <w:r w:rsidR="00A84240">
              <w:rPr>
                <w:b w:val="0"/>
                <w:szCs w:val="24"/>
              </w:rPr>
              <w:t xml:space="preserve"> dalyvavimas būtų neprivalomas. </w:t>
            </w:r>
            <w:r w:rsidR="00B0383E">
              <w:rPr>
                <w:b w:val="0"/>
                <w:szCs w:val="24"/>
              </w:rPr>
              <w:t>Lietuvos Respublikos vidaus reikalų ministerijos</w:t>
            </w:r>
            <w:r w:rsidR="00A84240">
              <w:rPr>
                <w:b w:val="0"/>
                <w:szCs w:val="24"/>
              </w:rPr>
              <w:t xml:space="preserve"> nuomone, tai maksimali vaiko amžiaus riba, kurią galim</w:t>
            </w:r>
            <w:r w:rsidR="00C24E29">
              <w:rPr>
                <w:b w:val="0"/>
                <w:szCs w:val="24"/>
              </w:rPr>
              <w:t>a nustatyti nesukeliant reikšmingesnių</w:t>
            </w:r>
            <w:r w:rsidR="00A84240">
              <w:rPr>
                <w:b w:val="0"/>
                <w:szCs w:val="24"/>
              </w:rPr>
              <w:t xml:space="preserve"> grėsmių asmens tapatybės nustatymo patikimumui, nes v</w:t>
            </w:r>
            <w:r w:rsidR="00C85653" w:rsidRPr="003F2185">
              <w:rPr>
                <w:b w:val="0"/>
                <w:szCs w:val="24"/>
              </w:rPr>
              <w:t>yresnio nei 2 metų vaiko</w:t>
            </w:r>
            <w:r w:rsidR="00A84240">
              <w:rPr>
                <w:b w:val="0"/>
                <w:szCs w:val="24"/>
              </w:rPr>
              <w:t>, atvykusio į Migracijos departamentą</w:t>
            </w:r>
            <w:r w:rsidR="00B0383E">
              <w:rPr>
                <w:b w:val="0"/>
                <w:szCs w:val="24"/>
              </w:rPr>
              <w:t xml:space="preserve"> prie Lietuvos Respublikos vidaus reikalų ministerijos (toliau – Migracijos departamentas)</w:t>
            </w:r>
            <w:r w:rsidR="00A84240">
              <w:rPr>
                <w:b w:val="0"/>
                <w:szCs w:val="24"/>
              </w:rPr>
              <w:t xml:space="preserve"> ar Lietuvos Respublikos konsulinę įstaigą, neadekvataus elgesio (jei tai būtų vaiko pagrobimo, ketinimo neteisėtai išvežti į kitą valstybę pan. atvejis)</w:t>
            </w:r>
            <w:r w:rsidR="00C85653" w:rsidRPr="003F2185">
              <w:rPr>
                <w:b w:val="0"/>
                <w:szCs w:val="24"/>
              </w:rPr>
              <w:t xml:space="preserve"> situaciją jau galima </w:t>
            </w:r>
            <w:r w:rsidR="00C24E29">
              <w:rPr>
                <w:b w:val="0"/>
                <w:szCs w:val="24"/>
              </w:rPr>
              <w:t xml:space="preserve">būtų </w:t>
            </w:r>
            <w:r w:rsidR="00C85653" w:rsidRPr="003F2185">
              <w:rPr>
                <w:b w:val="0"/>
                <w:szCs w:val="24"/>
              </w:rPr>
              <w:t xml:space="preserve">pastebėti, </w:t>
            </w:r>
            <w:r w:rsidR="00A84240">
              <w:rPr>
                <w:b w:val="0"/>
                <w:szCs w:val="24"/>
              </w:rPr>
              <w:t>prireikus galima jį pakalbinti.</w:t>
            </w:r>
            <w:r w:rsidR="00C85653" w:rsidRPr="003F2185">
              <w:rPr>
                <w:b w:val="0"/>
                <w:szCs w:val="24"/>
              </w:rPr>
              <w:t xml:space="preserve"> </w:t>
            </w:r>
            <w:r w:rsidR="00A84240">
              <w:rPr>
                <w:b w:val="0"/>
                <w:szCs w:val="24"/>
              </w:rPr>
              <w:t>Atkreiptinas dėmesys, kad vaikui iki 5 metų amžiaus išduota asmens tapatybės kortelė ar pasas gal</w:t>
            </w:r>
            <w:r w:rsidR="00605D73">
              <w:rPr>
                <w:b w:val="0"/>
                <w:szCs w:val="24"/>
              </w:rPr>
              <w:t xml:space="preserve">ioja 2 metus, </w:t>
            </w:r>
            <w:r w:rsidR="00605D73">
              <w:rPr>
                <w:b w:val="0"/>
                <w:szCs w:val="24"/>
              </w:rPr>
              <w:lastRenderedPageBreak/>
              <w:t>vadinasi, pakėlus</w:t>
            </w:r>
            <w:r w:rsidR="00A84240">
              <w:rPr>
                <w:b w:val="0"/>
                <w:szCs w:val="24"/>
              </w:rPr>
              <w:t xml:space="preserve"> amžiaus, iki kurio vaiko dalyvavimas išduodant asmens d</w:t>
            </w:r>
            <w:r w:rsidR="00605D73">
              <w:rPr>
                <w:b w:val="0"/>
                <w:szCs w:val="24"/>
              </w:rPr>
              <w:t xml:space="preserve">okumentą nebūtinas, ribą </w:t>
            </w:r>
            <w:r w:rsidR="00C24E29">
              <w:rPr>
                <w:b w:val="0"/>
                <w:szCs w:val="24"/>
              </w:rPr>
              <w:t xml:space="preserve">nuo vienų </w:t>
            </w:r>
            <w:r w:rsidR="00605D73">
              <w:rPr>
                <w:b w:val="0"/>
                <w:szCs w:val="24"/>
              </w:rPr>
              <w:t xml:space="preserve">iki </w:t>
            </w:r>
            <w:r w:rsidR="00BA3F82">
              <w:rPr>
                <w:b w:val="0"/>
                <w:szCs w:val="24"/>
              </w:rPr>
              <w:t>2</w:t>
            </w:r>
            <w:r w:rsidR="00605D73">
              <w:rPr>
                <w:b w:val="0"/>
                <w:szCs w:val="24"/>
              </w:rPr>
              <w:t xml:space="preserve"> metų, Migracijos departamento ar Lietuvos Respublikos konsulinės įstaigos</w:t>
            </w:r>
            <w:r w:rsidR="00B86A73">
              <w:rPr>
                <w:b w:val="0"/>
                <w:szCs w:val="24"/>
              </w:rPr>
              <w:t xml:space="preserve"> įgaliotas darbuotojas vaiko nepamatytų tik pirmą kartą išduo</w:t>
            </w:r>
            <w:r w:rsidR="00BA3F82">
              <w:rPr>
                <w:b w:val="0"/>
                <w:szCs w:val="24"/>
              </w:rPr>
              <w:t>damas</w:t>
            </w:r>
            <w:r w:rsidR="00B86A73">
              <w:rPr>
                <w:b w:val="0"/>
                <w:szCs w:val="24"/>
              </w:rPr>
              <w:t xml:space="preserve"> jam asmens tapatybės kortelę ar pasą (kaip yra ir šiuo metu). Per pirmus 5 vaiko metus asmens dokumentas jam gali būti pakeistas net du kartus.</w:t>
            </w:r>
          </w:p>
        </w:tc>
      </w:tr>
      <w:tr w:rsidR="0025775A" w:rsidRPr="003E34D5" w:rsidTr="002E2C80">
        <w:trPr>
          <w:trHeight w:val="350"/>
        </w:trPr>
        <w:tc>
          <w:tcPr>
            <w:tcW w:w="1800" w:type="dxa"/>
          </w:tcPr>
          <w:p w:rsidR="0025775A" w:rsidRPr="003E34D5" w:rsidRDefault="0025775A" w:rsidP="00D3352D">
            <w:pPr>
              <w:rPr>
                <w:lang w:val="lt-LT"/>
              </w:rPr>
            </w:pPr>
          </w:p>
        </w:tc>
        <w:tc>
          <w:tcPr>
            <w:tcW w:w="6847" w:type="dxa"/>
          </w:tcPr>
          <w:p w:rsidR="00C85653" w:rsidRPr="003E34D5" w:rsidRDefault="00C85653" w:rsidP="00B2775E">
            <w:pPr>
              <w:jc w:val="both"/>
              <w:rPr>
                <w:i/>
                <w:lang w:val="lt-LT"/>
              </w:rPr>
            </w:pPr>
            <w:r w:rsidRPr="003E34D5">
              <w:rPr>
                <w:i/>
                <w:lang w:val="lt-LT"/>
              </w:rPr>
              <w:t xml:space="preserve">2. Dėl keičiamo įstatymo 6 straipsnio 9 dalies. </w:t>
            </w:r>
            <w:r w:rsidRPr="003E34D5">
              <w:rPr>
                <w:lang w:val="lt-LT"/>
              </w:rPr>
              <w:t>Siūlome keičiamo įstatymo 6 straipsnio 9 dalį išdėstyti taip:</w:t>
            </w:r>
          </w:p>
          <w:sdt>
            <w:sdtPr>
              <w:rPr>
                <w:lang w:val="lt-LT"/>
              </w:rPr>
              <w:alias w:val="6 str. 9 d."/>
              <w:tag w:val="part_368bf794afb840c58eed794fa0e858a9"/>
              <w:id w:val="967397563"/>
            </w:sdtPr>
            <w:sdtEndPr/>
            <w:sdtContent>
              <w:p w:rsidR="0051251F" w:rsidRPr="003E34D5" w:rsidRDefault="00F673C9" w:rsidP="00B2775E">
                <w:pPr>
                  <w:jc w:val="both"/>
                  <w:rPr>
                    <w:lang w:val="lt-LT" w:eastAsia="lt-LT"/>
                  </w:rPr>
                </w:pPr>
                <w:sdt>
                  <w:sdtPr>
                    <w:rPr>
                      <w:lang w:val="lt-LT"/>
                    </w:rPr>
                    <w:alias w:val="Numeris"/>
                    <w:tag w:val="nr_368bf794afb840c58eed794fa0e858a9"/>
                    <w:id w:val="-1924397062"/>
                  </w:sdtPr>
                  <w:sdtEndPr/>
                  <w:sdtContent>
                    <w:r w:rsidR="00C85653" w:rsidRPr="003E34D5">
                      <w:rPr>
                        <w:lang w:val="lt-LT"/>
                      </w:rPr>
                      <w:t>„</w:t>
                    </w:r>
                    <w:r w:rsidR="00C85653" w:rsidRPr="003E34D5">
                      <w:rPr>
                        <w:bCs/>
                        <w:lang w:val="lt-LT" w:eastAsia="lt-LT"/>
                      </w:rPr>
                      <w:t>9</w:t>
                    </w:r>
                  </w:sdtContent>
                </w:sdt>
                <w:r w:rsidR="00C85653" w:rsidRPr="003E34D5">
                  <w:rPr>
                    <w:bCs/>
                    <w:lang w:val="lt-LT" w:eastAsia="lt-LT"/>
                  </w:rPr>
                  <w:t>. Užsienio valstybėje esančiam piliečiui asmens tapatybės kortelė, pasas ir laikinas pasas neišduodami, jei piliečiui paskirta Lietuvos Respublikos baudžiamojo proceso kodekse nustatyta kardomoji priemonė – dokumento paėmimas, pilietis turi skolą valstybei arba pilietis yra paieškomas Lietuvos Respublikos teisėsaugos institucijų, išskyrus kai pilietis yra ieškomas kaip dingęs be žinios asmuo.“</w:t>
                </w:r>
              </w:p>
            </w:sdtContent>
          </w:sdt>
          <w:p w:rsidR="00E66A6E" w:rsidRDefault="0051251F" w:rsidP="00B2775E">
            <w:pPr>
              <w:jc w:val="both"/>
              <w:rPr>
                <w:lang w:val="lt-LT"/>
              </w:rPr>
            </w:pPr>
            <w:r w:rsidRPr="003E34D5">
              <w:rPr>
                <w:lang w:val="lt-LT"/>
              </w:rPr>
              <w:t>Pasiūlymą grindžiame šiais argumentais:</w:t>
            </w:r>
          </w:p>
          <w:p w:rsidR="0051251F" w:rsidRPr="00E66A6E" w:rsidRDefault="0051251F" w:rsidP="00B2775E">
            <w:pPr>
              <w:jc w:val="both"/>
              <w:rPr>
                <w:lang w:val="lt-LT"/>
              </w:rPr>
            </w:pPr>
            <w:r w:rsidRPr="003E34D5">
              <w:rPr>
                <w:lang w:val="lt-LT"/>
              </w:rPr>
              <w:t xml:space="preserve">Lietuvos Respublikos diplomatinės atstovybės ir konsulinės įstaigos (toliau – konsulinė įstaiga) susiduria su atvejais, kai užsienio valstybėje esantis pilietis neturi asmens tapatybės kortelės ar paso, nes jie yra paimti Lietuvos Respublikos teisėsaugos institucijų dėl piliečiui paskirtos kardomosios priemonės – dokumentų paėmimo. Taip pat būna atvejų, kai, registruojant piliečio prašymą išduoti ar pakeisti asmens tapatybės kortelę ar pasą, ADIS5 sistemoje  gaunamas pranešimas, kad pilietis yra paieškomas Lietuvos Respublikos teisėsaugos institucijų, o susiekus su pranešime nurodytu atsakingu pareigūnu dažnai išsiaiškinama, kad pilietis paieškomas jo suėmimo ar sulaikymo tikslais, kaip baudžiamojo proceso dalyvis ar dėl prievolių valstybei nevykdymo. Pagal galiojantį įstatymą konsulinis pareigūnas visais išvardytais atvejais neturi teisinio pagrindo atsisakyti priimti piliečio prašymo ar neišduoti piliečiui asmens tapatybės kortelės ar paso. Tokiu būdu susidaro situacija, kai Lietuvos Respublikos teisėsaugos institucijų paieškomi (dažnai – suėmimo ar sulaikymo tikslais) piliečiai laisvai keliauja ar gyvena užsienyje su konsulinių įstaigų išduotais naujais pasais, asmens tapatybės kortelėmis ar laikinais pasais, o piliečiai, kurių asmens </w:t>
            </w:r>
            <w:r w:rsidRPr="003E34D5">
              <w:rPr>
                <w:lang w:val="lt-LT"/>
              </w:rPr>
              <w:lastRenderedPageBreak/>
              <w:t>tapatybės kortelės ar pasai yra paimti pritaikius kardomąją priemonę – dokumento paėmimą, užsienyje netrukdomai gali gauti nauj</w:t>
            </w:r>
            <w:r w:rsidR="003F2185">
              <w:rPr>
                <w:lang w:val="lt-LT"/>
              </w:rPr>
              <w:t xml:space="preserve">us dokumentus. Pažymėtina, kad </w:t>
            </w:r>
            <w:r w:rsidRPr="003E34D5">
              <w:rPr>
                <w:lang w:val="lt-LT"/>
              </w:rPr>
              <w:t>keičiamame įstatyme nustačius, kad išvardytais atvejais piliečiams asmens tapatybės kortelė, pasas ar laikinas negali būti išduodami, piliečio teisė turėti asmens tapatybę ir pilietybę patvirtinantį dokumentą nebūtų atimta, tačiau būtų apribotos tokio dokumento išdavimo vietos – pilietis dėl asmens tapatybės kortelės ar paso išdavimo galėtų kreiptis tik į Migracijos departamentą. Šiuo tikslu užsienyje esantys piliečiai iš konsulinės įstaigos galėtų gauti dokumentą, leidžiantį grįžti į Lietuvos Respubliką – asmens grįžimo pažymėjimą – keičiamo įstatymo 6 straipsnio 15 punkto pagrindu. Tokia nuostata padėtų teisėsaugos institucijoms atlikti joms pavestas funkcijas ir paskatintų piliečius</w:t>
            </w:r>
            <w:r w:rsidRPr="003E34D5">
              <w:rPr>
                <w:color w:val="000000" w:themeColor="text1"/>
                <w:lang w:val="lt-LT"/>
              </w:rPr>
              <w:t xml:space="preserve"> vykdyti turimas prievoles valstybei. Taip pat siūlome apsvarstyti galimybę papildyti asmens tapatybės kortelės, paso ir laikino paso neišdavimo atvejus, įrašant dar vieną pagrindą – esamą piliečio skolą valstybei. Iki keičiamo įstatymo įsigaliojimo išsprendus klausimą dėl informacijos apie piliečių skolos buvimą prieinamumą konsuliniams pareigūnams, tokia nuostata padėtų užtikrinti piliečių prievolių valstybei vykdymą. Pažymėtina, kad išnykus aplinkybėms, dėl kurių asmens tapatybės kortelė, pasas ar laikinas pasas negali būti išduodami (atšaukus piliečio paiešką, jo atžvilgiu panaikinus kardomąją priemonę – dokumento paėmimą ar piliečiui sumokėjus skolą valstybei), pilietis galėtų pakartotinai kreiptis į konsulinę įstaigą dėl asmens tapatybės kortelės, paso ar laikino paso išdavimo.</w:t>
            </w:r>
          </w:p>
          <w:p w:rsidR="0025775A" w:rsidRPr="003E34D5" w:rsidRDefault="0025775A" w:rsidP="0051251F">
            <w:pPr>
              <w:rPr>
                <w:lang w:val="lt-LT" w:eastAsia="lt-LT"/>
              </w:rPr>
            </w:pPr>
          </w:p>
        </w:tc>
        <w:tc>
          <w:tcPr>
            <w:tcW w:w="6521" w:type="dxa"/>
          </w:tcPr>
          <w:p w:rsidR="0025775A" w:rsidRPr="003E34D5" w:rsidRDefault="002A688E" w:rsidP="003210AC">
            <w:pPr>
              <w:pStyle w:val="Pagrindinistekstas2"/>
              <w:spacing w:line="240" w:lineRule="auto"/>
              <w:jc w:val="both"/>
              <w:rPr>
                <w:szCs w:val="24"/>
              </w:rPr>
            </w:pPr>
            <w:r w:rsidRPr="003E34D5">
              <w:rPr>
                <w:szCs w:val="24"/>
              </w:rPr>
              <w:lastRenderedPageBreak/>
              <w:t>A</w:t>
            </w:r>
            <w:r w:rsidR="00666B4E" w:rsidRPr="003E34D5">
              <w:rPr>
                <w:szCs w:val="24"/>
              </w:rPr>
              <w:t>tsižvelgta</w:t>
            </w:r>
            <w:r w:rsidR="00870354" w:rsidRPr="003E34D5">
              <w:rPr>
                <w:szCs w:val="24"/>
              </w:rPr>
              <w:t xml:space="preserve"> iš dalies</w:t>
            </w:r>
            <w:r w:rsidR="00666B4E" w:rsidRPr="003E34D5">
              <w:rPr>
                <w:szCs w:val="24"/>
              </w:rPr>
              <w:t>.</w:t>
            </w:r>
          </w:p>
          <w:p w:rsidR="004D13C6" w:rsidRPr="003E34D5" w:rsidRDefault="004D13C6" w:rsidP="00F51661">
            <w:pPr>
              <w:pStyle w:val="Komentarotekstas"/>
              <w:jc w:val="both"/>
              <w:rPr>
                <w:sz w:val="24"/>
                <w:szCs w:val="24"/>
                <w:lang w:val="lt-LT"/>
              </w:rPr>
            </w:pPr>
            <w:r w:rsidRPr="003E34D5">
              <w:rPr>
                <w:sz w:val="24"/>
                <w:szCs w:val="24"/>
                <w:lang w:val="lt-LT"/>
              </w:rPr>
              <w:t xml:space="preserve">Įstatymo projektas papildytas nuostatomis, pagal kurias asmens dokumentas neišduodamas, jei piliečiui </w:t>
            </w:r>
            <w:r w:rsidRPr="003E34D5">
              <w:rPr>
                <w:bCs/>
                <w:color w:val="000000" w:themeColor="text1"/>
                <w:sz w:val="24"/>
                <w:szCs w:val="24"/>
                <w:lang w:val="lt-LT" w:eastAsia="lt-LT"/>
              </w:rPr>
              <w:t>paskirta Lietuvos Respublikos baudžiamojo proceso kodekse nustatyta kardomoji priemonė – dokumento paėmimas, taip pat nuostatomis, kad užsienyje esančiam piliečiui asmens tapatybės kortelė ir pasas neišduodami ir nekeičiami, jei</w:t>
            </w:r>
            <w:r w:rsidRPr="003E34D5">
              <w:rPr>
                <w:sz w:val="24"/>
                <w:szCs w:val="24"/>
                <w:lang w:val="lt-LT"/>
              </w:rPr>
              <w:t xml:space="preserve"> jis ieškomas Lietuvos Respublikos teisėsaugos institucijų.</w:t>
            </w:r>
          </w:p>
          <w:p w:rsidR="000075C8" w:rsidRPr="003E34D5" w:rsidRDefault="004D13C6" w:rsidP="009214A3">
            <w:pPr>
              <w:jc w:val="both"/>
            </w:pPr>
            <w:r w:rsidRPr="003E34D5">
              <w:rPr>
                <w:lang w:val="lt-LT"/>
              </w:rPr>
              <w:t xml:space="preserve">Tačiau nepritartina </w:t>
            </w:r>
            <w:r w:rsidR="00BA3F82">
              <w:rPr>
                <w:lang w:val="lt-LT"/>
              </w:rPr>
              <w:t>pa</w:t>
            </w:r>
            <w:r w:rsidRPr="003E34D5">
              <w:rPr>
                <w:lang w:val="lt-LT"/>
              </w:rPr>
              <w:t>siūlymui</w:t>
            </w:r>
            <w:r w:rsidR="0051251F" w:rsidRPr="003E34D5">
              <w:rPr>
                <w:lang w:val="lt-LT"/>
              </w:rPr>
              <w:t xml:space="preserve">, kad užsienio valstybėje gyvenančiam piliečiui </w:t>
            </w:r>
            <w:r w:rsidR="003F2185">
              <w:rPr>
                <w:lang w:val="lt-LT"/>
              </w:rPr>
              <w:t xml:space="preserve">asmens tapatybės kortelė ar </w:t>
            </w:r>
            <w:r w:rsidR="0051251F" w:rsidRPr="003E34D5">
              <w:rPr>
                <w:lang w:val="lt-LT"/>
              </w:rPr>
              <w:t>pasas nebūtų išduodamas</w:t>
            </w:r>
            <w:r w:rsidRPr="003E34D5">
              <w:rPr>
                <w:lang w:val="lt-LT"/>
              </w:rPr>
              <w:t xml:space="preserve"> (keičiamas)</w:t>
            </w:r>
            <w:r w:rsidR="0051251F" w:rsidRPr="003E34D5">
              <w:rPr>
                <w:lang w:val="lt-LT"/>
              </w:rPr>
              <w:t>, jei pilietis turi skolų valstybei</w:t>
            </w:r>
            <w:r w:rsidRPr="003E34D5">
              <w:rPr>
                <w:lang w:val="lt-LT"/>
              </w:rPr>
              <w:t xml:space="preserve">. Skola valstybei apima </w:t>
            </w:r>
            <w:r w:rsidR="00BE2E6F" w:rsidRPr="003E34D5">
              <w:rPr>
                <w:lang w:val="lt-LT"/>
              </w:rPr>
              <w:t>mokestinę nepriemoką Lietuvos Respublikos valstybės biudžetui, savivaldybių biudžetams ar fondams, į kuriuos mokamus mokesčius administruoja Valstybinė mokesčių inspekcija</w:t>
            </w:r>
            <w:r w:rsidR="003F2185">
              <w:rPr>
                <w:lang w:val="lt-LT"/>
              </w:rPr>
              <w:t xml:space="preserve">, nepriemoką </w:t>
            </w:r>
            <w:r w:rsidR="00BE2E6F" w:rsidRPr="003E34D5">
              <w:rPr>
                <w:lang w:val="lt-LT"/>
              </w:rPr>
              <w:t>Valstybinio socialinio draudimo fondo biudžetui, nevykdomus įsipareigojimus muitinei arba nesumokėtas Lietuvos Respublikos įstatymų nustatyta tvarka skirtas baudas</w:t>
            </w:r>
            <w:r w:rsidR="00C456D4" w:rsidRPr="003E34D5">
              <w:rPr>
                <w:lang w:val="lt-LT"/>
              </w:rPr>
              <w:t xml:space="preserve">. Tam, kad kiekvienu atveju, kai pilietis kreipiasi dėl asmens tapatybės kortelės ar paso išdavimo ar </w:t>
            </w:r>
            <w:r w:rsidR="00BA3F82">
              <w:rPr>
                <w:lang w:val="lt-LT"/>
              </w:rPr>
              <w:t>pa</w:t>
            </w:r>
            <w:r w:rsidR="00C456D4" w:rsidRPr="003E34D5">
              <w:rPr>
                <w:lang w:val="lt-LT"/>
              </w:rPr>
              <w:t>keitimo, būtų galima nustatyti minėtas aplinkybes, būtina sukurti atitinkamus sisteminius įrankius (Asmens dokumentų išdavimo informacinės sistemos sąsajas su duomenų bazėmis ir registrais, kuriuose fiksuojamos piliečio skolos valstybei</w:t>
            </w:r>
            <w:r w:rsidR="003F2185">
              <w:rPr>
                <w:lang w:val="lt-LT"/>
              </w:rPr>
              <w:t>)</w:t>
            </w:r>
            <w:r w:rsidR="00C456D4" w:rsidRPr="003E34D5">
              <w:rPr>
                <w:lang w:val="lt-LT"/>
              </w:rPr>
              <w:t xml:space="preserve">. </w:t>
            </w:r>
            <w:r w:rsidR="00056C9A">
              <w:rPr>
                <w:lang w:val="lt-LT"/>
              </w:rPr>
              <w:t>A</w:t>
            </w:r>
            <w:r w:rsidR="00C456D4" w:rsidRPr="003E34D5">
              <w:rPr>
                <w:lang w:val="lt-LT"/>
              </w:rPr>
              <w:t xml:space="preserve">bejotina, ar šios sąnaudos nebūtų didesnės nei </w:t>
            </w:r>
            <w:r w:rsidR="003F2185">
              <w:rPr>
                <w:lang w:val="lt-LT"/>
              </w:rPr>
              <w:t>užsienyje gyvenančių i</w:t>
            </w:r>
            <w:r w:rsidR="00BA3F82">
              <w:rPr>
                <w:lang w:val="lt-LT"/>
              </w:rPr>
              <w:t>r</w:t>
            </w:r>
            <w:r w:rsidR="003F2185">
              <w:rPr>
                <w:lang w:val="lt-LT"/>
              </w:rPr>
              <w:t xml:space="preserve"> vengiančių susimokėti skolas </w:t>
            </w:r>
            <w:r w:rsidR="00C456D4" w:rsidRPr="003E34D5">
              <w:rPr>
                <w:lang w:val="lt-LT"/>
              </w:rPr>
              <w:t xml:space="preserve">piliečių nesumokėtų skolų dydis. Be to, abejotina, </w:t>
            </w:r>
            <w:r w:rsidR="003E34D5">
              <w:rPr>
                <w:lang w:val="lt-LT"/>
              </w:rPr>
              <w:t>kad</w:t>
            </w:r>
            <w:r w:rsidR="00C456D4" w:rsidRPr="003E34D5">
              <w:rPr>
                <w:lang w:val="lt-LT"/>
              </w:rPr>
              <w:t xml:space="preserve"> toks ribojimas </w:t>
            </w:r>
            <w:r w:rsidR="00056C9A">
              <w:rPr>
                <w:lang w:val="lt-LT"/>
              </w:rPr>
              <w:t xml:space="preserve">užsienyje gyvenančiam </w:t>
            </w:r>
            <w:r w:rsidR="00C456D4" w:rsidRPr="003E34D5">
              <w:rPr>
                <w:lang w:val="lt-LT"/>
              </w:rPr>
              <w:t xml:space="preserve">piliečiui </w:t>
            </w:r>
            <w:r w:rsidR="003E34D5">
              <w:rPr>
                <w:lang w:val="lt-LT"/>
              </w:rPr>
              <w:t>turėti galiojantį asmens tapatybę ir pilietybę patvirtinantį dokumentą būtų proporcingas siekiamam tiksl</w:t>
            </w:r>
            <w:r w:rsidR="00FA184B">
              <w:rPr>
                <w:lang w:val="lt-LT"/>
              </w:rPr>
              <w:t>ui,</w:t>
            </w:r>
            <w:r w:rsidR="003E34D5">
              <w:rPr>
                <w:lang w:val="lt-LT"/>
              </w:rPr>
              <w:t xml:space="preserve"> tikėtina, kad tai </w:t>
            </w:r>
            <w:r w:rsidR="003E34D5">
              <w:rPr>
                <w:lang w:val="lt-LT"/>
              </w:rPr>
              <w:lastRenderedPageBreak/>
              <w:t>stiprintų piliečio priešiškumą valstybei ir nepa</w:t>
            </w:r>
            <w:r w:rsidR="00B07F18">
              <w:rPr>
                <w:lang w:val="lt-LT"/>
              </w:rPr>
              <w:t>dėtų</w:t>
            </w:r>
            <w:r w:rsidR="003E34D5">
              <w:rPr>
                <w:lang w:val="lt-LT"/>
              </w:rPr>
              <w:t xml:space="preserve"> valstybės siekiui skatinti grįžtamąją migraciją.</w:t>
            </w:r>
          </w:p>
        </w:tc>
      </w:tr>
      <w:tr w:rsidR="0025775A" w:rsidRPr="003E34D5" w:rsidTr="002E2C80">
        <w:trPr>
          <w:trHeight w:val="350"/>
        </w:trPr>
        <w:tc>
          <w:tcPr>
            <w:tcW w:w="1800" w:type="dxa"/>
          </w:tcPr>
          <w:p w:rsidR="0025775A" w:rsidRPr="003E34D5" w:rsidRDefault="0025775A" w:rsidP="00D3352D">
            <w:pPr>
              <w:rPr>
                <w:lang w:val="lt-LT"/>
              </w:rPr>
            </w:pPr>
          </w:p>
        </w:tc>
        <w:tc>
          <w:tcPr>
            <w:tcW w:w="6847" w:type="dxa"/>
          </w:tcPr>
          <w:p w:rsidR="0051251F" w:rsidRPr="003E34D5" w:rsidRDefault="0051251F" w:rsidP="0051251F">
            <w:pPr>
              <w:spacing w:line="259" w:lineRule="auto"/>
              <w:jc w:val="both"/>
              <w:rPr>
                <w:i/>
                <w:color w:val="000000" w:themeColor="text1"/>
                <w:lang w:val="lt-LT"/>
              </w:rPr>
            </w:pPr>
            <w:r w:rsidRPr="003E34D5">
              <w:rPr>
                <w:i/>
                <w:color w:val="000000" w:themeColor="text1"/>
                <w:lang w:val="lt-LT"/>
              </w:rPr>
              <w:t xml:space="preserve">3. Dėl keičiamo įstatymo 6 straipsnio 11 dalies. </w:t>
            </w:r>
            <w:r w:rsidRPr="003E34D5">
              <w:rPr>
                <w:color w:val="000000" w:themeColor="text1"/>
                <w:lang w:val="lt-LT"/>
              </w:rPr>
              <w:t>Siūlome papildyti keičiamo įstatymo 6 straipsnio 11 dalį ir išdėstyti ją taip:</w:t>
            </w:r>
          </w:p>
          <w:sdt>
            <w:sdtPr>
              <w:rPr>
                <w:color w:val="000000" w:themeColor="text1"/>
                <w:lang w:val="lt-LT"/>
              </w:rPr>
              <w:alias w:val="6 str. 11 d."/>
              <w:tag w:val="part_9ff6f12b116344eb9e763912230816bc"/>
              <w:id w:val="1740284032"/>
            </w:sdtPr>
            <w:sdtEndPr/>
            <w:sdtContent>
              <w:p w:rsidR="0051251F" w:rsidRPr="003E34D5" w:rsidRDefault="00F673C9" w:rsidP="0051251F">
                <w:pPr>
                  <w:suppressAutoHyphens/>
                  <w:jc w:val="both"/>
                  <w:textAlignment w:val="baseline"/>
                  <w:rPr>
                    <w:bCs/>
                    <w:color w:val="000000" w:themeColor="text1"/>
                    <w:lang w:val="lt-LT" w:eastAsia="lt-LT"/>
                  </w:rPr>
                </w:pPr>
                <w:sdt>
                  <w:sdtPr>
                    <w:rPr>
                      <w:color w:val="000000" w:themeColor="text1"/>
                      <w:lang w:val="lt-LT"/>
                    </w:rPr>
                    <w:alias w:val="Numeris"/>
                    <w:tag w:val="nr_9ff6f12b116344eb9e763912230816bc"/>
                    <w:id w:val="-547604388"/>
                  </w:sdtPr>
                  <w:sdtEndPr/>
                  <w:sdtContent>
                    <w:r w:rsidR="0051251F" w:rsidRPr="003E34D5">
                      <w:rPr>
                        <w:color w:val="000000" w:themeColor="text1"/>
                        <w:lang w:val="lt-LT"/>
                      </w:rPr>
                      <w:t>„</w:t>
                    </w:r>
                    <w:r w:rsidR="0051251F" w:rsidRPr="003E34D5">
                      <w:rPr>
                        <w:bCs/>
                        <w:color w:val="000000" w:themeColor="text1"/>
                        <w:lang w:val="lt-LT" w:eastAsia="lt-LT"/>
                      </w:rPr>
                      <w:t>11</w:t>
                    </w:r>
                  </w:sdtContent>
                </w:sdt>
                <w:r w:rsidR="0051251F" w:rsidRPr="003E34D5">
                  <w:rPr>
                    <w:bCs/>
                    <w:color w:val="000000" w:themeColor="text1"/>
                    <w:lang w:val="lt-LT" w:eastAsia="lt-LT"/>
                  </w:rPr>
                  <w:t>. Naują asmens tapatybės kortelę ar naują pasą atsiima pilietis arba jo įgaliotas asmuo, kitas teisėtas atstovas arba piliečio rašytiniame prašyme, kurį jis pateikė Migracijos departamentui ar Lietuvos Respublikos konsulinei įstaigai kartu su dokumentais dėl asmens tapatybės kortelės ar paso išdavimo ar keitimo, nurodytas asmuo</w:t>
                </w:r>
                <w:r w:rsidR="0051251F" w:rsidRPr="003E34D5">
                  <w:rPr>
                    <w:bCs/>
                    <w:strike/>
                    <w:color w:val="000000" w:themeColor="text1"/>
                    <w:lang w:val="lt-LT" w:eastAsia="lt-LT"/>
                  </w:rPr>
                  <w:t>, jei šie dokumentai atsiimami Migracijos departamente ar Lietuvos Respublikos konsulinėje įstaigoje</w:t>
                </w:r>
                <w:r w:rsidR="0051251F" w:rsidRPr="003E34D5">
                  <w:rPr>
                    <w:bCs/>
                    <w:color w:val="000000" w:themeColor="text1"/>
                    <w:lang w:val="lt-LT" w:eastAsia="lt-LT"/>
                  </w:rPr>
                  <w:t xml:space="preserve">.“ </w:t>
                </w:r>
              </w:p>
            </w:sdtContent>
          </w:sdt>
          <w:p w:rsidR="0051251F" w:rsidRPr="003E34D5" w:rsidRDefault="0051251F" w:rsidP="0051251F">
            <w:pPr>
              <w:jc w:val="both"/>
              <w:rPr>
                <w:color w:val="000000" w:themeColor="text1"/>
                <w:lang w:val="lt-LT"/>
              </w:rPr>
            </w:pPr>
            <w:r w:rsidRPr="003E34D5">
              <w:rPr>
                <w:color w:val="000000" w:themeColor="text1"/>
                <w:lang w:val="lt-LT"/>
              </w:rPr>
              <w:lastRenderedPageBreak/>
              <w:t>Pasiūlymą grindžiame šiais argumentais:</w:t>
            </w:r>
          </w:p>
          <w:p w:rsidR="0051251F" w:rsidRPr="003E34D5" w:rsidRDefault="0051251F" w:rsidP="0051251F">
            <w:pPr>
              <w:ind w:firstLine="360"/>
              <w:jc w:val="both"/>
              <w:rPr>
                <w:color w:val="000000" w:themeColor="text1"/>
                <w:lang w:val="lt-LT"/>
              </w:rPr>
            </w:pPr>
            <w:r w:rsidRPr="003E34D5">
              <w:rPr>
                <w:color w:val="000000" w:themeColor="text1"/>
                <w:lang w:val="lt-LT"/>
              </w:rPr>
              <w:t xml:space="preserve">Pažymėtina, kad asmens tapatybės kortelės ir pasai užsienyje gali būti atsiimami ir ne konsulinėje įstaigoje, pvz., išvažiuojamųjų konsulinių misijų metu dokumentai gali būti įteikiami misijos vykdymo patalpose arba išsiunčiami  piliečio nurodytu adresu. Siūlome šioje dalyje įtvirtinti bendrą nuostatą dėl dokumento atsiėmimo, kuri apimtų visus galimus dokumentų gavimo vietos atvejus. Kai dokumentai piliečiui siunčiami, Migracijos departamentas ir konsulinės įstaigos, pasirinkdami saugų dokumentų siuntimo būdą, turėtų įvertinti siuntėjo galimybes ir įsipareigojimus užtikrinti dokumentų įteikimą piliečiui, jo teisėtam atstovui ar įgaliotam asmeniui. </w:t>
            </w:r>
          </w:p>
          <w:p w:rsidR="0025775A" w:rsidRPr="003E34D5" w:rsidRDefault="0025775A" w:rsidP="003210AC">
            <w:pPr>
              <w:jc w:val="both"/>
              <w:rPr>
                <w:lang w:val="lt-LT" w:eastAsia="lt-LT"/>
              </w:rPr>
            </w:pPr>
          </w:p>
        </w:tc>
        <w:tc>
          <w:tcPr>
            <w:tcW w:w="6521" w:type="dxa"/>
          </w:tcPr>
          <w:p w:rsidR="00161A01" w:rsidRDefault="00161A01" w:rsidP="000075C8">
            <w:pPr>
              <w:pStyle w:val="Pagrindinistekstas2"/>
              <w:spacing w:line="240" w:lineRule="auto"/>
              <w:jc w:val="both"/>
              <w:rPr>
                <w:b w:val="0"/>
                <w:szCs w:val="24"/>
              </w:rPr>
            </w:pPr>
            <w:r>
              <w:rPr>
                <w:szCs w:val="24"/>
              </w:rPr>
              <w:lastRenderedPageBreak/>
              <w:t>Atsižvelgta iš dalies</w:t>
            </w:r>
            <w:r w:rsidR="0051251F" w:rsidRPr="003E34D5">
              <w:rPr>
                <w:szCs w:val="24"/>
              </w:rPr>
              <w:t>.</w:t>
            </w:r>
          </w:p>
          <w:p w:rsidR="00161A01" w:rsidRPr="00161A01" w:rsidRDefault="00161A01" w:rsidP="000075C8">
            <w:pPr>
              <w:pStyle w:val="Pagrindinistekstas2"/>
              <w:spacing w:line="240" w:lineRule="auto"/>
              <w:jc w:val="both"/>
              <w:rPr>
                <w:b w:val="0"/>
                <w:szCs w:val="24"/>
              </w:rPr>
            </w:pPr>
            <w:r>
              <w:rPr>
                <w:b w:val="0"/>
                <w:szCs w:val="24"/>
              </w:rPr>
              <w:t>Asmens dokumentų išrašymo centrui</w:t>
            </w:r>
            <w:r w:rsidR="003938C3">
              <w:rPr>
                <w:b w:val="0"/>
                <w:szCs w:val="24"/>
              </w:rPr>
              <w:t xml:space="preserve"> prie Lietuvos Respublikos vidaus reikalų ministerijos</w:t>
            </w:r>
            <w:r>
              <w:rPr>
                <w:b w:val="0"/>
                <w:szCs w:val="24"/>
              </w:rPr>
              <w:t xml:space="preserve"> patvirtinus, kad įmanoma atlikti sisteminius pakeitimus, kurie sudarytų galimybę ant voko, kuriame siunčiama</w:t>
            </w:r>
            <w:r w:rsidR="002D2306">
              <w:rPr>
                <w:b w:val="0"/>
                <w:szCs w:val="24"/>
              </w:rPr>
              <w:t xml:space="preserve"> įteikti nauja</w:t>
            </w:r>
            <w:r>
              <w:rPr>
                <w:b w:val="0"/>
                <w:szCs w:val="24"/>
              </w:rPr>
              <w:t xml:space="preserve"> asmens tapatybės kortelė ar pasas,</w:t>
            </w:r>
            <w:r w:rsidR="002D2306">
              <w:rPr>
                <w:b w:val="0"/>
                <w:szCs w:val="24"/>
              </w:rPr>
              <w:t xml:space="preserve"> kaip adresatą</w:t>
            </w:r>
            <w:r>
              <w:rPr>
                <w:b w:val="0"/>
                <w:szCs w:val="24"/>
              </w:rPr>
              <w:t xml:space="preserve"> nurodyti arba </w:t>
            </w:r>
            <w:r w:rsidR="002D2306">
              <w:rPr>
                <w:b w:val="0"/>
                <w:szCs w:val="24"/>
              </w:rPr>
              <w:t>patį pilietį</w:t>
            </w:r>
            <w:r>
              <w:rPr>
                <w:b w:val="0"/>
                <w:szCs w:val="24"/>
              </w:rPr>
              <w:t>, arba prašymą</w:t>
            </w:r>
            <w:r w:rsidR="002D2306">
              <w:rPr>
                <w:b w:val="0"/>
                <w:szCs w:val="24"/>
              </w:rPr>
              <w:t xml:space="preserve"> išduoti (pakeisti) asmens dokumentą</w:t>
            </w:r>
            <w:r>
              <w:rPr>
                <w:b w:val="0"/>
                <w:szCs w:val="24"/>
              </w:rPr>
              <w:t xml:space="preserve"> pateikusį </w:t>
            </w:r>
            <w:r w:rsidR="002D2306">
              <w:rPr>
                <w:b w:val="0"/>
                <w:szCs w:val="24"/>
              </w:rPr>
              <w:t xml:space="preserve">piliečio </w:t>
            </w:r>
            <w:r>
              <w:rPr>
                <w:b w:val="0"/>
                <w:szCs w:val="24"/>
              </w:rPr>
              <w:t>teisėtą atstovą, arba kitą piliečio prašyme nuro</w:t>
            </w:r>
            <w:r w:rsidR="002D2306">
              <w:rPr>
                <w:b w:val="0"/>
                <w:szCs w:val="24"/>
              </w:rPr>
              <w:t xml:space="preserve">dytą asmenį, į Įstatymo projektą papildomai įrašyta nuostata, kad siuntimo būdu įteikiamas naujas </w:t>
            </w:r>
            <w:r w:rsidR="00426553">
              <w:rPr>
                <w:b w:val="0"/>
                <w:szCs w:val="24"/>
              </w:rPr>
              <w:lastRenderedPageBreak/>
              <w:t xml:space="preserve">asmens </w:t>
            </w:r>
            <w:r w:rsidR="002D2306">
              <w:rPr>
                <w:b w:val="0"/>
                <w:szCs w:val="24"/>
              </w:rPr>
              <w:t xml:space="preserve">dokumentas gali būti įteiktas ir </w:t>
            </w:r>
            <w:r>
              <w:rPr>
                <w:b w:val="0"/>
                <w:szCs w:val="24"/>
              </w:rPr>
              <w:t>kit</w:t>
            </w:r>
            <w:r w:rsidR="002D2306">
              <w:rPr>
                <w:b w:val="0"/>
                <w:szCs w:val="24"/>
              </w:rPr>
              <w:t>am</w:t>
            </w:r>
            <w:r>
              <w:rPr>
                <w:b w:val="0"/>
                <w:szCs w:val="24"/>
              </w:rPr>
              <w:t xml:space="preserve"> piliečio prašyme dėl naujo asmens dokumento </w:t>
            </w:r>
            <w:r w:rsidR="002D2306">
              <w:rPr>
                <w:b w:val="0"/>
                <w:szCs w:val="24"/>
              </w:rPr>
              <w:t>išdavimo įrašytam asmeniui</w:t>
            </w:r>
            <w:r>
              <w:rPr>
                <w:b w:val="0"/>
                <w:szCs w:val="24"/>
              </w:rPr>
              <w:t>.</w:t>
            </w:r>
          </w:p>
          <w:p w:rsidR="00B86A73" w:rsidRDefault="00B86A73" w:rsidP="000075C8">
            <w:pPr>
              <w:pStyle w:val="Pagrindinistekstas2"/>
              <w:spacing w:line="240" w:lineRule="auto"/>
              <w:jc w:val="both"/>
              <w:rPr>
                <w:b w:val="0"/>
                <w:szCs w:val="24"/>
              </w:rPr>
            </w:pPr>
            <w:r>
              <w:rPr>
                <w:b w:val="0"/>
                <w:szCs w:val="24"/>
              </w:rPr>
              <w:t xml:space="preserve">Tuo atveju, jei piliečiui išrašyta nauja asmens tapatybės kortelė ar pasas įteikiamas Migracijos departamente ar </w:t>
            </w:r>
            <w:r w:rsidR="00B2775E">
              <w:rPr>
                <w:b w:val="0"/>
                <w:szCs w:val="24"/>
              </w:rPr>
              <w:t>Lietuvos R</w:t>
            </w:r>
            <w:r w:rsidR="00FA184B">
              <w:rPr>
                <w:b w:val="0"/>
                <w:szCs w:val="24"/>
              </w:rPr>
              <w:t xml:space="preserve">espublikos </w:t>
            </w:r>
            <w:r>
              <w:rPr>
                <w:b w:val="0"/>
                <w:szCs w:val="24"/>
              </w:rPr>
              <w:t xml:space="preserve">konsulinėje įstaigoje, Įstatymo projekte nustatomi </w:t>
            </w:r>
            <w:r w:rsidR="00FA184B">
              <w:rPr>
                <w:b w:val="0"/>
                <w:szCs w:val="24"/>
              </w:rPr>
              <w:t>visi</w:t>
            </w:r>
            <w:r w:rsidR="001F1FB3">
              <w:rPr>
                <w:b w:val="0"/>
                <w:szCs w:val="24"/>
              </w:rPr>
              <w:t xml:space="preserve"> alternatyvūs išrašytą asmens dokumentą galintys atsiimti subjektai</w:t>
            </w:r>
            <w:r w:rsidR="00FA184B">
              <w:rPr>
                <w:b w:val="0"/>
                <w:szCs w:val="24"/>
              </w:rPr>
              <w:t>, kurie nurodyti ir galiojančiame Asmens tapatybės kortelės ir paso įstatyme</w:t>
            </w:r>
            <w:r w:rsidR="001F1FB3">
              <w:rPr>
                <w:b w:val="0"/>
                <w:szCs w:val="24"/>
              </w:rPr>
              <w:t>: pats pilietis, jo teisėtas atstovas (pvz., vaiko – vienas iš tėvų, įtėvių, globotinio – globėjas), įgaliotas asmuo (turintis teisės aktų nustatyta tvarka sudarytą įgaliojimą) ar kitas asmuo, kurį pateikdamas dokumentus dėl asmens tapatybės kortelės ar paso išdavimo (keitimo) prašyme nurodė</w:t>
            </w:r>
            <w:r w:rsidR="00FA184B">
              <w:rPr>
                <w:b w:val="0"/>
                <w:szCs w:val="24"/>
              </w:rPr>
              <w:t xml:space="preserve"> pilietis</w:t>
            </w:r>
            <w:r w:rsidR="00995BDA">
              <w:rPr>
                <w:b w:val="0"/>
                <w:szCs w:val="24"/>
              </w:rPr>
              <w:t>. Jei išrašytą as</w:t>
            </w:r>
            <w:r w:rsidR="00426553">
              <w:rPr>
                <w:b w:val="0"/>
                <w:szCs w:val="24"/>
              </w:rPr>
              <w:t>mens dokumentą įteikia</w:t>
            </w:r>
            <w:r w:rsidR="00995BDA">
              <w:rPr>
                <w:b w:val="0"/>
                <w:szCs w:val="24"/>
              </w:rPr>
              <w:t xml:space="preserve"> Migracijos departamento ar konsulinės įstaigos darbuotojas, net jei įteikimas fiziškai vykdomas ne Migracijos departamento ar </w:t>
            </w:r>
            <w:r w:rsidR="00FA184B">
              <w:rPr>
                <w:b w:val="0"/>
                <w:szCs w:val="24"/>
              </w:rPr>
              <w:t xml:space="preserve">Lietuvos Respublikos </w:t>
            </w:r>
            <w:r w:rsidR="00995BDA">
              <w:rPr>
                <w:b w:val="0"/>
                <w:szCs w:val="24"/>
              </w:rPr>
              <w:t>konsulinės įstaigos patalpose</w:t>
            </w:r>
            <w:r w:rsidR="002D2306">
              <w:rPr>
                <w:b w:val="0"/>
                <w:szCs w:val="24"/>
              </w:rPr>
              <w:t xml:space="preserve"> (pvz., laisvės atėmimo įstaigose ar konsulinės misijos metu)</w:t>
            </w:r>
            <w:r w:rsidR="00995BDA">
              <w:rPr>
                <w:b w:val="0"/>
                <w:szCs w:val="24"/>
              </w:rPr>
              <w:t xml:space="preserve">, </w:t>
            </w:r>
            <w:r w:rsidR="001F45AA">
              <w:rPr>
                <w:b w:val="0"/>
                <w:szCs w:val="24"/>
              </w:rPr>
              <w:t>tai laikytina</w:t>
            </w:r>
            <w:r w:rsidR="00995BDA">
              <w:rPr>
                <w:b w:val="0"/>
                <w:szCs w:val="24"/>
              </w:rPr>
              <w:t xml:space="preserve"> įteikimu Migracijos departamente ar </w:t>
            </w:r>
            <w:r w:rsidR="003938C3">
              <w:rPr>
                <w:b w:val="0"/>
                <w:szCs w:val="24"/>
              </w:rPr>
              <w:t xml:space="preserve">Lietuvos Respublikos </w:t>
            </w:r>
            <w:r w:rsidR="00995BDA">
              <w:rPr>
                <w:b w:val="0"/>
                <w:szCs w:val="24"/>
              </w:rPr>
              <w:t>konsulinėje įstaigoje.</w:t>
            </w:r>
          </w:p>
          <w:p w:rsidR="00995BDA" w:rsidRDefault="00995BDA" w:rsidP="000075C8">
            <w:pPr>
              <w:pStyle w:val="Pagrindinistekstas2"/>
              <w:spacing w:line="240" w:lineRule="auto"/>
              <w:jc w:val="both"/>
              <w:rPr>
                <w:b w:val="0"/>
                <w:szCs w:val="24"/>
              </w:rPr>
            </w:pPr>
            <w:r>
              <w:rPr>
                <w:b w:val="0"/>
                <w:szCs w:val="24"/>
              </w:rPr>
              <w:t>Jei išrašytas asmens dokumentas piliečiui išsiunčiamas saugiu būdu, naują asmens tapatybės kortelę ar pasą įteiktų pristatymo paslaugos teikėjo parinktas asmuo (kurjeris)</w:t>
            </w:r>
            <w:r w:rsidR="00177E6B">
              <w:rPr>
                <w:b w:val="0"/>
                <w:szCs w:val="24"/>
              </w:rPr>
              <w:t xml:space="preserve">. </w:t>
            </w:r>
            <w:r w:rsidR="00B07F18">
              <w:rPr>
                <w:b w:val="0"/>
                <w:szCs w:val="24"/>
              </w:rPr>
              <w:t>Siekiant</w:t>
            </w:r>
            <w:r w:rsidR="00177E6B">
              <w:rPr>
                <w:b w:val="0"/>
                <w:szCs w:val="24"/>
              </w:rPr>
              <w:t xml:space="preserve"> sumažint</w:t>
            </w:r>
            <w:r w:rsidR="00B07F18">
              <w:rPr>
                <w:b w:val="0"/>
                <w:szCs w:val="24"/>
              </w:rPr>
              <w:t>i</w:t>
            </w:r>
            <w:r w:rsidR="00177E6B">
              <w:rPr>
                <w:b w:val="0"/>
                <w:szCs w:val="24"/>
              </w:rPr>
              <w:t xml:space="preserve"> nauj</w:t>
            </w:r>
            <w:r w:rsidR="00B07F18">
              <w:rPr>
                <w:b w:val="0"/>
                <w:szCs w:val="24"/>
              </w:rPr>
              <w:t>o</w:t>
            </w:r>
            <w:r w:rsidR="00177E6B">
              <w:rPr>
                <w:b w:val="0"/>
                <w:szCs w:val="24"/>
              </w:rPr>
              <w:t xml:space="preserve"> asmens dokument</w:t>
            </w:r>
            <w:r w:rsidR="00B07F18">
              <w:rPr>
                <w:b w:val="0"/>
                <w:szCs w:val="24"/>
              </w:rPr>
              <w:t>o</w:t>
            </w:r>
            <w:r w:rsidR="00177E6B">
              <w:rPr>
                <w:b w:val="0"/>
                <w:szCs w:val="24"/>
              </w:rPr>
              <w:t xml:space="preserve"> nepatek</w:t>
            </w:r>
            <w:r w:rsidR="00B07F18">
              <w:rPr>
                <w:b w:val="0"/>
                <w:szCs w:val="24"/>
              </w:rPr>
              <w:t>imo</w:t>
            </w:r>
            <w:r w:rsidR="00177E6B">
              <w:rPr>
                <w:b w:val="0"/>
                <w:szCs w:val="24"/>
              </w:rPr>
              <w:t xml:space="preserve"> jo turėtojui (</w:t>
            </w:r>
            <w:r w:rsidR="001F45AA">
              <w:rPr>
                <w:b w:val="0"/>
                <w:szCs w:val="24"/>
              </w:rPr>
              <w:t xml:space="preserve">t. y. </w:t>
            </w:r>
            <w:r w:rsidR="00426553">
              <w:rPr>
                <w:b w:val="0"/>
                <w:szCs w:val="24"/>
              </w:rPr>
              <w:t>nepakenki</w:t>
            </w:r>
            <w:r w:rsidR="00B07F18">
              <w:rPr>
                <w:b w:val="0"/>
                <w:szCs w:val="24"/>
              </w:rPr>
              <w:t>mo</w:t>
            </w:r>
            <w:r w:rsidR="00426553">
              <w:rPr>
                <w:b w:val="0"/>
                <w:szCs w:val="24"/>
              </w:rPr>
              <w:t xml:space="preserve"> saugiam</w:t>
            </w:r>
            <w:r w:rsidR="00177E6B">
              <w:rPr>
                <w:b w:val="0"/>
                <w:szCs w:val="24"/>
              </w:rPr>
              <w:t xml:space="preserve"> dokumen</w:t>
            </w:r>
            <w:r w:rsidR="002D2306">
              <w:rPr>
                <w:b w:val="0"/>
                <w:szCs w:val="24"/>
              </w:rPr>
              <w:t>to įteikimo principui)</w:t>
            </w:r>
            <w:r w:rsidR="00B07F18">
              <w:rPr>
                <w:b w:val="0"/>
                <w:szCs w:val="24"/>
              </w:rPr>
              <w:t xml:space="preserve"> riziką</w:t>
            </w:r>
            <w:r w:rsidR="002D2306">
              <w:rPr>
                <w:b w:val="0"/>
                <w:szCs w:val="24"/>
              </w:rPr>
              <w:t>, Įstatymo projektu siekiama nustatyti tokį teisinį reguliavimą</w:t>
            </w:r>
            <w:r w:rsidR="00177E6B">
              <w:rPr>
                <w:b w:val="0"/>
                <w:szCs w:val="24"/>
              </w:rPr>
              <w:t>, kad kurjeris turėtų teisę įteikti asmens dokumentą tik adresatui – ant voko nurodytam asmeniui. Kiti atvejai</w:t>
            </w:r>
            <w:r w:rsidR="002D2306">
              <w:rPr>
                <w:b w:val="0"/>
                <w:szCs w:val="24"/>
              </w:rPr>
              <w:t>,</w:t>
            </w:r>
            <w:r w:rsidR="00177E6B">
              <w:rPr>
                <w:b w:val="0"/>
                <w:szCs w:val="24"/>
              </w:rPr>
              <w:t xml:space="preserve"> kai kurjeris galėtų įteikti išrašytą asmens dokumentą ne ant voko nurodytam gavėjui</w:t>
            </w:r>
            <w:r w:rsidR="002D2306">
              <w:rPr>
                <w:b w:val="0"/>
                <w:szCs w:val="24"/>
              </w:rPr>
              <w:t xml:space="preserve"> (pvz., įgaliotam asmeniui</w:t>
            </w:r>
            <w:r w:rsidR="00FA184B">
              <w:rPr>
                <w:b w:val="0"/>
                <w:szCs w:val="24"/>
              </w:rPr>
              <w:t>, pateikus</w:t>
            </w:r>
            <w:r w:rsidR="00B07F18">
              <w:rPr>
                <w:b w:val="0"/>
                <w:szCs w:val="24"/>
              </w:rPr>
              <w:t>iam</w:t>
            </w:r>
            <w:r w:rsidR="00FA184B">
              <w:rPr>
                <w:b w:val="0"/>
                <w:szCs w:val="24"/>
              </w:rPr>
              <w:t xml:space="preserve"> įgaliojimą</w:t>
            </w:r>
            <w:r w:rsidR="002D2306">
              <w:rPr>
                <w:b w:val="0"/>
                <w:szCs w:val="24"/>
              </w:rPr>
              <w:t>)</w:t>
            </w:r>
            <w:r w:rsidR="00177E6B">
              <w:rPr>
                <w:b w:val="0"/>
                <w:szCs w:val="24"/>
              </w:rPr>
              <w:t>, neturėtų būti laikomi saugiu dokumento įt</w:t>
            </w:r>
            <w:r w:rsidR="001F45AA">
              <w:rPr>
                <w:b w:val="0"/>
                <w:szCs w:val="24"/>
              </w:rPr>
              <w:t>eikimu</w:t>
            </w:r>
            <w:r w:rsidR="00FA184B">
              <w:rPr>
                <w:b w:val="0"/>
                <w:szCs w:val="24"/>
              </w:rPr>
              <w:t>, nes</w:t>
            </w:r>
            <w:r w:rsidR="001F45AA">
              <w:rPr>
                <w:b w:val="0"/>
                <w:szCs w:val="24"/>
              </w:rPr>
              <w:t xml:space="preserve"> </w:t>
            </w:r>
            <w:r w:rsidR="00FA184B">
              <w:rPr>
                <w:b w:val="0"/>
                <w:szCs w:val="24"/>
              </w:rPr>
              <w:t>a</w:t>
            </w:r>
            <w:r w:rsidR="001F45AA">
              <w:rPr>
                <w:b w:val="0"/>
                <w:szCs w:val="24"/>
              </w:rPr>
              <w:t>bejotina, kad kurjeris sugebėtų tinkamai įvertinti įgaliojimą, todėl Įstatymo projekte nesiūloma nustatyti tokios galimybės.</w:t>
            </w:r>
            <w:r w:rsidR="00227D87">
              <w:rPr>
                <w:b w:val="0"/>
                <w:szCs w:val="24"/>
              </w:rPr>
              <w:t xml:space="preserve"> </w:t>
            </w:r>
          </w:p>
          <w:p w:rsidR="000075C8" w:rsidRPr="003E34D5" w:rsidRDefault="00227D87">
            <w:pPr>
              <w:pStyle w:val="Pagrindinistekstas2"/>
              <w:spacing w:line="240" w:lineRule="auto"/>
              <w:jc w:val="both"/>
              <w:rPr>
                <w:b w:val="0"/>
                <w:szCs w:val="24"/>
              </w:rPr>
            </w:pPr>
            <w:r w:rsidRPr="008D3703">
              <w:rPr>
                <w:b w:val="0"/>
                <w:szCs w:val="24"/>
              </w:rPr>
              <w:t>Derinant Įstatymo projektą darb</w:t>
            </w:r>
            <w:r w:rsidR="00B07F18">
              <w:rPr>
                <w:b w:val="0"/>
                <w:szCs w:val="24"/>
              </w:rPr>
              <w:t>o</w:t>
            </w:r>
            <w:r w:rsidRPr="008D3703">
              <w:rPr>
                <w:b w:val="0"/>
                <w:szCs w:val="24"/>
              </w:rPr>
              <w:t xml:space="preserve"> tvarka, </w:t>
            </w:r>
            <w:r w:rsidR="00B07F18">
              <w:rPr>
                <w:b w:val="0"/>
                <w:szCs w:val="24"/>
              </w:rPr>
              <w:t>Lietuvos Respublikos r</w:t>
            </w:r>
            <w:r w:rsidRPr="008D3703">
              <w:rPr>
                <w:b w:val="0"/>
                <w:szCs w:val="24"/>
              </w:rPr>
              <w:t xml:space="preserve">yšių reguliavimo tarnybos ir </w:t>
            </w:r>
            <w:r w:rsidR="003938C3">
              <w:rPr>
                <w:b w:val="0"/>
                <w:szCs w:val="24"/>
              </w:rPr>
              <w:t>Lietuvos Respublikos t</w:t>
            </w:r>
            <w:r w:rsidRPr="008D3703">
              <w:rPr>
                <w:b w:val="0"/>
                <w:szCs w:val="24"/>
              </w:rPr>
              <w:t xml:space="preserve">eisingumo ministerijos atstovai pritarė reikalavimui, kad saugiu būdu </w:t>
            </w:r>
            <w:r w:rsidRPr="008D3703">
              <w:rPr>
                <w:b w:val="0"/>
                <w:szCs w:val="24"/>
              </w:rPr>
              <w:lastRenderedPageBreak/>
              <w:t>išsiųstas asmens dokumentas būtų įteikiamas tik ant voko nurodytam adresatui asmeniškai.</w:t>
            </w:r>
          </w:p>
        </w:tc>
      </w:tr>
      <w:tr w:rsidR="00AB01AA" w:rsidRPr="003E34D5" w:rsidTr="002E2C80">
        <w:trPr>
          <w:trHeight w:val="350"/>
        </w:trPr>
        <w:tc>
          <w:tcPr>
            <w:tcW w:w="1800" w:type="dxa"/>
          </w:tcPr>
          <w:p w:rsidR="00AB01AA" w:rsidRPr="003E34D5" w:rsidRDefault="00AB01AA" w:rsidP="00D3352D">
            <w:pPr>
              <w:rPr>
                <w:lang w:val="lt-LT"/>
              </w:rPr>
            </w:pPr>
          </w:p>
        </w:tc>
        <w:tc>
          <w:tcPr>
            <w:tcW w:w="6847" w:type="dxa"/>
          </w:tcPr>
          <w:p w:rsidR="00B44D16" w:rsidRPr="003E34D5" w:rsidRDefault="00B44D16" w:rsidP="00B44D16">
            <w:pPr>
              <w:spacing w:line="259" w:lineRule="auto"/>
              <w:jc w:val="both"/>
              <w:rPr>
                <w:i/>
                <w:lang w:val="lt-LT"/>
              </w:rPr>
            </w:pPr>
            <w:r w:rsidRPr="003E34D5">
              <w:rPr>
                <w:i/>
                <w:lang w:val="lt-LT"/>
              </w:rPr>
              <w:t>4.</w:t>
            </w:r>
            <w:r w:rsidR="00192A16">
              <w:rPr>
                <w:i/>
                <w:lang w:val="lt-LT"/>
              </w:rPr>
              <w:t xml:space="preserve"> </w:t>
            </w:r>
            <w:r w:rsidRPr="003E34D5">
              <w:rPr>
                <w:i/>
                <w:lang w:val="lt-LT"/>
              </w:rPr>
              <w:t xml:space="preserve">Dėl keičiamo įstatymo 6 straipsnio 12 dalies. </w:t>
            </w:r>
            <w:r w:rsidRPr="003E34D5">
              <w:rPr>
                <w:lang w:val="lt-LT"/>
              </w:rPr>
              <w:t>Siūlome papildyti keičiamo įstatymo 6 straipsnio 12 dalį ir išdėstyti ją taip:</w:t>
            </w:r>
          </w:p>
          <w:sdt>
            <w:sdtPr>
              <w:rPr>
                <w:lang w:val="lt-LT"/>
              </w:rPr>
              <w:alias w:val="6 str. 12 d."/>
              <w:tag w:val="part_8027052029e34b799b716f1d74c0c1c5"/>
              <w:id w:val="800808703"/>
            </w:sdtPr>
            <w:sdtEndPr/>
            <w:sdtContent>
              <w:p w:rsidR="00B44D16" w:rsidRPr="003E34D5" w:rsidRDefault="00F673C9" w:rsidP="00B44D16">
                <w:pPr>
                  <w:suppressAutoHyphens/>
                  <w:jc w:val="both"/>
                  <w:textAlignment w:val="baseline"/>
                  <w:rPr>
                    <w:lang w:val="lt-LT"/>
                  </w:rPr>
                </w:pPr>
                <w:sdt>
                  <w:sdtPr>
                    <w:rPr>
                      <w:lang w:val="lt-LT"/>
                    </w:rPr>
                    <w:alias w:val="Numeris"/>
                    <w:tag w:val="nr_8027052029e34b799b716f1d74c0c1c5"/>
                    <w:id w:val="-1191826159"/>
                  </w:sdtPr>
                  <w:sdtEndPr/>
                  <w:sdtContent>
                    <w:r w:rsidR="00B44D16" w:rsidRPr="003E34D5">
                      <w:rPr>
                        <w:lang w:val="lt-LT"/>
                      </w:rPr>
                      <w:t>„</w:t>
                    </w:r>
                    <w:r w:rsidR="00B44D16" w:rsidRPr="003E34D5">
                      <w:rPr>
                        <w:bCs/>
                        <w:lang w:val="lt-LT" w:eastAsia="lt-LT"/>
                      </w:rPr>
                      <w:t>12</w:t>
                    </w:r>
                  </w:sdtContent>
                </w:sdt>
                <w:r w:rsidR="00B44D16" w:rsidRPr="003E34D5">
                  <w:rPr>
                    <w:bCs/>
                    <w:lang w:val="lt-LT" w:eastAsia="lt-LT"/>
                  </w:rPr>
                  <w:t>. Vidaus reikalų ministro ir užsienio reikalų ministro nustatytomis sąlygomis ir tvarka piliečiui jo pageidavimu ir lėšomis nauja</w:t>
                </w:r>
                <w:r w:rsidR="00B44D16" w:rsidRPr="003E34D5">
                  <w:rPr>
                    <w:bCs/>
                    <w:i/>
                    <w:iCs/>
                    <w:lang w:val="lt-LT" w:eastAsia="lt-LT"/>
                  </w:rPr>
                  <w:t xml:space="preserve"> </w:t>
                </w:r>
                <w:r w:rsidR="00B44D16" w:rsidRPr="003E34D5">
                  <w:rPr>
                    <w:bCs/>
                    <w:lang w:val="lt-LT" w:eastAsia="lt-LT"/>
                  </w:rPr>
                  <w:t xml:space="preserve">asmens tapatybės kortelė ar naujas pasas gali būti išsiųsti </w:t>
                </w:r>
                <w:r w:rsidR="00B44D16" w:rsidRPr="003E34D5">
                  <w:rPr>
                    <w:b/>
                    <w:bCs/>
                    <w:lang w:val="lt-LT" w:eastAsia="lt-LT"/>
                  </w:rPr>
                  <w:t>Migracijos departamento ar Lietuvos Respublikos konsulinės įstaigos pasirinktu</w:t>
                </w:r>
                <w:r w:rsidR="00B44D16" w:rsidRPr="003E34D5">
                  <w:rPr>
                    <w:bCs/>
                    <w:lang w:val="lt-LT" w:eastAsia="lt-LT"/>
                  </w:rPr>
                  <w:t xml:space="preserve"> saugiu būdu. </w:t>
                </w:r>
                <w:r w:rsidR="00B44D16" w:rsidRPr="003E34D5">
                  <w:rPr>
                    <w:bCs/>
                    <w:strike/>
                    <w:lang w:val="lt-LT" w:eastAsia="lt-LT"/>
                  </w:rPr>
                  <w:t xml:space="preserve">, įteikiant juos piliečiui, jo globėjui ar kitam teisėtam atstovui asmeniškai. </w:t>
                </w:r>
                <w:r w:rsidR="00B44D16" w:rsidRPr="003E34D5">
                  <w:rPr>
                    <w:bCs/>
                    <w:lang w:val="lt-LT" w:eastAsia="lt-LT"/>
                  </w:rPr>
                  <w:t xml:space="preserve">Saugiu būdu išsiųstos asmens tapatybės kortelės ar paso paskelbimo galiojančiu tvarką nustato vidaus reikalų ministras ir užsienio reikalų ministras.“ </w:t>
                </w:r>
              </w:p>
            </w:sdtContent>
          </w:sdt>
          <w:p w:rsidR="00B44D16" w:rsidRPr="003E34D5" w:rsidRDefault="00B44D16" w:rsidP="00B44D16">
            <w:pPr>
              <w:jc w:val="both"/>
              <w:rPr>
                <w:lang w:val="lt-LT"/>
              </w:rPr>
            </w:pPr>
            <w:r w:rsidRPr="003E34D5">
              <w:rPr>
                <w:lang w:val="lt-LT"/>
              </w:rPr>
              <w:t>Pasiūlymą grindžiame šiais argumentais:</w:t>
            </w:r>
          </w:p>
          <w:p w:rsidR="00B44D16" w:rsidRPr="003E34D5" w:rsidRDefault="00B44D16" w:rsidP="00B44D16">
            <w:pPr>
              <w:ind w:firstLine="360"/>
              <w:jc w:val="both"/>
              <w:rPr>
                <w:lang w:val="lt-LT"/>
              </w:rPr>
            </w:pPr>
            <w:r w:rsidRPr="003E34D5">
              <w:rPr>
                <w:lang w:val="lt-LT"/>
              </w:rPr>
              <w:t xml:space="preserve">Pritarus pasiūlymui dėl keičiamo įstatymo 6 straipsnio 11 dalies formuluotės, atitinkamai reikėtų pakoreguoti 6 straipsnio 12 dalį – šiuo atveju nuostata dėl dokumento įteikimo taptų pertekline.  </w:t>
            </w:r>
          </w:p>
          <w:p w:rsidR="00B44D16" w:rsidRPr="003E34D5" w:rsidRDefault="00B44D16" w:rsidP="00B44D16">
            <w:pPr>
              <w:ind w:firstLine="360"/>
              <w:jc w:val="both"/>
              <w:rPr>
                <w:lang w:val="lt-LT"/>
              </w:rPr>
            </w:pPr>
            <w:r w:rsidRPr="003E34D5">
              <w:rPr>
                <w:lang w:val="lt-LT"/>
              </w:rPr>
              <w:t>Taip pat siūlome šioje nuostatoje nurodyti institucijas, kurios turėtų teisę parinkti saugų dokumentų siuntimo būdą – Migracijos departamentą ir konsulines įstaigas. Šiuo metu konsulinės įstaigos asmens tapatybę ir pilietybę patvirtinančius dokumentus siunčia užsienyje gyvenantiems piliečiams vadovaudamosi Lietuvos Respublikos asmens tapatybės kortelės ir paso įstatymo 6 straipsnio 9 dalimi, kuri nustato, kad „</w:t>
            </w:r>
            <w:r w:rsidRPr="003E34D5">
              <w:rPr>
                <w:i/>
                <w:lang w:val="lt-LT"/>
              </w:rPr>
              <w:t>užsienio valstybėje gyvenančiam piliečiui jo pageidavimu ir lėšomis Lietuvos Respublikos konsulinė įstaiga naują asmens tapatybės kortelę ar naują pasą gali išsiųsti konsulinės įstaigos pasirinktu saugiu būdu</w:t>
            </w:r>
            <w:r w:rsidRPr="003E34D5">
              <w:rPr>
                <w:lang w:val="lt-LT"/>
              </w:rPr>
              <w:t xml:space="preserve">“. Tokia nuostata leidžia kiekvienai konsulinei įstaigai, įvertinus konkrečios užsienio valstybės specifiką, įvairių vietos pašto siuntimo būdų saugumą, operatyvumą ir kainą, pasirinkti optimalų dokumentų siuntimo būdą. Pasikeitus bet kuriai iš išvardytų aplinkybių, konsulinė įstaiga gali operatyviai reaguoti,  pakeisti savo pasirinkimą ir taip užtikrina sklandų dokumentų siuntimą. Manytume, kad keičiamame įstatyme turi būti išlaikyta nuostata dėl galimybės kiekvienai konsulinei įstaigai priimti atskirą sprendimą dėl dokumentų siuntimo būdo. </w:t>
            </w:r>
          </w:p>
          <w:p w:rsidR="00B44D16" w:rsidRPr="005F7EA7" w:rsidRDefault="00B44D16" w:rsidP="00B44D16">
            <w:pPr>
              <w:pStyle w:val="Pagrindinistekstas"/>
              <w:ind w:firstLine="360"/>
              <w:rPr>
                <w:color w:val="auto"/>
              </w:rPr>
            </w:pPr>
            <w:r w:rsidRPr="005F7EA7">
              <w:rPr>
                <w:color w:val="auto"/>
              </w:rPr>
              <w:lastRenderedPageBreak/>
              <w:t xml:space="preserve">Be to, keičiamo įstatymo 6 straipsnio 12 dalyje siūloma nustatyti, kad „Vidaus reikalų ministro ir užsienio reikalų ministro nustatytomis sąlygomis ir tvarka piliečiui &lt;...&gt; nauja asmens tapatybės kortelė ar naujas pasas gali būti išsiųsti saugiu būdu &lt;...&gt;. </w:t>
            </w:r>
            <w:r w:rsidRPr="005F7EA7">
              <w:rPr>
                <w:i/>
                <w:iCs/>
                <w:color w:val="auto"/>
              </w:rPr>
              <w:t>Saugiu būdu išsiųstos asmens tapatybės kortelės ar paso paskelbimo tvarką nustato vidaus reikalų ministras ir užsienio reikalų ministras</w:t>
            </w:r>
            <w:r w:rsidRPr="005F7EA7">
              <w:rPr>
                <w:color w:val="auto"/>
              </w:rPr>
              <w:t xml:space="preserve">“.  Atkreiptinas dėmesys, kad projekto aiškinamajame rašte nurodoma, kad „pilietis, kuriam nauja asmens tapatybės kortelė ar pasas bus išsiųsti saugiu būdu, gavęs šiuos dokumentus </w:t>
            </w:r>
            <w:r w:rsidRPr="005F7EA7">
              <w:rPr>
                <w:i/>
                <w:iCs/>
                <w:color w:val="auto"/>
              </w:rPr>
              <w:t>turės pats paskelbti juos galiojančiais</w:t>
            </w:r>
            <w:r w:rsidRPr="005F7EA7">
              <w:rPr>
                <w:color w:val="auto"/>
              </w:rPr>
              <w:t xml:space="preserve"> &lt;...&gt;. Tokiu atveju pakeista asmens tapatybės kortelė ar pakeistas pasas turėtų automatiškai negalioti nuo naujos asmens tapatybės kortelės ar paso paskelbimo galiojančiu momento &lt;...&gt;“.  Tai iš esmės reiškia, kad pagal keičiamą įstatymą piliečio pareiga paskelbti asmens tapatybės kortelę ar pasą (toliau – asmens dokumentai) galiojančiais būtų nustatyta ne įstatyme, bet įstatymo įgyvendinamajame  teisės akte –  vidaus reikalų ministro ir užsienio reikalų ministro patvirtintame tvarkos apraše. Šiame kontekste pažymėtina, kad pagal keičiamo įstatymo 6 straipsnio 13 dalį piliečiui, kuriam asmens dokumentai būtų išsiųsti saugiu būdu, nekiltų pareiga pateikti keičiamus dokumentus, taigi toks pilietis iš esmės kurį laiką galėtų naudotis dviem asmens dokumentais. Be to, piliečiui, nepaskelbusiam saugiu būdu gautų asmens dokumentų galiojančiais, kiltų administracinė atsakomybė pagal Administracinių nusižengimų kodeksą. Atsižvelgiant į šias aplinkybes ir į tai, kad pagal Konstitucinio Teismo doktriną su asmens teisėmis ir pareigomis susijęs teisinis reguliavimas turi būti nustatytas įstatymu, manome, kad piliečio pareiga paskelbti saugiu būdu gautus asmens dokumentus galiojančiais turi būti įtvirtinta keičiamame įstatyme.</w:t>
            </w:r>
          </w:p>
          <w:p w:rsidR="00AB01AA" w:rsidRPr="003E34D5" w:rsidRDefault="00AB01AA" w:rsidP="00AF52F1">
            <w:pPr>
              <w:jc w:val="both"/>
              <w:rPr>
                <w:lang w:val="lt-LT"/>
              </w:rPr>
            </w:pPr>
          </w:p>
        </w:tc>
        <w:tc>
          <w:tcPr>
            <w:tcW w:w="6521" w:type="dxa"/>
          </w:tcPr>
          <w:p w:rsidR="00872927" w:rsidRDefault="00B44D16" w:rsidP="008D5D0C">
            <w:pPr>
              <w:pStyle w:val="Pagrindinistekstas2"/>
              <w:spacing w:line="240" w:lineRule="auto"/>
              <w:jc w:val="both"/>
            </w:pPr>
            <w:r w:rsidRPr="003E34D5">
              <w:lastRenderedPageBreak/>
              <w:t>Atsižvelgta iš dalies.</w:t>
            </w:r>
          </w:p>
          <w:p w:rsidR="002C3B33" w:rsidRPr="002C3B33" w:rsidRDefault="002C3B33" w:rsidP="008D5D0C">
            <w:pPr>
              <w:pStyle w:val="Pagrindinistekstas2"/>
              <w:spacing w:line="240" w:lineRule="auto"/>
              <w:jc w:val="both"/>
              <w:rPr>
                <w:b w:val="0"/>
              </w:rPr>
            </w:pPr>
            <w:r>
              <w:rPr>
                <w:b w:val="0"/>
              </w:rPr>
              <w:t>Įstatymo projekto 6 straipsnio 12 dalis papildyta įraš</w:t>
            </w:r>
            <w:r w:rsidR="00B07F18">
              <w:rPr>
                <w:b w:val="0"/>
              </w:rPr>
              <w:t>ius</w:t>
            </w:r>
            <w:r>
              <w:rPr>
                <w:b w:val="0"/>
              </w:rPr>
              <w:t>, kad išrašyto dokumento saugų išsiuntimo būdą pasirenka Migracijos departamentas ar Lietuvos Respublikos konsulinė įstaiga.</w:t>
            </w:r>
          </w:p>
          <w:p w:rsidR="00D6551D" w:rsidRDefault="00192A16" w:rsidP="00426553">
            <w:pPr>
              <w:pStyle w:val="Pagrindinistekstas2"/>
              <w:spacing w:line="240" w:lineRule="auto"/>
              <w:jc w:val="both"/>
              <w:rPr>
                <w:b w:val="0"/>
              </w:rPr>
            </w:pPr>
            <w:r>
              <w:rPr>
                <w:b w:val="0"/>
              </w:rPr>
              <w:t xml:space="preserve">Atsižvelgiant į </w:t>
            </w:r>
            <w:r w:rsidR="002C3B33">
              <w:rPr>
                <w:b w:val="0"/>
              </w:rPr>
              <w:t>derinimo pažymo</w:t>
            </w:r>
            <w:r>
              <w:rPr>
                <w:b w:val="0"/>
              </w:rPr>
              <w:t>s</w:t>
            </w:r>
            <w:r w:rsidR="002C3B33">
              <w:rPr>
                <w:b w:val="0"/>
              </w:rPr>
              <w:t xml:space="preserve"> 3 punkt</w:t>
            </w:r>
            <w:r>
              <w:rPr>
                <w:b w:val="0"/>
              </w:rPr>
              <w:t>e</w:t>
            </w:r>
            <w:r w:rsidR="002C3B33">
              <w:rPr>
                <w:b w:val="0"/>
              </w:rPr>
              <w:t xml:space="preserve"> išdėstyt</w:t>
            </w:r>
            <w:r>
              <w:rPr>
                <w:b w:val="0"/>
              </w:rPr>
              <w:t>us nepritarimo argumentus</w:t>
            </w:r>
            <w:r w:rsidR="002C3B33">
              <w:rPr>
                <w:b w:val="0"/>
              </w:rPr>
              <w:t xml:space="preserve"> </w:t>
            </w:r>
            <w:r w:rsidR="00B07F18">
              <w:rPr>
                <w:b w:val="0"/>
                <w:szCs w:val="24"/>
              </w:rPr>
              <w:t xml:space="preserve">Lietuvos Respublikos </w:t>
            </w:r>
            <w:r w:rsidR="00B07F18">
              <w:rPr>
                <w:b w:val="0"/>
              </w:rPr>
              <w:t>u</w:t>
            </w:r>
            <w:r w:rsidR="00161A01">
              <w:rPr>
                <w:b w:val="0"/>
              </w:rPr>
              <w:t xml:space="preserve">žsienio reikalų ministerijos </w:t>
            </w:r>
            <w:r w:rsidR="002C3B33">
              <w:rPr>
                <w:b w:val="0"/>
              </w:rPr>
              <w:t>pasiūlymui</w:t>
            </w:r>
            <w:r w:rsidR="00D6551D">
              <w:rPr>
                <w:b w:val="0"/>
              </w:rPr>
              <w:t xml:space="preserve">, </w:t>
            </w:r>
            <w:r w:rsidR="00161A01">
              <w:rPr>
                <w:b w:val="0"/>
              </w:rPr>
              <w:t>Įstatymo projekto 6 straipsni</w:t>
            </w:r>
            <w:r w:rsidR="00426553">
              <w:rPr>
                <w:b w:val="0"/>
              </w:rPr>
              <w:t>o 12 dalies nuostata, kurioje išvard</w:t>
            </w:r>
            <w:r w:rsidR="00B07F18">
              <w:rPr>
                <w:b w:val="0"/>
              </w:rPr>
              <w:t>y</w:t>
            </w:r>
            <w:r w:rsidR="00426553">
              <w:rPr>
                <w:b w:val="0"/>
              </w:rPr>
              <w:t>ta, kam gali būti įteikiamas saugiu būdu siunčiamas asmens dokumentas, nėra perteklinė</w:t>
            </w:r>
            <w:r w:rsidR="00D6551D">
              <w:rPr>
                <w:b w:val="0"/>
              </w:rPr>
              <w:t>.</w:t>
            </w:r>
          </w:p>
          <w:p w:rsidR="008F33DF" w:rsidRDefault="006021A4" w:rsidP="00426553">
            <w:pPr>
              <w:pStyle w:val="Pagrindinistekstas2"/>
              <w:spacing w:line="240" w:lineRule="auto"/>
              <w:jc w:val="both"/>
              <w:rPr>
                <w:b w:val="0"/>
              </w:rPr>
            </w:pPr>
            <w:r>
              <w:rPr>
                <w:b w:val="0"/>
              </w:rPr>
              <w:t>Tobulinant asmens dokumentų išdavimo procesus</w:t>
            </w:r>
            <w:r w:rsidR="00AE50E7">
              <w:rPr>
                <w:b w:val="0"/>
              </w:rPr>
              <w:t xml:space="preserve">, ateityje gali būti įdiegta daugiau alternatyvių galimybių aktyvuoti saugiu būdu piliečiui </w:t>
            </w:r>
            <w:r w:rsidR="00543218">
              <w:rPr>
                <w:b w:val="0"/>
              </w:rPr>
              <w:t xml:space="preserve">atsiųstą asmens dokumentą (pats asmuo, naudodamasis elektroninės atpažinties priemone, siuntimo paslaugos teikėjas, per sistemų sąsajas pažymėjęs įteiktu asmens dokumentą, Migracijos departamento darbuotojas, gavęs informaciją apie asmens dokumento įteikimą ar kt.), todėl siūloma Įstatymo projekte nenustatyti konkrečių normų apie saugiu būdu išsiųsto asmens dokumento paskelbimą galiojančiu, bet pavesti vidaus reikalų ministrui ir užsienio reikalų ministrui nustatyti saugiu būdu išsiųstos asmens tapatybės kortelės ir paso paskelbimo galiojančiais tvarką. </w:t>
            </w:r>
          </w:p>
          <w:p w:rsidR="00472F33" w:rsidRPr="00D6551D" w:rsidRDefault="008F33DF" w:rsidP="00426553">
            <w:pPr>
              <w:pStyle w:val="Pagrindinistekstas2"/>
              <w:spacing w:line="240" w:lineRule="auto"/>
              <w:jc w:val="both"/>
              <w:rPr>
                <w:b w:val="0"/>
                <w:color w:val="C00000"/>
                <w:szCs w:val="24"/>
              </w:rPr>
            </w:pPr>
            <w:r>
              <w:rPr>
                <w:b w:val="0"/>
              </w:rPr>
              <w:t>Atkreiptinas dėmesys, kad galimybė pačiam piliečiui paskelbti asmens tapatybės kortelę ar pasą galiojančiu</w:t>
            </w:r>
            <w:r w:rsidR="005F7EA7">
              <w:rPr>
                <w:b w:val="0"/>
              </w:rPr>
              <w:t>, jei tokia būtų nustatyta, galėtų būti tik viena iš kelių alternatyvių galimybių, o ne piliečio pareiga, todėl manytina, kad teisinis reguliavimas poįstatyminiame teisės akte būtų tinkamas ir pakankamas.</w:t>
            </w:r>
          </w:p>
        </w:tc>
      </w:tr>
      <w:tr w:rsidR="007C6EFF" w:rsidRPr="003E34D5" w:rsidTr="002E2C80">
        <w:trPr>
          <w:trHeight w:val="350"/>
        </w:trPr>
        <w:tc>
          <w:tcPr>
            <w:tcW w:w="1800" w:type="dxa"/>
          </w:tcPr>
          <w:p w:rsidR="007C6EFF" w:rsidRPr="003E34D5" w:rsidRDefault="007C6EFF" w:rsidP="00AF1D20">
            <w:pPr>
              <w:rPr>
                <w:lang w:val="lt-LT"/>
              </w:rPr>
            </w:pPr>
          </w:p>
        </w:tc>
        <w:tc>
          <w:tcPr>
            <w:tcW w:w="6847" w:type="dxa"/>
          </w:tcPr>
          <w:p w:rsidR="00B44D16" w:rsidRPr="00FA184B" w:rsidRDefault="00B44D16" w:rsidP="00FA184B">
            <w:pPr>
              <w:pStyle w:val="Pagrindinistekstas"/>
              <w:numPr>
                <w:ilvl w:val="0"/>
                <w:numId w:val="13"/>
              </w:numPr>
              <w:rPr>
                <w:i/>
                <w:color w:val="000000" w:themeColor="text1"/>
              </w:rPr>
            </w:pPr>
            <w:r w:rsidRPr="003E34D5">
              <w:rPr>
                <w:i/>
                <w:color w:val="000000" w:themeColor="text1"/>
              </w:rPr>
              <w:t>Dėl paso ar asmens tapatybės kortelės dublikato reglamentavimo galimybės</w:t>
            </w:r>
          </w:p>
          <w:p w:rsidR="00B44D16" w:rsidRPr="003E34D5" w:rsidRDefault="00B44D16" w:rsidP="00B44D16">
            <w:pPr>
              <w:pStyle w:val="Pagrindinistekstas"/>
              <w:ind w:firstLine="360"/>
              <w:rPr>
                <w:color w:val="000000" w:themeColor="text1"/>
              </w:rPr>
            </w:pPr>
            <w:r w:rsidRPr="003E34D5">
              <w:rPr>
                <w:color w:val="000000" w:themeColor="text1"/>
              </w:rPr>
              <w:t xml:space="preserve">Siūlytume apsvarstyti galimybę keičiamame įstatyme reglamentuoti paso dublikato išdavimą. Tai galėtų būti dokumentas, identiškas prarastajam, kuriame skirtųsi tik  dokumento išdavimo datos ir numerio įrašai. Kiti paso dublikate įrašomi duomenys, </w:t>
            </w:r>
            <w:r w:rsidRPr="003E34D5">
              <w:rPr>
                <w:color w:val="000000" w:themeColor="text1"/>
              </w:rPr>
              <w:lastRenderedPageBreak/>
              <w:t>įskaitant biometrinius duomenis ir dokumento galiojimo terminą, turėtų būti identiški duomenims prarastame dokumente. Paso dublikatas galėtų būti išduodamas užsienyje esančiam piliečiui vietoj prarasto paso, kai nėra galimybės nuskaityti piliečio biometrinių duomenų – veido atvaizdo ir pirštų antspaudų, pvz., kai konsulinėje įstaigoje yra galimybė nustatyti piliečio asmens tapatybę, tačiau joje nėra biometrijos nuskaitymui reikalingos įrangos. Pažymėtina, kad Belgija, nuo 2014 m. reglamentavusi pasų dublikatų išdavimą, vertina šį dokumentą kaip svarbų savo piliečių, praradusių asmens tapatybę ir piliety</w:t>
            </w:r>
            <w:r w:rsidR="00B663E4">
              <w:rPr>
                <w:color w:val="000000" w:themeColor="text1"/>
              </w:rPr>
              <w:t xml:space="preserve">bę patvirtinančius dokumentus, </w:t>
            </w:r>
            <w:r w:rsidRPr="003E34D5">
              <w:rPr>
                <w:color w:val="000000" w:themeColor="text1"/>
              </w:rPr>
              <w:t xml:space="preserve">kelionių užsienyje palengvinimą ir asmens tapatybės dokumentų administravimo optimizavimą ir yra pasirengusi pasidalyti gerąja praktika. </w:t>
            </w:r>
          </w:p>
          <w:p w:rsidR="00B44D16" w:rsidRPr="003E34D5" w:rsidRDefault="00B44D16" w:rsidP="00B44D16">
            <w:pPr>
              <w:pStyle w:val="Pagrindinistekstas"/>
              <w:ind w:firstLine="360"/>
              <w:rPr>
                <w:color w:val="000000" w:themeColor="text1"/>
              </w:rPr>
            </w:pPr>
            <w:r w:rsidRPr="003E34D5">
              <w:rPr>
                <w:color w:val="000000" w:themeColor="text1"/>
              </w:rPr>
              <w:t>Kita svarstytina dublikato teisinio reglamentavimo priežastis galėtų būti užsienyje keliaujančių piliečių poreikis turėti daugiau nei vieną pasą, kai užsienio valstybės riboja asmenų atvykimą, atsižvelgiant į ankstesnes jų keliones, pvz., piliečiui, pase turinčiam Izraelio vizą, gali būti ribojamas atvykimas į Libaną, Iraną,  Kuveitą, kt. Šiuo atveju būtų tikslinga įvertinti JAV dublikatų išdavimo praktiką.</w:t>
            </w:r>
          </w:p>
          <w:p w:rsidR="007C6EFF" w:rsidRPr="003E34D5" w:rsidRDefault="00B44D16" w:rsidP="009214A3">
            <w:pPr>
              <w:pStyle w:val="Pagrindinistekstas"/>
              <w:ind w:firstLine="360"/>
            </w:pPr>
            <w:r w:rsidRPr="003E34D5">
              <w:rPr>
                <w:color w:val="000000" w:themeColor="text1"/>
              </w:rPr>
              <w:t>Manytume, kad paso dublikato išdavimas galėtų tapti svarbiu piliečių kelionių užsienyje palengvinimu ir kartu nesudarytų esminės papildomos administracinės naštos atsakingoms Lietuvos Respublikos institucijoms.</w:t>
            </w:r>
          </w:p>
        </w:tc>
        <w:tc>
          <w:tcPr>
            <w:tcW w:w="6521" w:type="dxa"/>
          </w:tcPr>
          <w:p w:rsidR="00C023CB" w:rsidRDefault="00D575E5" w:rsidP="00DA7E25">
            <w:pPr>
              <w:pStyle w:val="Pagrindinistekstas2"/>
              <w:spacing w:line="240" w:lineRule="auto"/>
              <w:jc w:val="both"/>
              <w:rPr>
                <w:bCs/>
                <w:szCs w:val="24"/>
              </w:rPr>
            </w:pPr>
            <w:r>
              <w:rPr>
                <w:bCs/>
                <w:szCs w:val="24"/>
              </w:rPr>
              <w:lastRenderedPageBreak/>
              <w:t>Neatsižvelgta.</w:t>
            </w:r>
          </w:p>
          <w:p w:rsidR="001A3DAA" w:rsidRDefault="00573F7B" w:rsidP="00573F7B">
            <w:pPr>
              <w:pStyle w:val="Pagrindinistekstas2"/>
              <w:spacing w:line="240" w:lineRule="auto"/>
              <w:jc w:val="both"/>
              <w:rPr>
                <w:b w:val="0"/>
                <w:bCs/>
                <w:szCs w:val="24"/>
              </w:rPr>
            </w:pPr>
            <w:r>
              <w:rPr>
                <w:b w:val="0"/>
                <w:bCs/>
                <w:szCs w:val="24"/>
              </w:rPr>
              <w:t>Paso</w:t>
            </w:r>
            <w:r w:rsidR="00C24E29">
              <w:rPr>
                <w:b w:val="0"/>
                <w:bCs/>
                <w:szCs w:val="24"/>
              </w:rPr>
              <w:t xml:space="preserve"> </w:t>
            </w:r>
            <w:r w:rsidR="001A3DAA">
              <w:rPr>
                <w:b w:val="0"/>
                <w:bCs/>
                <w:szCs w:val="24"/>
              </w:rPr>
              <w:t>dublikato (antro paso</w:t>
            </w:r>
            <w:r>
              <w:rPr>
                <w:b w:val="0"/>
                <w:bCs/>
                <w:szCs w:val="24"/>
              </w:rPr>
              <w:t>) išdavimas</w:t>
            </w:r>
            <w:r w:rsidR="00B606B5">
              <w:rPr>
                <w:b w:val="0"/>
                <w:bCs/>
                <w:szCs w:val="24"/>
              </w:rPr>
              <w:t xml:space="preserve"> pareikalautų </w:t>
            </w:r>
            <w:r>
              <w:rPr>
                <w:b w:val="0"/>
                <w:bCs/>
                <w:szCs w:val="24"/>
              </w:rPr>
              <w:t xml:space="preserve">Asmens dokumentų informacinės sistemos ir Lietuvos Respublikos gyventojų registro pertvarkymų ir turėtų įtakos visų asmens duomenis tvarkančių registrų ir valstybės informacinių sistemų bei elektroninių paslaugų veiklai, nes lygiagrečiai reikėtų užtikrinti ir </w:t>
            </w:r>
            <w:r>
              <w:rPr>
                <w:b w:val="0"/>
                <w:bCs/>
                <w:szCs w:val="24"/>
              </w:rPr>
              <w:lastRenderedPageBreak/>
              <w:t>palaikyti dviejų pasų duomenų perdavimą ir tvarkymą. Tam reikėtų atitinkamai pertvarkyti visų registrų ir valstybės informacinių sistemų, kurie gauna Gyventojų registro duomenis, technologines sąsajas ir pritaikyti pačias sistemas dokumento pasirinkimui iš dviejų, o tam reik</w:t>
            </w:r>
            <w:r w:rsidR="00B07F18">
              <w:rPr>
                <w:b w:val="0"/>
                <w:bCs/>
                <w:szCs w:val="24"/>
              </w:rPr>
              <w:t>i</w:t>
            </w:r>
            <w:r>
              <w:rPr>
                <w:b w:val="0"/>
                <w:bCs/>
                <w:szCs w:val="24"/>
              </w:rPr>
              <w:t>a papildom</w:t>
            </w:r>
            <w:r w:rsidR="00B07F18">
              <w:rPr>
                <w:b w:val="0"/>
                <w:bCs/>
                <w:szCs w:val="24"/>
              </w:rPr>
              <w:t>ų</w:t>
            </w:r>
            <w:r>
              <w:rPr>
                <w:b w:val="0"/>
                <w:bCs/>
                <w:szCs w:val="24"/>
              </w:rPr>
              <w:t xml:space="preserve"> lėš</w:t>
            </w:r>
            <w:r w:rsidR="00B07F18">
              <w:rPr>
                <w:b w:val="0"/>
                <w:bCs/>
                <w:szCs w:val="24"/>
              </w:rPr>
              <w:t>ų</w:t>
            </w:r>
            <w:r w:rsidR="00B606B5">
              <w:rPr>
                <w:b w:val="0"/>
                <w:bCs/>
                <w:szCs w:val="24"/>
              </w:rPr>
              <w:t xml:space="preserve">. </w:t>
            </w:r>
          </w:p>
          <w:p w:rsidR="00573F7B" w:rsidRPr="00D575E5" w:rsidRDefault="001A3DAA">
            <w:pPr>
              <w:pStyle w:val="Pagrindinistekstas2"/>
              <w:spacing w:line="240" w:lineRule="auto"/>
              <w:jc w:val="both"/>
              <w:rPr>
                <w:b w:val="0"/>
                <w:bCs/>
                <w:szCs w:val="24"/>
              </w:rPr>
            </w:pPr>
            <w:r>
              <w:rPr>
                <w:b w:val="0"/>
                <w:bCs/>
                <w:szCs w:val="24"/>
              </w:rPr>
              <w:t>Pažymėtina, kad į</w:t>
            </w:r>
            <w:r w:rsidR="00F224A0">
              <w:rPr>
                <w:b w:val="0"/>
                <w:bCs/>
                <w:szCs w:val="24"/>
              </w:rPr>
              <w:t xml:space="preserve"> </w:t>
            </w:r>
            <w:r w:rsidR="00573F7B">
              <w:rPr>
                <w:b w:val="0"/>
                <w:bCs/>
                <w:szCs w:val="24"/>
              </w:rPr>
              <w:t xml:space="preserve">Įstatymo projektą </w:t>
            </w:r>
            <w:r w:rsidR="00F224A0">
              <w:rPr>
                <w:b w:val="0"/>
                <w:bCs/>
                <w:szCs w:val="24"/>
              </w:rPr>
              <w:t>įtraukiamos nuostatos, susijusios su teisinių prielaidų grįžimo dokumentui išduoti per Asmens dokumentų išdavimo informacinę sistemą sudarymu</w:t>
            </w:r>
            <w:r w:rsidR="00FA184B">
              <w:rPr>
                <w:b w:val="0"/>
                <w:bCs/>
                <w:szCs w:val="24"/>
              </w:rPr>
              <w:t xml:space="preserve">, </w:t>
            </w:r>
            <w:r w:rsidR="00C24E29">
              <w:rPr>
                <w:b w:val="0"/>
                <w:bCs/>
                <w:szCs w:val="24"/>
              </w:rPr>
              <w:t>o</w:t>
            </w:r>
            <w:r w:rsidR="00F224A0">
              <w:rPr>
                <w:b w:val="0"/>
                <w:bCs/>
                <w:szCs w:val="24"/>
              </w:rPr>
              <w:t xml:space="preserve"> šio pasiūlymo įgyvendinimas tai</w:t>
            </w:r>
            <w:r w:rsidR="00573F7B">
              <w:rPr>
                <w:b w:val="0"/>
                <w:bCs/>
                <w:szCs w:val="24"/>
              </w:rPr>
              <w:t>p pat reikalauja papildomų lėšų</w:t>
            </w:r>
            <w:r w:rsidR="00F224A0">
              <w:rPr>
                <w:b w:val="0"/>
                <w:bCs/>
                <w:szCs w:val="24"/>
              </w:rPr>
              <w:t>. Papildomų lėšų reikalauja ir Įstatymo projektu siūlomos nustatyti galimybės išrašytą asmens tapatybės kortelę ir pasą išsiųsti piliečiui saugiu būdu, įgyvendinimas</w:t>
            </w:r>
            <w:r w:rsidR="00052A77">
              <w:rPr>
                <w:b w:val="0"/>
                <w:bCs/>
                <w:szCs w:val="24"/>
              </w:rPr>
              <w:t>.</w:t>
            </w:r>
            <w:r>
              <w:rPr>
                <w:b w:val="0"/>
                <w:bCs/>
                <w:szCs w:val="24"/>
              </w:rPr>
              <w:t xml:space="preserve"> </w:t>
            </w:r>
            <w:r w:rsidR="00052A77">
              <w:rPr>
                <w:b w:val="0"/>
                <w:bCs/>
                <w:szCs w:val="24"/>
              </w:rPr>
              <w:t>Šiuo metu nėra žinomas antro paso turėjimo poreikio mastas, todėl galimybės išduoti piliečiui antrą pasą</w:t>
            </w:r>
            <w:r w:rsidR="00B663E4">
              <w:rPr>
                <w:b w:val="0"/>
                <w:bCs/>
                <w:szCs w:val="24"/>
              </w:rPr>
              <w:t xml:space="preserve"> nustatymas jau šiame Įstatymo projekte</w:t>
            </w:r>
            <w:r w:rsidR="00C24E29">
              <w:rPr>
                <w:b w:val="0"/>
                <w:bCs/>
                <w:szCs w:val="24"/>
              </w:rPr>
              <w:t xml:space="preserve"> </w:t>
            </w:r>
            <w:r w:rsidR="00052A77">
              <w:rPr>
                <w:b w:val="0"/>
                <w:bCs/>
                <w:szCs w:val="24"/>
              </w:rPr>
              <w:t>galėtų būti vertinamas</w:t>
            </w:r>
            <w:r w:rsidR="00C24E29">
              <w:rPr>
                <w:b w:val="0"/>
                <w:bCs/>
                <w:szCs w:val="24"/>
              </w:rPr>
              <w:t xml:space="preserve"> kaip neproporcinga siekiamam tikslui finansinė ir administracinė našta</w:t>
            </w:r>
            <w:r w:rsidR="00FA184B">
              <w:rPr>
                <w:b w:val="0"/>
                <w:bCs/>
                <w:szCs w:val="24"/>
              </w:rPr>
              <w:t xml:space="preserve"> valstybės biudžetui</w:t>
            </w:r>
            <w:r w:rsidR="00C24E29">
              <w:rPr>
                <w:b w:val="0"/>
                <w:bCs/>
                <w:szCs w:val="24"/>
              </w:rPr>
              <w:t>.</w:t>
            </w:r>
            <w:r w:rsidR="00052A77">
              <w:rPr>
                <w:b w:val="0"/>
                <w:bCs/>
                <w:szCs w:val="24"/>
              </w:rPr>
              <w:t xml:space="preserve"> </w:t>
            </w:r>
            <w:r>
              <w:rPr>
                <w:b w:val="0"/>
                <w:bCs/>
                <w:szCs w:val="24"/>
              </w:rPr>
              <w:t>V</w:t>
            </w:r>
            <w:r w:rsidR="00543218">
              <w:rPr>
                <w:b w:val="0"/>
                <w:bCs/>
                <w:szCs w:val="24"/>
              </w:rPr>
              <w:t>idaus reikalų ministerija</w:t>
            </w:r>
            <w:r>
              <w:rPr>
                <w:b w:val="0"/>
                <w:bCs/>
                <w:szCs w:val="24"/>
              </w:rPr>
              <w:t xml:space="preserve"> </w:t>
            </w:r>
            <w:r w:rsidR="00543218">
              <w:rPr>
                <w:b w:val="0"/>
                <w:bCs/>
                <w:szCs w:val="24"/>
              </w:rPr>
              <w:t xml:space="preserve">toliau vertins antro paso išdavimo tikslingumą, galimybes, rizikas ir spręs, ar tikslinga </w:t>
            </w:r>
            <w:r>
              <w:rPr>
                <w:b w:val="0"/>
                <w:bCs/>
                <w:szCs w:val="24"/>
              </w:rPr>
              <w:t xml:space="preserve">šiuo klausimu </w:t>
            </w:r>
            <w:r w:rsidR="00B07F18">
              <w:rPr>
                <w:b w:val="0"/>
                <w:bCs/>
                <w:szCs w:val="24"/>
              </w:rPr>
              <w:t>konsultuotis</w:t>
            </w:r>
            <w:r>
              <w:rPr>
                <w:b w:val="0"/>
                <w:bCs/>
                <w:szCs w:val="24"/>
              </w:rPr>
              <w:t xml:space="preserve"> su visuomene</w:t>
            </w:r>
            <w:r w:rsidR="00543218">
              <w:rPr>
                <w:b w:val="0"/>
                <w:bCs/>
                <w:szCs w:val="24"/>
              </w:rPr>
              <w:t>.</w:t>
            </w:r>
          </w:p>
        </w:tc>
      </w:tr>
    </w:tbl>
    <w:p w:rsidR="00CA431B" w:rsidRPr="003E34D5" w:rsidRDefault="00CA431B" w:rsidP="001F7C2B">
      <w:pPr>
        <w:pStyle w:val="Porat"/>
        <w:tabs>
          <w:tab w:val="clear" w:pos="4153"/>
          <w:tab w:val="clear" w:pos="8306"/>
        </w:tabs>
        <w:jc w:val="center"/>
        <w:rPr>
          <w:sz w:val="22"/>
          <w:szCs w:val="22"/>
        </w:rPr>
      </w:pPr>
    </w:p>
    <w:sectPr w:rsidR="00CA431B" w:rsidRPr="003E34D5" w:rsidSect="002E2F88">
      <w:headerReference w:type="even" r:id="rId8"/>
      <w:headerReference w:type="default" r:id="rId9"/>
      <w:pgSz w:w="16838" w:h="11906" w:orient="landscape" w:code="9"/>
      <w:pgMar w:top="851" w:right="851" w:bottom="993"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3C9" w:rsidRDefault="00F673C9">
      <w:r>
        <w:separator/>
      </w:r>
    </w:p>
  </w:endnote>
  <w:endnote w:type="continuationSeparator" w:id="0">
    <w:p w:rsidR="00F673C9" w:rsidRDefault="00F6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3C9" w:rsidRDefault="00F673C9">
      <w:r>
        <w:separator/>
      </w:r>
    </w:p>
  </w:footnote>
  <w:footnote w:type="continuationSeparator" w:id="0">
    <w:p w:rsidR="00F673C9" w:rsidRDefault="00F6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FF" w:rsidRDefault="007C6E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6EFF" w:rsidRDefault="007C6EF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EFF" w:rsidRDefault="007C6E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14A3">
      <w:rPr>
        <w:rStyle w:val="Puslapionumeris"/>
        <w:noProof/>
      </w:rPr>
      <w:t>6</w:t>
    </w:r>
    <w:r>
      <w:rPr>
        <w:rStyle w:val="Puslapionumeris"/>
      </w:rPr>
      <w:fldChar w:fldCharType="end"/>
    </w:r>
  </w:p>
  <w:p w:rsidR="007C6EFF" w:rsidRDefault="007C6E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B82"/>
    <w:multiLevelType w:val="hybridMultilevel"/>
    <w:tmpl w:val="B9B86140"/>
    <w:lvl w:ilvl="0" w:tplc="70F631C4">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 w15:restartNumberingAfterBreak="0">
    <w:nsid w:val="05163E74"/>
    <w:multiLevelType w:val="hybridMultilevel"/>
    <w:tmpl w:val="7FB82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D10F5A"/>
    <w:multiLevelType w:val="hybridMultilevel"/>
    <w:tmpl w:val="163C77DE"/>
    <w:lvl w:ilvl="0" w:tplc="9E28DFE0">
      <w:start w:val="1"/>
      <w:numFmt w:val="decimal"/>
      <w:lvlText w:val="%1."/>
      <w:lvlJc w:val="left"/>
      <w:pPr>
        <w:ind w:left="720" w:hanging="360"/>
      </w:pPr>
      <w:rPr>
        <w:rFonts w:hint="default"/>
        <w:i/>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8E23A2"/>
    <w:multiLevelType w:val="hybridMultilevel"/>
    <w:tmpl w:val="5A6E9CFE"/>
    <w:lvl w:ilvl="0" w:tplc="628C1344">
      <w:start w:val="1"/>
      <w:numFmt w:val="decimal"/>
      <w:lvlText w:val="%1."/>
      <w:lvlJc w:val="left"/>
      <w:pPr>
        <w:ind w:left="960" w:hanging="360"/>
      </w:pPr>
      <w:rPr>
        <w:sz w:val="24"/>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238B354E"/>
    <w:multiLevelType w:val="hybridMultilevel"/>
    <w:tmpl w:val="79E250B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974BB"/>
    <w:multiLevelType w:val="hybridMultilevel"/>
    <w:tmpl w:val="294E1DE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B864DB"/>
    <w:multiLevelType w:val="hybridMultilevel"/>
    <w:tmpl w:val="02CC8B8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2958EE"/>
    <w:multiLevelType w:val="hybridMultilevel"/>
    <w:tmpl w:val="7DBACB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D65498"/>
    <w:multiLevelType w:val="hybridMultilevel"/>
    <w:tmpl w:val="6748976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240AD4"/>
    <w:multiLevelType w:val="hybridMultilevel"/>
    <w:tmpl w:val="43207E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6B84162"/>
    <w:multiLevelType w:val="hybridMultilevel"/>
    <w:tmpl w:val="E5A47C36"/>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1" w15:restartNumberingAfterBreak="0">
    <w:nsid w:val="7FD016AC"/>
    <w:multiLevelType w:val="hybridMultilevel"/>
    <w:tmpl w:val="8B884C2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2"/>
  </w:num>
  <w:num w:numId="8">
    <w:abstractNumId w:val="4"/>
  </w:num>
  <w:num w:numId="9">
    <w:abstractNumId w:val="11"/>
  </w:num>
  <w:num w:numId="10">
    <w:abstractNumId w:val="7"/>
  </w:num>
  <w:num w:numId="11">
    <w:abstractNumId w:val="8"/>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1AF"/>
    <w:rsid w:val="000075C8"/>
    <w:rsid w:val="0000763C"/>
    <w:rsid w:val="000155FE"/>
    <w:rsid w:val="000217C1"/>
    <w:rsid w:val="00052A77"/>
    <w:rsid w:val="00056C9A"/>
    <w:rsid w:val="00060A7A"/>
    <w:rsid w:val="000617EC"/>
    <w:rsid w:val="00064F16"/>
    <w:rsid w:val="0006706F"/>
    <w:rsid w:val="00076868"/>
    <w:rsid w:val="00080886"/>
    <w:rsid w:val="00085C7A"/>
    <w:rsid w:val="00095D23"/>
    <w:rsid w:val="000972B1"/>
    <w:rsid w:val="000C1715"/>
    <w:rsid w:val="000C50E7"/>
    <w:rsid w:val="000C71AF"/>
    <w:rsid w:val="000C799C"/>
    <w:rsid w:val="000E12F1"/>
    <w:rsid w:val="000E5EC7"/>
    <w:rsid w:val="000F0398"/>
    <w:rsid w:val="000F152B"/>
    <w:rsid w:val="000F3334"/>
    <w:rsid w:val="00106A19"/>
    <w:rsid w:val="00114B73"/>
    <w:rsid w:val="001252A2"/>
    <w:rsid w:val="00134709"/>
    <w:rsid w:val="00135DCF"/>
    <w:rsid w:val="00137E0E"/>
    <w:rsid w:val="00150269"/>
    <w:rsid w:val="0015421F"/>
    <w:rsid w:val="00161A01"/>
    <w:rsid w:val="00174A92"/>
    <w:rsid w:val="00175DFE"/>
    <w:rsid w:val="00177E6B"/>
    <w:rsid w:val="00181951"/>
    <w:rsid w:val="00181C4D"/>
    <w:rsid w:val="00184582"/>
    <w:rsid w:val="001861E7"/>
    <w:rsid w:val="00192A16"/>
    <w:rsid w:val="00194E20"/>
    <w:rsid w:val="001A37A5"/>
    <w:rsid w:val="001A3DAA"/>
    <w:rsid w:val="001A451D"/>
    <w:rsid w:val="001A5436"/>
    <w:rsid w:val="001A56B6"/>
    <w:rsid w:val="001A6255"/>
    <w:rsid w:val="001B1502"/>
    <w:rsid w:val="001B2F7B"/>
    <w:rsid w:val="001B48BC"/>
    <w:rsid w:val="001B6A0B"/>
    <w:rsid w:val="001C5CB1"/>
    <w:rsid w:val="001E5E22"/>
    <w:rsid w:val="001F02C2"/>
    <w:rsid w:val="001F1FB3"/>
    <w:rsid w:val="001F45AA"/>
    <w:rsid w:val="001F7C2B"/>
    <w:rsid w:val="00226282"/>
    <w:rsid w:val="00227D87"/>
    <w:rsid w:val="00244987"/>
    <w:rsid w:val="002454B4"/>
    <w:rsid w:val="00245E64"/>
    <w:rsid w:val="00252DA0"/>
    <w:rsid w:val="0025775A"/>
    <w:rsid w:val="00262678"/>
    <w:rsid w:val="00263D32"/>
    <w:rsid w:val="00272E3B"/>
    <w:rsid w:val="00275F11"/>
    <w:rsid w:val="00276046"/>
    <w:rsid w:val="0028607C"/>
    <w:rsid w:val="00296BBD"/>
    <w:rsid w:val="002A6448"/>
    <w:rsid w:val="002A688E"/>
    <w:rsid w:val="002A6E84"/>
    <w:rsid w:val="002B19F6"/>
    <w:rsid w:val="002B3352"/>
    <w:rsid w:val="002C2960"/>
    <w:rsid w:val="002C3B33"/>
    <w:rsid w:val="002D2306"/>
    <w:rsid w:val="002D39BD"/>
    <w:rsid w:val="002D7152"/>
    <w:rsid w:val="002E19D0"/>
    <w:rsid w:val="002E2C80"/>
    <w:rsid w:val="002E2F88"/>
    <w:rsid w:val="002E4337"/>
    <w:rsid w:val="002E57BC"/>
    <w:rsid w:val="002E6847"/>
    <w:rsid w:val="002F57A4"/>
    <w:rsid w:val="002F65FB"/>
    <w:rsid w:val="0030013A"/>
    <w:rsid w:val="00300392"/>
    <w:rsid w:val="0030447B"/>
    <w:rsid w:val="003161FE"/>
    <w:rsid w:val="003208FA"/>
    <w:rsid w:val="003210AC"/>
    <w:rsid w:val="00323D22"/>
    <w:rsid w:val="003330A5"/>
    <w:rsid w:val="003348CB"/>
    <w:rsid w:val="0033647A"/>
    <w:rsid w:val="00341348"/>
    <w:rsid w:val="00342410"/>
    <w:rsid w:val="003424D9"/>
    <w:rsid w:val="00344229"/>
    <w:rsid w:val="00354931"/>
    <w:rsid w:val="00354FE2"/>
    <w:rsid w:val="00365469"/>
    <w:rsid w:val="003655D5"/>
    <w:rsid w:val="00373BA3"/>
    <w:rsid w:val="003742D3"/>
    <w:rsid w:val="00375317"/>
    <w:rsid w:val="00376183"/>
    <w:rsid w:val="00377873"/>
    <w:rsid w:val="00382A84"/>
    <w:rsid w:val="003843D5"/>
    <w:rsid w:val="0039020E"/>
    <w:rsid w:val="003923B6"/>
    <w:rsid w:val="003938C3"/>
    <w:rsid w:val="003955D7"/>
    <w:rsid w:val="00397358"/>
    <w:rsid w:val="003A0F5F"/>
    <w:rsid w:val="003A1579"/>
    <w:rsid w:val="003A30A2"/>
    <w:rsid w:val="003B1A25"/>
    <w:rsid w:val="003C5170"/>
    <w:rsid w:val="003D4520"/>
    <w:rsid w:val="003D51A2"/>
    <w:rsid w:val="003E34D5"/>
    <w:rsid w:val="003E7F11"/>
    <w:rsid w:val="003F2185"/>
    <w:rsid w:val="00402E0F"/>
    <w:rsid w:val="00407B11"/>
    <w:rsid w:val="00407CF4"/>
    <w:rsid w:val="00410092"/>
    <w:rsid w:val="00410DBA"/>
    <w:rsid w:val="00417B52"/>
    <w:rsid w:val="00417C4B"/>
    <w:rsid w:val="00426553"/>
    <w:rsid w:val="00433534"/>
    <w:rsid w:val="004371AF"/>
    <w:rsid w:val="004374CF"/>
    <w:rsid w:val="00437D23"/>
    <w:rsid w:val="004423A3"/>
    <w:rsid w:val="00442FCD"/>
    <w:rsid w:val="00447E78"/>
    <w:rsid w:val="004505BC"/>
    <w:rsid w:val="00452AC8"/>
    <w:rsid w:val="00454FF8"/>
    <w:rsid w:val="00455C71"/>
    <w:rsid w:val="00457E12"/>
    <w:rsid w:val="00457E89"/>
    <w:rsid w:val="00464B96"/>
    <w:rsid w:val="00470176"/>
    <w:rsid w:val="00472F33"/>
    <w:rsid w:val="00476E77"/>
    <w:rsid w:val="00477063"/>
    <w:rsid w:val="0049643B"/>
    <w:rsid w:val="004A0B8A"/>
    <w:rsid w:val="004A1490"/>
    <w:rsid w:val="004A1F41"/>
    <w:rsid w:val="004A72D5"/>
    <w:rsid w:val="004B3056"/>
    <w:rsid w:val="004B5ABA"/>
    <w:rsid w:val="004B7234"/>
    <w:rsid w:val="004B761F"/>
    <w:rsid w:val="004C0388"/>
    <w:rsid w:val="004D13C6"/>
    <w:rsid w:val="004D2C8B"/>
    <w:rsid w:val="004D6270"/>
    <w:rsid w:val="004D7D9D"/>
    <w:rsid w:val="004E08A7"/>
    <w:rsid w:val="004E700E"/>
    <w:rsid w:val="004E76D2"/>
    <w:rsid w:val="004F12EE"/>
    <w:rsid w:val="004F61E3"/>
    <w:rsid w:val="00501434"/>
    <w:rsid w:val="005037D4"/>
    <w:rsid w:val="00503A02"/>
    <w:rsid w:val="00503C58"/>
    <w:rsid w:val="00504A4B"/>
    <w:rsid w:val="00505511"/>
    <w:rsid w:val="005074D8"/>
    <w:rsid w:val="005115D2"/>
    <w:rsid w:val="0051251F"/>
    <w:rsid w:val="00513588"/>
    <w:rsid w:val="00521534"/>
    <w:rsid w:val="00522B3F"/>
    <w:rsid w:val="005234E3"/>
    <w:rsid w:val="00527B2D"/>
    <w:rsid w:val="00532096"/>
    <w:rsid w:val="0053240C"/>
    <w:rsid w:val="00534E6B"/>
    <w:rsid w:val="00535693"/>
    <w:rsid w:val="00536A5C"/>
    <w:rsid w:val="00541442"/>
    <w:rsid w:val="00542262"/>
    <w:rsid w:val="00543218"/>
    <w:rsid w:val="005507FA"/>
    <w:rsid w:val="00566849"/>
    <w:rsid w:val="00567914"/>
    <w:rsid w:val="00567C16"/>
    <w:rsid w:val="00570698"/>
    <w:rsid w:val="005709B7"/>
    <w:rsid w:val="00573F7B"/>
    <w:rsid w:val="00581897"/>
    <w:rsid w:val="00581E4F"/>
    <w:rsid w:val="005843B2"/>
    <w:rsid w:val="0058694C"/>
    <w:rsid w:val="00590CCA"/>
    <w:rsid w:val="0059307E"/>
    <w:rsid w:val="00594836"/>
    <w:rsid w:val="00595C47"/>
    <w:rsid w:val="00596129"/>
    <w:rsid w:val="005A0BB6"/>
    <w:rsid w:val="005F2899"/>
    <w:rsid w:val="005F5538"/>
    <w:rsid w:val="005F646E"/>
    <w:rsid w:val="005F7EA7"/>
    <w:rsid w:val="006020F4"/>
    <w:rsid w:val="006021A4"/>
    <w:rsid w:val="00605717"/>
    <w:rsid w:val="00605D73"/>
    <w:rsid w:val="0061178D"/>
    <w:rsid w:val="0062422E"/>
    <w:rsid w:val="00633235"/>
    <w:rsid w:val="0064087E"/>
    <w:rsid w:val="0064245D"/>
    <w:rsid w:val="006445C8"/>
    <w:rsid w:val="0065293D"/>
    <w:rsid w:val="00654B61"/>
    <w:rsid w:val="00656841"/>
    <w:rsid w:val="0065745B"/>
    <w:rsid w:val="00666383"/>
    <w:rsid w:val="0066697D"/>
    <w:rsid w:val="006669FB"/>
    <w:rsid w:val="00666B4E"/>
    <w:rsid w:val="00666BBC"/>
    <w:rsid w:val="006715A3"/>
    <w:rsid w:val="00671608"/>
    <w:rsid w:val="006721E0"/>
    <w:rsid w:val="00697DE3"/>
    <w:rsid w:val="006A4148"/>
    <w:rsid w:val="006A6354"/>
    <w:rsid w:val="006C046D"/>
    <w:rsid w:val="006C21DA"/>
    <w:rsid w:val="006C4C56"/>
    <w:rsid w:val="006C56EF"/>
    <w:rsid w:val="006D03F7"/>
    <w:rsid w:val="006D1D8D"/>
    <w:rsid w:val="00700CE5"/>
    <w:rsid w:val="00702A07"/>
    <w:rsid w:val="00705EE0"/>
    <w:rsid w:val="00710F8D"/>
    <w:rsid w:val="007154F6"/>
    <w:rsid w:val="00716476"/>
    <w:rsid w:val="007338CE"/>
    <w:rsid w:val="00733E8C"/>
    <w:rsid w:val="007358B4"/>
    <w:rsid w:val="0073651A"/>
    <w:rsid w:val="007452AA"/>
    <w:rsid w:val="00756484"/>
    <w:rsid w:val="00761E11"/>
    <w:rsid w:val="00763EF3"/>
    <w:rsid w:val="0076669C"/>
    <w:rsid w:val="007739CA"/>
    <w:rsid w:val="00780119"/>
    <w:rsid w:val="00783385"/>
    <w:rsid w:val="007869B3"/>
    <w:rsid w:val="00791B33"/>
    <w:rsid w:val="0079325D"/>
    <w:rsid w:val="00795413"/>
    <w:rsid w:val="00795E50"/>
    <w:rsid w:val="00797488"/>
    <w:rsid w:val="007C5E9E"/>
    <w:rsid w:val="007C6EFF"/>
    <w:rsid w:val="007C7D39"/>
    <w:rsid w:val="007E6C06"/>
    <w:rsid w:val="007F62D4"/>
    <w:rsid w:val="00800B4C"/>
    <w:rsid w:val="00803175"/>
    <w:rsid w:val="00807421"/>
    <w:rsid w:val="0081010A"/>
    <w:rsid w:val="008116AA"/>
    <w:rsid w:val="00812E0A"/>
    <w:rsid w:val="00813E6F"/>
    <w:rsid w:val="00820ADD"/>
    <w:rsid w:val="00822A91"/>
    <w:rsid w:val="008238EB"/>
    <w:rsid w:val="008332DB"/>
    <w:rsid w:val="00833F70"/>
    <w:rsid w:val="0083549B"/>
    <w:rsid w:val="00853FE5"/>
    <w:rsid w:val="00854653"/>
    <w:rsid w:val="00862244"/>
    <w:rsid w:val="00864A06"/>
    <w:rsid w:val="00865C9B"/>
    <w:rsid w:val="00866A24"/>
    <w:rsid w:val="00870354"/>
    <w:rsid w:val="00872927"/>
    <w:rsid w:val="00872E32"/>
    <w:rsid w:val="0088200C"/>
    <w:rsid w:val="00892498"/>
    <w:rsid w:val="0089293F"/>
    <w:rsid w:val="0089366A"/>
    <w:rsid w:val="00895DA2"/>
    <w:rsid w:val="0089653F"/>
    <w:rsid w:val="008A5846"/>
    <w:rsid w:val="008B237D"/>
    <w:rsid w:val="008B7376"/>
    <w:rsid w:val="008D278D"/>
    <w:rsid w:val="008D3703"/>
    <w:rsid w:val="008D4728"/>
    <w:rsid w:val="008D499B"/>
    <w:rsid w:val="008D5D0C"/>
    <w:rsid w:val="008E2D49"/>
    <w:rsid w:val="008E4C97"/>
    <w:rsid w:val="008E4DF2"/>
    <w:rsid w:val="008F0762"/>
    <w:rsid w:val="008F33DF"/>
    <w:rsid w:val="008F3D4E"/>
    <w:rsid w:val="00906F30"/>
    <w:rsid w:val="00912272"/>
    <w:rsid w:val="00912778"/>
    <w:rsid w:val="00914BE9"/>
    <w:rsid w:val="009214A3"/>
    <w:rsid w:val="009216F5"/>
    <w:rsid w:val="00923880"/>
    <w:rsid w:val="00925B58"/>
    <w:rsid w:val="009324A8"/>
    <w:rsid w:val="0093450B"/>
    <w:rsid w:val="00935611"/>
    <w:rsid w:val="00935615"/>
    <w:rsid w:val="009356F3"/>
    <w:rsid w:val="00935738"/>
    <w:rsid w:val="0094515E"/>
    <w:rsid w:val="00950302"/>
    <w:rsid w:val="0095708C"/>
    <w:rsid w:val="00964A6D"/>
    <w:rsid w:val="0096790C"/>
    <w:rsid w:val="009744BC"/>
    <w:rsid w:val="0097552E"/>
    <w:rsid w:val="00976212"/>
    <w:rsid w:val="00986A35"/>
    <w:rsid w:val="00986B6B"/>
    <w:rsid w:val="00990A35"/>
    <w:rsid w:val="00990B2A"/>
    <w:rsid w:val="00990C9F"/>
    <w:rsid w:val="00995BDA"/>
    <w:rsid w:val="009961B1"/>
    <w:rsid w:val="009A1BD7"/>
    <w:rsid w:val="009A4884"/>
    <w:rsid w:val="009B7EB6"/>
    <w:rsid w:val="009D2CE0"/>
    <w:rsid w:val="009E2566"/>
    <w:rsid w:val="009F064E"/>
    <w:rsid w:val="00A0255E"/>
    <w:rsid w:val="00A03A43"/>
    <w:rsid w:val="00A131C2"/>
    <w:rsid w:val="00A23932"/>
    <w:rsid w:val="00A2734F"/>
    <w:rsid w:val="00A50D72"/>
    <w:rsid w:val="00A66199"/>
    <w:rsid w:val="00A8070B"/>
    <w:rsid w:val="00A84240"/>
    <w:rsid w:val="00A863B6"/>
    <w:rsid w:val="00A94AC7"/>
    <w:rsid w:val="00AA4F6C"/>
    <w:rsid w:val="00AA7BAA"/>
    <w:rsid w:val="00AB01AA"/>
    <w:rsid w:val="00AB6FF2"/>
    <w:rsid w:val="00AC2D61"/>
    <w:rsid w:val="00AC4D11"/>
    <w:rsid w:val="00AD3D1C"/>
    <w:rsid w:val="00AD67DF"/>
    <w:rsid w:val="00AE02BB"/>
    <w:rsid w:val="00AE26A4"/>
    <w:rsid w:val="00AE50E7"/>
    <w:rsid w:val="00AE71A1"/>
    <w:rsid w:val="00AF1D20"/>
    <w:rsid w:val="00AF52F1"/>
    <w:rsid w:val="00AF6938"/>
    <w:rsid w:val="00B01FB2"/>
    <w:rsid w:val="00B0383E"/>
    <w:rsid w:val="00B07F18"/>
    <w:rsid w:val="00B11D1F"/>
    <w:rsid w:val="00B130CF"/>
    <w:rsid w:val="00B230EE"/>
    <w:rsid w:val="00B2775E"/>
    <w:rsid w:val="00B30B34"/>
    <w:rsid w:val="00B321D1"/>
    <w:rsid w:val="00B350E7"/>
    <w:rsid w:val="00B4346C"/>
    <w:rsid w:val="00B43F27"/>
    <w:rsid w:val="00B4433C"/>
    <w:rsid w:val="00B4487F"/>
    <w:rsid w:val="00B44D16"/>
    <w:rsid w:val="00B47E3C"/>
    <w:rsid w:val="00B47FE6"/>
    <w:rsid w:val="00B606B5"/>
    <w:rsid w:val="00B61808"/>
    <w:rsid w:val="00B63482"/>
    <w:rsid w:val="00B663E4"/>
    <w:rsid w:val="00B67436"/>
    <w:rsid w:val="00B74910"/>
    <w:rsid w:val="00B821A1"/>
    <w:rsid w:val="00B86A73"/>
    <w:rsid w:val="00B87E48"/>
    <w:rsid w:val="00B90E18"/>
    <w:rsid w:val="00B91431"/>
    <w:rsid w:val="00BA0220"/>
    <w:rsid w:val="00BA3F82"/>
    <w:rsid w:val="00BA5D2D"/>
    <w:rsid w:val="00BA616B"/>
    <w:rsid w:val="00BB29D2"/>
    <w:rsid w:val="00BB324F"/>
    <w:rsid w:val="00BB335E"/>
    <w:rsid w:val="00BB4B9B"/>
    <w:rsid w:val="00BB74C4"/>
    <w:rsid w:val="00BC2002"/>
    <w:rsid w:val="00BC2734"/>
    <w:rsid w:val="00BC3E7E"/>
    <w:rsid w:val="00BC6140"/>
    <w:rsid w:val="00BC7F9E"/>
    <w:rsid w:val="00BD3A3A"/>
    <w:rsid w:val="00BE15E3"/>
    <w:rsid w:val="00BE2A48"/>
    <w:rsid w:val="00BE2E6F"/>
    <w:rsid w:val="00BE43B7"/>
    <w:rsid w:val="00BF12C8"/>
    <w:rsid w:val="00C00659"/>
    <w:rsid w:val="00C00C8F"/>
    <w:rsid w:val="00C016F0"/>
    <w:rsid w:val="00C023CB"/>
    <w:rsid w:val="00C04E2D"/>
    <w:rsid w:val="00C17F1D"/>
    <w:rsid w:val="00C2024A"/>
    <w:rsid w:val="00C21E5C"/>
    <w:rsid w:val="00C24E29"/>
    <w:rsid w:val="00C3313C"/>
    <w:rsid w:val="00C371F7"/>
    <w:rsid w:val="00C37726"/>
    <w:rsid w:val="00C456D4"/>
    <w:rsid w:val="00C45D06"/>
    <w:rsid w:val="00C460F0"/>
    <w:rsid w:val="00C50703"/>
    <w:rsid w:val="00C615AE"/>
    <w:rsid w:val="00C6209B"/>
    <w:rsid w:val="00C74F78"/>
    <w:rsid w:val="00C80A62"/>
    <w:rsid w:val="00C84430"/>
    <w:rsid w:val="00C85653"/>
    <w:rsid w:val="00C86393"/>
    <w:rsid w:val="00C875C2"/>
    <w:rsid w:val="00C91CEA"/>
    <w:rsid w:val="00C979D2"/>
    <w:rsid w:val="00CA431B"/>
    <w:rsid w:val="00CA4A9A"/>
    <w:rsid w:val="00CB029E"/>
    <w:rsid w:val="00CB6981"/>
    <w:rsid w:val="00CD78B5"/>
    <w:rsid w:val="00CE01C2"/>
    <w:rsid w:val="00CE0EBC"/>
    <w:rsid w:val="00CE2329"/>
    <w:rsid w:val="00CF02DB"/>
    <w:rsid w:val="00CF3B22"/>
    <w:rsid w:val="00CF5D54"/>
    <w:rsid w:val="00CF7F25"/>
    <w:rsid w:val="00D027EC"/>
    <w:rsid w:val="00D03A25"/>
    <w:rsid w:val="00D127DE"/>
    <w:rsid w:val="00D20A8B"/>
    <w:rsid w:val="00D21483"/>
    <w:rsid w:val="00D22E2E"/>
    <w:rsid w:val="00D3352D"/>
    <w:rsid w:val="00D42B49"/>
    <w:rsid w:val="00D432CF"/>
    <w:rsid w:val="00D45011"/>
    <w:rsid w:val="00D4525B"/>
    <w:rsid w:val="00D469D3"/>
    <w:rsid w:val="00D575E5"/>
    <w:rsid w:val="00D61D18"/>
    <w:rsid w:val="00D6551D"/>
    <w:rsid w:val="00D65B97"/>
    <w:rsid w:val="00D76320"/>
    <w:rsid w:val="00D915D5"/>
    <w:rsid w:val="00D91938"/>
    <w:rsid w:val="00DA215E"/>
    <w:rsid w:val="00DA594D"/>
    <w:rsid w:val="00DA5C24"/>
    <w:rsid w:val="00DA6C14"/>
    <w:rsid w:val="00DA7970"/>
    <w:rsid w:val="00DA7E25"/>
    <w:rsid w:val="00DB5702"/>
    <w:rsid w:val="00DB5792"/>
    <w:rsid w:val="00DB707D"/>
    <w:rsid w:val="00DC1575"/>
    <w:rsid w:val="00DC6321"/>
    <w:rsid w:val="00DD18EF"/>
    <w:rsid w:val="00DE0872"/>
    <w:rsid w:val="00DE3BEA"/>
    <w:rsid w:val="00DE5E45"/>
    <w:rsid w:val="00DF4DAE"/>
    <w:rsid w:val="00E02EA5"/>
    <w:rsid w:val="00E17388"/>
    <w:rsid w:val="00E30783"/>
    <w:rsid w:val="00E3572B"/>
    <w:rsid w:val="00E3639D"/>
    <w:rsid w:val="00E42C48"/>
    <w:rsid w:val="00E469A6"/>
    <w:rsid w:val="00E56095"/>
    <w:rsid w:val="00E56D3A"/>
    <w:rsid w:val="00E57B08"/>
    <w:rsid w:val="00E66A6E"/>
    <w:rsid w:val="00E66D36"/>
    <w:rsid w:val="00E74BE7"/>
    <w:rsid w:val="00E76CCB"/>
    <w:rsid w:val="00E86A8E"/>
    <w:rsid w:val="00E94227"/>
    <w:rsid w:val="00EA300A"/>
    <w:rsid w:val="00EA3946"/>
    <w:rsid w:val="00EB136C"/>
    <w:rsid w:val="00EB5D33"/>
    <w:rsid w:val="00EB5D5F"/>
    <w:rsid w:val="00EB610D"/>
    <w:rsid w:val="00EB7E56"/>
    <w:rsid w:val="00EC3671"/>
    <w:rsid w:val="00ED16DB"/>
    <w:rsid w:val="00ED61C9"/>
    <w:rsid w:val="00EF6334"/>
    <w:rsid w:val="00F00D64"/>
    <w:rsid w:val="00F026F6"/>
    <w:rsid w:val="00F07104"/>
    <w:rsid w:val="00F2190E"/>
    <w:rsid w:val="00F2234E"/>
    <w:rsid w:val="00F224A0"/>
    <w:rsid w:val="00F248B5"/>
    <w:rsid w:val="00F267BF"/>
    <w:rsid w:val="00F40308"/>
    <w:rsid w:val="00F445FF"/>
    <w:rsid w:val="00F44E2E"/>
    <w:rsid w:val="00F51661"/>
    <w:rsid w:val="00F540A4"/>
    <w:rsid w:val="00F549B2"/>
    <w:rsid w:val="00F60D7B"/>
    <w:rsid w:val="00F6166D"/>
    <w:rsid w:val="00F63BFA"/>
    <w:rsid w:val="00F640DF"/>
    <w:rsid w:val="00F65E93"/>
    <w:rsid w:val="00F66632"/>
    <w:rsid w:val="00F673C9"/>
    <w:rsid w:val="00F842DF"/>
    <w:rsid w:val="00F874FD"/>
    <w:rsid w:val="00F91EB8"/>
    <w:rsid w:val="00F95EA1"/>
    <w:rsid w:val="00F961D9"/>
    <w:rsid w:val="00FA184B"/>
    <w:rsid w:val="00FB3971"/>
    <w:rsid w:val="00FB5B24"/>
    <w:rsid w:val="00FC4ACE"/>
    <w:rsid w:val="00FD0FB1"/>
    <w:rsid w:val="00FD393F"/>
    <w:rsid w:val="00FE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32F8A2-6FC0-4F76-AF0A-2F63C5618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153"/>
        <w:tab w:val="right" w:pos="8306"/>
      </w:tabs>
    </w:pPr>
    <w:rPr>
      <w:szCs w:val="20"/>
      <w:lang w:val="lt-LT"/>
    </w:rPr>
  </w:style>
  <w:style w:type="paragraph" w:styleId="Antrats">
    <w:name w:val="header"/>
    <w:basedOn w:val="prastasis"/>
    <w:pPr>
      <w:tabs>
        <w:tab w:val="center" w:pos="4153"/>
        <w:tab w:val="right" w:pos="8306"/>
      </w:tabs>
    </w:pPr>
    <w:rPr>
      <w:szCs w:val="20"/>
      <w:lang w:val="lt-LT"/>
    </w:rPr>
  </w:style>
  <w:style w:type="character" w:styleId="Puslapionumeris">
    <w:name w:val="page number"/>
    <w:basedOn w:val="Numatytasispastraiposriftas"/>
  </w:style>
  <w:style w:type="paragraph" w:styleId="Pagrindinistekstas2">
    <w:name w:val="Body Text 2"/>
    <w:basedOn w:val="prastasis"/>
    <w:pPr>
      <w:suppressAutoHyphens/>
      <w:spacing w:line="360" w:lineRule="auto"/>
      <w:jc w:val="center"/>
    </w:pPr>
    <w:rPr>
      <w:b/>
      <w:szCs w:val="20"/>
      <w:lang w:val="lt-LT" w:eastAsia="ar-SA"/>
    </w:rPr>
  </w:style>
  <w:style w:type="paragraph" w:styleId="Pagrindinistekstas">
    <w:name w:val="Body Text"/>
    <w:basedOn w:val="prastasis"/>
    <w:pPr>
      <w:jc w:val="both"/>
    </w:pPr>
    <w:rPr>
      <w:color w:val="FF6600"/>
      <w:lang w:val="lt-LT"/>
    </w:rPr>
  </w:style>
  <w:style w:type="paragraph" w:customStyle="1" w:styleId="statymopavad">
    <w:name w:val="statymopavad"/>
    <w:basedOn w:val="prastasis"/>
    <w:pPr>
      <w:spacing w:before="100" w:beforeAutospacing="1" w:after="100" w:afterAutospacing="1"/>
    </w:pPr>
    <w:rPr>
      <w:rFonts w:ascii="Arial Unicode MS" w:eastAsia="Arial Unicode MS" w:hAnsi="Arial Unicode MS" w:cs="Arial Unicode MS"/>
    </w:rPr>
  </w:style>
  <w:style w:type="paragraph" w:styleId="Debesliotekstas">
    <w:name w:val="Balloon Text"/>
    <w:basedOn w:val="prastasis"/>
    <w:semiHidden/>
    <w:rPr>
      <w:rFonts w:ascii="Tahoma" w:hAnsi="Tahoma" w:cs="Tahoma"/>
      <w:sz w:val="16"/>
      <w:szCs w:val="16"/>
    </w:rPr>
  </w:style>
  <w:style w:type="character" w:styleId="Komentaronuoroda">
    <w:name w:val="annotation reference"/>
    <w:basedOn w:val="Numatytasispastraiposriftas"/>
    <w:rPr>
      <w:sz w:val="16"/>
      <w:szCs w:val="16"/>
    </w:rPr>
  </w:style>
  <w:style w:type="paragraph" w:styleId="Komentarotekstas">
    <w:name w:val="annotation text"/>
    <w:basedOn w:val="prastasis"/>
    <w:link w:val="KomentarotekstasDiagrama"/>
    <w:rPr>
      <w:sz w:val="20"/>
      <w:szCs w:val="20"/>
    </w:rPr>
  </w:style>
  <w:style w:type="paragraph" w:styleId="Komentarotema">
    <w:name w:val="annotation subject"/>
    <w:basedOn w:val="Komentarotekstas"/>
    <w:next w:val="Komentarotekstas"/>
    <w:semiHidden/>
    <w:rPr>
      <w:b/>
      <w:bCs/>
    </w:rPr>
  </w:style>
  <w:style w:type="paragraph" w:customStyle="1" w:styleId="Preformatted">
    <w:name w:val="Preformatted"/>
    <w:basedOn w:val="prastasis"/>
    <w:rsid w:val="001F7C2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Pataisymai">
    <w:name w:val="Revision"/>
    <w:hidden/>
    <w:uiPriority w:val="99"/>
    <w:semiHidden/>
    <w:rsid w:val="0083549B"/>
    <w:rPr>
      <w:sz w:val="24"/>
      <w:szCs w:val="24"/>
      <w:lang w:val="en-GB"/>
    </w:rPr>
  </w:style>
  <w:style w:type="paragraph" w:styleId="Pagrindiniotekstotrauka">
    <w:name w:val="Body Text Indent"/>
    <w:basedOn w:val="prastasis"/>
    <w:link w:val="PagrindiniotekstotraukaDiagrama"/>
    <w:rsid w:val="00D3352D"/>
    <w:pPr>
      <w:spacing w:after="120"/>
      <w:ind w:left="283"/>
    </w:pPr>
  </w:style>
  <w:style w:type="character" w:customStyle="1" w:styleId="PagrindiniotekstotraukaDiagrama">
    <w:name w:val="Pagrindinio teksto įtrauka Diagrama"/>
    <w:basedOn w:val="Numatytasispastraiposriftas"/>
    <w:link w:val="Pagrindiniotekstotrauka"/>
    <w:rsid w:val="00D3352D"/>
    <w:rPr>
      <w:sz w:val="24"/>
      <w:szCs w:val="24"/>
      <w:lang w:val="en-GB"/>
    </w:rPr>
  </w:style>
  <w:style w:type="character" w:customStyle="1" w:styleId="PoratDiagrama">
    <w:name w:val="Poraštė Diagrama"/>
    <w:basedOn w:val="Numatytasispastraiposriftas"/>
    <w:link w:val="Porat"/>
    <w:uiPriority w:val="99"/>
    <w:rsid w:val="007C5E9E"/>
    <w:rPr>
      <w:sz w:val="24"/>
      <w:lang w:val="lt-LT"/>
    </w:rPr>
  </w:style>
  <w:style w:type="paragraph" w:styleId="Puslapioinaostekstas">
    <w:name w:val="footnote text"/>
    <w:basedOn w:val="prastasis"/>
    <w:link w:val="PuslapioinaostekstasDiagrama"/>
    <w:rsid w:val="00B230EE"/>
    <w:rPr>
      <w:sz w:val="20"/>
      <w:szCs w:val="20"/>
    </w:rPr>
  </w:style>
  <w:style w:type="character" w:customStyle="1" w:styleId="PuslapioinaostekstasDiagrama">
    <w:name w:val="Puslapio išnašos tekstas Diagrama"/>
    <w:basedOn w:val="Numatytasispastraiposriftas"/>
    <w:link w:val="Puslapioinaostekstas"/>
    <w:rsid w:val="00B230EE"/>
    <w:rPr>
      <w:lang w:val="en-GB"/>
    </w:rPr>
  </w:style>
  <w:style w:type="character" w:styleId="Puslapioinaosnuoroda">
    <w:name w:val="footnote reference"/>
    <w:basedOn w:val="Numatytasispastraiposriftas"/>
    <w:rsid w:val="00B230EE"/>
    <w:rPr>
      <w:vertAlign w:val="superscript"/>
    </w:rPr>
  </w:style>
  <w:style w:type="paragraph" w:styleId="Sraopastraipa">
    <w:name w:val="List Paragraph"/>
    <w:basedOn w:val="prastasis"/>
    <w:uiPriority w:val="34"/>
    <w:qFormat/>
    <w:rsid w:val="005037D4"/>
    <w:pPr>
      <w:ind w:left="720"/>
      <w:contextualSpacing/>
    </w:pPr>
  </w:style>
  <w:style w:type="character" w:styleId="Hipersaitas">
    <w:name w:val="Hyperlink"/>
    <w:basedOn w:val="Numatytasispastraiposriftas"/>
    <w:uiPriority w:val="99"/>
    <w:unhideWhenUsed/>
    <w:rsid w:val="00BA616B"/>
    <w:rPr>
      <w:color w:val="0000FF"/>
      <w:u w:val="single"/>
    </w:rPr>
  </w:style>
  <w:style w:type="character" w:customStyle="1" w:styleId="KomentarotekstasDiagrama">
    <w:name w:val="Komentaro tekstas Diagrama"/>
    <w:basedOn w:val="Numatytasispastraiposriftas"/>
    <w:link w:val="Komentarotekstas"/>
    <w:rsid w:val="00C8565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39985">
      <w:bodyDiv w:val="1"/>
      <w:marLeft w:val="0"/>
      <w:marRight w:val="0"/>
      <w:marTop w:val="0"/>
      <w:marBottom w:val="0"/>
      <w:divBdr>
        <w:top w:val="none" w:sz="0" w:space="0" w:color="auto"/>
        <w:left w:val="none" w:sz="0" w:space="0" w:color="auto"/>
        <w:bottom w:val="none" w:sz="0" w:space="0" w:color="auto"/>
        <w:right w:val="none" w:sz="0" w:space="0" w:color="auto"/>
      </w:divBdr>
    </w:div>
    <w:div w:id="153688509">
      <w:bodyDiv w:val="1"/>
      <w:marLeft w:val="0"/>
      <w:marRight w:val="0"/>
      <w:marTop w:val="0"/>
      <w:marBottom w:val="0"/>
      <w:divBdr>
        <w:top w:val="none" w:sz="0" w:space="0" w:color="auto"/>
        <w:left w:val="none" w:sz="0" w:space="0" w:color="auto"/>
        <w:bottom w:val="none" w:sz="0" w:space="0" w:color="auto"/>
        <w:right w:val="none" w:sz="0" w:space="0" w:color="auto"/>
      </w:divBdr>
    </w:div>
    <w:div w:id="347099567">
      <w:bodyDiv w:val="1"/>
      <w:marLeft w:val="0"/>
      <w:marRight w:val="0"/>
      <w:marTop w:val="0"/>
      <w:marBottom w:val="0"/>
      <w:divBdr>
        <w:top w:val="none" w:sz="0" w:space="0" w:color="auto"/>
        <w:left w:val="none" w:sz="0" w:space="0" w:color="auto"/>
        <w:bottom w:val="none" w:sz="0" w:space="0" w:color="auto"/>
        <w:right w:val="none" w:sz="0" w:space="0" w:color="auto"/>
      </w:divBdr>
    </w:div>
    <w:div w:id="661347685">
      <w:bodyDiv w:val="1"/>
      <w:marLeft w:val="0"/>
      <w:marRight w:val="0"/>
      <w:marTop w:val="0"/>
      <w:marBottom w:val="0"/>
      <w:divBdr>
        <w:top w:val="none" w:sz="0" w:space="0" w:color="auto"/>
        <w:left w:val="none" w:sz="0" w:space="0" w:color="auto"/>
        <w:bottom w:val="none" w:sz="0" w:space="0" w:color="auto"/>
        <w:right w:val="none" w:sz="0" w:space="0" w:color="auto"/>
      </w:divBdr>
    </w:div>
    <w:div w:id="792016136">
      <w:bodyDiv w:val="1"/>
      <w:marLeft w:val="0"/>
      <w:marRight w:val="0"/>
      <w:marTop w:val="0"/>
      <w:marBottom w:val="0"/>
      <w:divBdr>
        <w:top w:val="none" w:sz="0" w:space="0" w:color="auto"/>
        <w:left w:val="none" w:sz="0" w:space="0" w:color="auto"/>
        <w:bottom w:val="none" w:sz="0" w:space="0" w:color="auto"/>
        <w:right w:val="none" w:sz="0" w:space="0" w:color="auto"/>
      </w:divBdr>
    </w:div>
    <w:div w:id="877549158">
      <w:bodyDiv w:val="1"/>
      <w:marLeft w:val="225"/>
      <w:marRight w:val="225"/>
      <w:marTop w:val="0"/>
      <w:marBottom w:val="0"/>
      <w:divBdr>
        <w:top w:val="none" w:sz="0" w:space="0" w:color="auto"/>
        <w:left w:val="none" w:sz="0" w:space="0" w:color="auto"/>
        <w:bottom w:val="none" w:sz="0" w:space="0" w:color="auto"/>
        <w:right w:val="none" w:sz="0" w:space="0" w:color="auto"/>
      </w:divBdr>
      <w:divsChild>
        <w:div w:id="1777141702">
          <w:marLeft w:val="0"/>
          <w:marRight w:val="0"/>
          <w:marTop w:val="0"/>
          <w:marBottom w:val="0"/>
          <w:divBdr>
            <w:top w:val="none" w:sz="0" w:space="0" w:color="auto"/>
            <w:left w:val="none" w:sz="0" w:space="0" w:color="auto"/>
            <w:bottom w:val="none" w:sz="0" w:space="0" w:color="auto"/>
            <w:right w:val="none" w:sz="0" w:space="0" w:color="auto"/>
          </w:divBdr>
        </w:div>
      </w:divsChild>
    </w:div>
    <w:div w:id="1332177959">
      <w:bodyDiv w:val="1"/>
      <w:marLeft w:val="0"/>
      <w:marRight w:val="0"/>
      <w:marTop w:val="0"/>
      <w:marBottom w:val="0"/>
      <w:divBdr>
        <w:top w:val="none" w:sz="0" w:space="0" w:color="auto"/>
        <w:left w:val="none" w:sz="0" w:space="0" w:color="auto"/>
        <w:bottom w:val="none" w:sz="0" w:space="0" w:color="auto"/>
        <w:right w:val="none" w:sz="0" w:space="0" w:color="auto"/>
      </w:divBdr>
    </w:div>
    <w:div w:id="1411852023">
      <w:bodyDiv w:val="1"/>
      <w:marLeft w:val="0"/>
      <w:marRight w:val="0"/>
      <w:marTop w:val="0"/>
      <w:marBottom w:val="0"/>
      <w:divBdr>
        <w:top w:val="none" w:sz="0" w:space="0" w:color="auto"/>
        <w:left w:val="none" w:sz="0" w:space="0" w:color="auto"/>
        <w:bottom w:val="none" w:sz="0" w:space="0" w:color="auto"/>
        <w:right w:val="none" w:sz="0" w:space="0" w:color="auto"/>
      </w:divBdr>
    </w:div>
    <w:div w:id="1604267635">
      <w:bodyDiv w:val="1"/>
      <w:marLeft w:val="0"/>
      <w:marRight w:val="0"/>
      <w:marTop w:val="0"/>
      <w:marBottom w:val="0"/>
      <w:divBdr>
        <w:top w:val="none" w:sz="0" w:space="0" w:color="auto"/>
        <w:left w:val="none" w:sz="0" w:space="0" w:color="auto"/>
        <w:bottom w:val="none" w:sz="0" w:space="0" w:color="auto"/>
        <w:right w:val="none" w:sz="0" w:space="0" w:color="auto"/>
      </w:divBdr>
    </w:div>
    <w:div w:id="1741320367">
      <w:bodyDiv w:val="1"/>
      <w:marLeft w:val="225"/>
      <w:marRight w:val="225"/>
      <w:marTop w:val="0"/>
      <w:marBottom w:val="0"/>
      <w:divBdr>
        <w:top w:val="none" w:sz="0" w:space="0" w:color="auto"/>
        <w:left w:val="none" w:sz="0" w:space="0" w:color="auto"/>
        <w:bottom w:val="none" w:sz="0" w:space="0" w:color="auto"/>
        <w:right w:val="none" w:sz="0" w:space="0" w:color="auto"/>
      </w:divBdr>
      <w:divsChild>
        <w:div w:id="1021929539">
          <w:marLeft w:val="0"/>
          <w:marRight w:val="0"/>
          <w:marTop w:val="0"/>
          <w:marBottom w:val="0"/>
          <w:divBdr>
            <w:top w:val="none" w:sz="0" w:space="0" w:color="auto"/>
            <w:left w:val="none" w:sz="0" w:space="0" w:color="auto"/>
            <w:bottom w:val="none" w:sz="0" w:space="0" w:color="auto"/>
            <w:right w:val="none" w:sz="0" w:space="0" w:color="auto"/>
          </w:divBdr>
        </w:div>
      </w:divsChild>
    </w:div>
    <w:div w:id="1993171238">
      <w:bodyDiv w:val="1"/>
      <w:marLeft w:val="225"/>
      <w:marRight w:val="225"/>
      <w:marTop w:val="0"/>
      <w:marBottom w:val="0"/>
      <w:divBdr>
        <w:top w:val="none" w:sz="0" w:space="0" w:color="auto"/>
        <w:left w:val="none" w:sz="0" w:space="0" w:color="auto"/>
        <w:bottom w:val="none" w:sz="0" w:space="0" w:color="auto"/>
        <w:right w:val="none" w:sz="0" w:space="0" w:color="auto"/>
      </w:divBdr>
      <w:divsChild>
        <w:div w:id="51098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9BF55-337C-4162-A92F-1E6AD4C90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13519</Words>
  <Characters>7706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PAŽYMA</vt:lpstr>
      <vt:lpstr>PAŽYMA</vt:lpstr>
    </vt:vector>
  </TitlesOfParts>
  <Company>VRM</Company>
  <LinksUpToDate>false</LinksUpToDate>
  <CharactersWithSpaces>21183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PAŽYMA</dc:title>
  <dc:creator>m05631</dc:creator>
  <cp:lastModifiedBy>Daiva Vežikauskienė</cp:lastModifiedBy>
  <cp:revision>2</cp:revision>
  <cp:lastPrinted>2014-02-05T14:10:00Z</cp:lastPrinted>
  <dcterms:created xsi:type="dcterms:W3CDTF">2019-11-13T13:19:00Z</dcterms:created>
  <dcterms:modified xsi:type="dcterms:W3CDTF">2019-11-13T13:19:00Z</dcterms:modified>
</cp:coreProperties>
</file>