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CD4" w:rsidRDefault="00F0015C">
      <w:pPr>
        <w:tabs>
          <w:tab w:val="left" w:pos="6570"/>
        </w:tabs>
        <w:ind w:firstLine="1134"/>
      </w:pPr>
      <w:r>
        <w:rPr>
          <w:b/>
          <w:bCs/>
        </w:rPr>
        <w:tab/>
        <w:t>Projekto</w:t>
      </w:r>
    </w:p>
    <w:p w:rsidR="006E5CD4" w:rsidRDefault="00F0015C">
      <w:pPr>
        <w:tabs>
          <w:tab w:val="left" w:pos="6570"/>
        </w:tabs>
        <w:ind w:firstLine="1134"/>
        <w:rPr>
          <w:b/>
          <w:bCs/>
        </w:rPr>
      </w:pPr>
      <w:r>
        <w:rPr>
          <w:b/>
          <w:bCs/>
        </w:rPr>
        <w:tab/>
        <w:t>lyginamasis variantas</w:t>
      </w:r>
    </w:p>
    <w:p w:rsidR="006E5CD4" w:rsidRDefault="00F0015C">
      <w:pPr>
        <w:tabs>
          <w:tab w:val="left" w:pos="6946"/>
        </w:tabs>
        <w:spacing w:line="360" w:lineRule="auto"/>
        <w:ind w:firstLine="1134"/>
        <w:rPr>
          <w:b/>
          <w:bCs/>
        </w:rPr>
      </w:pPr>
      <w:r>
        <w:rPr>
          <w:b/>
          <w:bCs/>
        </w:rPr>
        <w:t xml:space="preserve"> </w:t>
      </w:r>
    </w:p>
    <w:p w:rsidR="006E5CD4" w:rsidRDefault="006E5CD4">
      <w:pPr>
        <w:tabs>
          <w:tab w:val="left" w:pos="6946"/>
        </w:tabs>
        <w:ind w:firstLine="1134"/>
        <w:rPr>
          <w:b/>
          <w:bCs/>
        </w:rPr>
      </w:pPr>
    </w:p>
    <w:p w:rsidR="006E5CD4" w:rsidRDefault="00F0015C">
      <w:pPr>
        <w:jc w:val="center"/>
        <w:rPr>
          <w:b/>
          <w:bCs/>
        </w:rPr>
      </w:pPr>
      <w:r>
        <w:rPr>
          <w:b/>
          <w:bCs/>
        </w:rPr>
        <w:t>LIETUVOS RESPUBLIKOS VYRIAUSYBĖ</w:t>
      </w:r>
    </w:p>
    <w:p w:rsidR="006E5CD4" w:rsidRDefault="006E5CD4">
      <w:pPr>
        <w:jc w:val="center"/>
        <w:rPr>
          <w:b/>
          <w:bCs/>
        </w:rPr>
      </w:pPr>
    </w:p>
    <w:p w:rsidR="006E5CD4" w:rsidRDefault="00F0015C">
      <w:pPr>
        <w:jc w:val="center"/>
      </w:pPr>
      <w:r>
        <w:rPr>
          <w:b/>
          <w:caps/>
        </w:rPr>
        <w:t>nutarimas</w:t>
      </w:r>
    </w:p>
    <w:p w:rsidR="006E5CD4" w:rsidRDefault="00F0015C">
      <w:pPr>
        <w:jc w:val="center"/>
      </w:pPr>
      <w:r>
        <w:rPr>
          <w:b/>
          <w:bCs/>
          <w:caps/>
          <w:szCs w:val="24"/>
          <w:lang w:eastAsia="lt-LT"/>
        </w:rPr>
        <w:t>Dėl Lietuvos Respublikos Vyriausybės 2011 m. rugsėjo 21 d. nutarimo Nr.</w:t>
      </w:r>
      <w:r w:rsidR="00776D45">
        <w:rPr>
          <w:b/>
          <w:bCs/>
          <w:caps/>
          <w:szCs w:val="24"/>
          <w:lang w:eastAsia="lt-LT"/>
        </w:rPr>
        <w:t> </w:t>
      </w:r>
      <w:r>
        <w:rPr>
          <w:b/>
          <w:bCs/>
          <w:caps/>
          <w:szCs w:val="24"/>
          <w:lang w:eastAsia="lt-LT"/>
        </w:rPr>
        <w:t xml:space="preserve">1111 „DĖL </w:t>
      </w:r>
      <w:r w:rsidR="00087D48">
        <w:rPr>
          <w:b/>
          <w:bCs/>
          <w:caps/>
          <w:color w:val="000000"/>
          <w:szCs w:val="24"/>
          <w:lang w:eastAsia="lt-LT"/>
        </w:rPr>
        <w:t>ŪKINĖS</w:t>
      </w:r>
      <w:r>
        <w:rPr>
          <w:rFonts w:cs="Arial"/>
          <w:b/>
          <w:bCs/>
          <w:caps/>
          <w:color w:val="000000"/>
          <w:szCs w:val="24"/>
          <w:lang w:eastAsia="lt-LT"/>
        </w:rPr>
        <w:t xml:space="preserve"> </w:t>
      </w:r>
      <w:r>
        <w:rPr>
          <w:b/>
          <w:bCs/>
          <w:caps/>
          <w:szCs w:val="24"/>
          <w:lang w:eastAsia="lt-LT"/>
        </w:rPr>
        <w:t>VEIKLOS, SUSIJUSIOS SU GINKLAIS</w:t>
      </w:r>
      <w:r w:rsidR="00087D48">
        <w:rPr>
          <w:b/>
          <w:bCs/>
          <w:caps/>
          <w:szCs w:val="24"/>
          <w:lang w:eastAsia="lt-LT"/>
        </w:rPr>
        <w:t xml:space="preserve">, GINKLŲ PRIEDĖLIAIS, </w:t>
      </w:r>
      <w:r>
        <w:rPr>
          <w:b/>
          <w:bCs/>
          <w:caps/>
          <w:szCs w:val="24"/>
          <w:lang w:eastAsia="lt-LT"/>
        </w:rPr>
        <w:t>ŠAUDMENIMIS</w:t>
      </w:r>
      <w:r w:rsidR="00087D48">
        <w:rPr>
          <w:b/>
          <w:bCs/>
          <w:caps/>
          <w:szCs w:val="24"/>
          <w:lang w:eastAsia="lt-LT"/>
        </w:rPr>
        <w:t xml:space="preserve"> IR JŲ DALIMIS</w:t>
      </w:r>
      <w:r>
        <w:rPr>
          <w:b/>
          <w:bCs/>
          <w:caps/>
          <w:szCs w:val="24"/>
          <w:lang w:eastAsia="lt-LT"/>
        </w:rPr>
        <w:t>, LICENCIJAVIMO TAISYKLIŲ PATVIRTINIMO“ pakeitimo</w:t>
      </w:r>
    </w:p>
    <w:p w:rsidR="006E5CD4" w:rsidRDefault="006E5CD4">
      <w:pPr>
        <w:spacing w:line="360" w:lineRule="auto"/>
        <w:jc w:val="center"/>
        <w:rPr>
          <w:b/>
          <w:caps/>
        </w:rPr>
      </w:pPr>
    </w:p>
    <w:p w:rsidR="006E5CD4" w:rsidRDefault="00F0015C">
      <w:pPr>
        <w:spacing w:line="360" w:lineRule="auto"/>
        <w:jc w:val="center"/>
      </w:pPr>
      <w:r>
        <w:t xml:space="preserve">Nr. </w:t>
      </w:r>
    </w:p>
    <w:p w:rsidR="006E5CD4" w:rsidRDefault="00F0015C">
      <w:pPr>
        <w:spacing w:line="360" w:lineRule="auto"/>
        <w:jc w:val="center"/>
      </w:pPr>
      <w:r>
        <w:t>Vilnius</w:t>
      </w:r>
    </w:p>
    <w:p w:rsidR="006E5CD4" w:rsidRDefault="00F0015C">
      <w:pPr>
        <w:spacing w:line="360" w:lineRule="atLeast"/>
        <w:ind w:firstLine="720"/>
        <w:jc w:val="both"/>
      </w:pPr>
      <w:r>
        <w:rPr>
          <w:szCs w:val="24"/>
          <w:lang w:eastAsia="lt-LT"/>
        </w:rPr>
        <w:t>Lietuvos Respublikos Vyriausybė</w:t>
      </w:r>
      <w:r>
        <w:rPr>
          <w:spacing w:val="100"/>
          <w:szCs w:val="24"/>
          <w:lang w:eastAsia="lt-LT"/>
        </w:rPr>
        <w:t xml:space="preserve"> nutari</w:t>
      </w:r>
      <w:r>
        <w:rPr>
          <w:szCs w:val="24"/>
          <w:lang w:eastAsia="lt-LT"/>
        </w:rPr>
        <w:t>a:</w:t>
      </w:r>
    </w:p>
    <w:p w:rsidR="006E5CD4" w:rsidRDefault="00F0015C">
      <w:pPr>
        <w:spacing w:line="360" w:lineRule="atLeast"/>
        <w:ind w:firstLine="720"/>
        <w:jc w:val="both"/>
      </w:pPr>
      <w:r>
        <w:rPr>
          <w:szCs w:val="24"/>
          <w:lang w:eastAsia="lt-LT"/>
        </w:rPr>
        <w:t xml:space="preserve">1. Pakeisti </w:t>
      </w:r>
      <w:r w:rsidR="00087D48">
        <w:rPr>
          <w:bCs/>
          <w:szCs w:val="24"/>
          <w:lang w:eastAsia="lt-LT"/>
        </w:rPr>
        <w:t>Ūkinės</w:t>
      </w:r>
      <w:r>
        <w:rPr>
          <w:bCs/>
          <w:szCs w:val="24"/>
          <w:lang w:eastAsia="lt-LT"/>
        </w:rPr>
        <w:t xml:space="preserve"> veiklos, susijusios su ginklais</w:t>
      </w:r>
      <w:r w:rsidR="00087D48">
        <w:rPr>
          <w:bCs/>
          <w:szCs w:val="24"/>
          <w:lang w:eastAsia="lt-LT"/>
        </w:rPr>
        <w:t>, ginklų priedėliais,</w:t>
      </w:r>
      <w:r>
        <w:rPr>
          <w:bCs/>
          <w:szCs w:val="24"/>
          <w:lang w:eastAsia="lt-LT"/>
        </w:rPr>
        <w:t xml:space="preserve"> šaudmenimis</w:t>
      </w:r>
      <w:r w:rsidR="00087D48">
        <w:rPr>
          <w:bCs/>
          <w:szCs w:val="24"/>
          <w:lang w:eastAsia="lt-LT"/>
        </w:rPr>
        <w:t xml:space="preserve"> ir jų dalimis</w:t>
      </w:r>
      <w:r>
        <w:rPr>
          <w:bCs/>
          <w:szCs w:val="24"/>
          <w:lang w:eastAsia="lt-LT"/>
        </w:rPr>
        <w:t>, licencijavimo taisykles</w:t>
      </w:r>
      <w:r w:rsidR="00087D48">
        <w:rPr>
          <w:bCs/>
          <w:szCs w:val="24"/>
          <w:lang w:eastAsia="lt-LT"/>
        </w:rPr>
        <w:t>, patvirtintas Lietuvos Respublikos Vyriausybės 2011 m. rugsėjo 21</w:t>
      </w:r>
      <w:r w:rsidR="00776D45">
        <w:rPr>
          <w:bCs/>
          <w:szCs w:val="24"/>
          <w:lang w:eastAsia="lt-LT"/>
        </w:rPr>
        <w:t> </w:t>
      </w:r>
      <w:r w:rsidR="00087D48">
        <w:rPr>
          <w:bCs/>
          <w:szCs w:val="24"/>
          <w:lang w:eastAsia="lt-LT"/>
        </w:rPr>
        <w:t>d. nutarimu Nr. 1111 „Dėl Ūkinės veiklos, susijusios su ginklais, ginklų priedėliais, šaudmenimis ir jų dalimis, licencijavimo taisyklių patvirtinimo“</w:t>
      </w:r>
      <w:r>
        <w:rPr>
          <w:szCs w:val="24"/>
          <w:lang w:eastAsia="lt-LT"/>
        </w:rPr>
        <w:t>:</w:t>
      </w:r>
    </w:p>
    <w:p w:rsidR="006E5CD4" w:rsidRDefault="00087D48">
      <w:pPr>
        <w:spacing w:line="360" w:lineRule="atLeast"/>
        <w:ind w:firstLine="720"/>
        <w:jc w:val="both"/>
      </w:pPr>
      <w:r>
        <w:rPr>
          <w:szCs w:val="24"/>
          <w:lang w:eastAsia="lt-LT"/>
        </w:rPr>
        <w:t>1.1. Pakeisti 5.2 papunktį</w:t>
      </w:r>
      <w:r w:rsidR="00F0015C">
        <w:rPr>
          <w:szCs w:val="24"/>
          <w:lang w:eastAsia="lt-LT"/>
        </w:rPr>
        <w:t xml:space="preserve"> ir jį išdėstyti taip:</w:t>
      </w:r>
    </w:p>
    <w:p w:rsidR="006E5CD4" w:rsidRDefault="00F0015C">
      <w:pPr>
        <w:spacing w:line="360" w:lineRule="atLeast"/>
        <w:ind w:firstLine="720"/>
        <w:jc w:val="both"/>
      </w:pPr>
      <w:r>
        <w:rPr>
          <w:szCs w:val="24"/>
          <w:lang w:eastAsia="lt-LT"/>
        </w:rPr>
        <w:t>„5.2.</w:t>
      </w:r>
      <w:r>
        <w:rPr>
          <w:szCs w:val="24"/>
        </w:rPr>
        <w:t xml:space="preserve"> ginklų, ginklų priedėlių, šaudmenų </w:t>
      </w:r>
      <w:r>
        <w:rPr>
          <w:bCs/>
          <w:szCs w:val="24"/>
        </w:rPr>
        <w:t>ir</w:t>
      </w:r>
      <w:r>
        <w:rPr>
          <w:szCs w:val="24"/>
        </w:rPr>
        <w:t xml:space="preserve"> jų dalių importu</w:t>
      </w:r>
      <w:r>
        <w:rPr>
          <w:bCs/>
          <w:szCs w:val="24"/>
        </w:rPr>
        <w:t>,</w:t>
      </w:r>
      <w:r>
        <w:rPr>
          <w:szCs w:val="24"/>
        </w:rPr>
        <w:t xml:space="preserve"> eksportu</w:t>
      </w:r>
      <w:r>
        <w:rPr>
          <w:bCs/>
          <w:szCs w:val="24"/>
        </w:rPr>
        <w:t>, vežimu</w:t>
      </w:r>
      <w:r>
        <w:rPr>
          <w:szCs w:val="24"/>
        </w:rPr>
        <w:t xml:space="preserve">; ši veikla apima B, C, D kategorijų ginklų, </w:t>
      </w:r>
      <w:r>
        <w:rPr>
          <w:bCs/>
          <w:szCs w:val="24"/>
        </w:rPr>
        <w:t xml:space="preserve">ginklų priedėlių, </w:t>
      </w:r>
      <w:r>
        <w:rPr>
          <w:szCs w:val="24"/>
        </w:rPr>
        <w:t>šaudmenų</w:t>
      </w:r>
      <w:r>
        <w:rPr>
          <w:bCs/>
          <w:szCs w:val="24"/>
        </w:rPr>
        <w:t xml:space="preserve"> ir</w:t>
      </w:r>
      <w:r>
        <w:rPr>
          <w:szCs w:val="24"/>
        </w:rPr>
        <w:t xml:space="preserve"> jų dalių, išskyrus</w:t>
      </w:r>
      <w:r>
        <w:rPr>
          <w:strike/>
          <w:szCs w:val="24"/>
        </w:rPr>
        <w:t xml:space="preserve"> Įstatymo 4</w:t>
      </w:r>
      <w:r>
        <w:rPr>
          <w:strike/>
          <w:color w:val="000000"/>
          <w:szCs w:val="24"/>
        </w:rPr>
        <w:t> </w:t>
      </w:r>
      <w:r>
        <w:rPr>
          <w:strike/>
          <w:szCs w:val="24"/>
        </w:rPr>
        <w:t>straipsnio 1, 2, 3 punktuose nurodytus ginklus, jų dalis,</w:t>
      </w:r>
      <w:r>
        <w:rPr>
          <w:szCs w:val="24"/>
        </w:rPr>
        <w:t xml:space="preserve"> </w:t>
      </w:r>
      <w:r>
        <w:rPr>
          <w:bCs/>
          <w:szCs w:val="24"/>
        </w:rPr>
        <w:t>Įstatymo 3 straipsnio 7 punkte nurodytų ginklų dėtuves, į kurias telpa daugiau kaip 20 šovinių ir Įstatymo 3 straipsnio 8 punkte nurodytų ginklų dėtuves, į kurias telpa daugiau kaip 10 šovinių</w:t>
      </w:r>
      <w:r>
        <w:rPr>
          <w:szCs w:val="24"/>
        </w:rPr>
        <w:t>, importą (įvežimą) ir eksportą (išvežimą);“.</w:t>
      </w:r>
    </w:p>
    <w:p w:rsidR="006E5CD4" w:rsidRDefault="00087D48">
      <w:pPr>
        <w:spacing w:line="360" w:lineRule="atLeast"/>
        <w:ind w:firstLine="720"/>
        <w:jc w:val="both"/>
      </w:pPr>
      <w:r>
        <w:rPr>
          <w:szCs w:val="24"/>
        </w:rPr>
        <w:t>1.2. Pakeisti 5.3 papunktį</w:t>
      </w:r>
      <w:r w:rsidR="00F0015C">
        <w:rPr>
          <w:szCs w:val="24"/>
        </w:rPr>
        <w:t xml:space="preserve"> ir jį išdėstyti taip: </w:t>
      </w:r>
    </w:p>
    <w:p w:rsidR="006E5CD4" w:rsidRDefault="00F0015C">
      <w:pPr>
        <w:spacing w:line="360" w:lineRule="atLeast"/>
        <w:ind w:firstLine="720"/>
        <w:jc w:val="both"/>
      </w:pPr>
      <w:r>
        <w:rPr>
          <w:szCs w:val="24"/>
        </w:rPr>
        <w:t>„5.</w:t>
      </w:r>
      <w:r>
        <w:rPr>
          <w:bCs/>
          <w:szCs w:val="24"/>
        </w:rPr>
        <w:t>3</w:t>
      </w:r>
      <w:r>
        <w:rPr>
          <w:szCs w:val="24"/>
        </w:rPr>
        <w:t xml:space="preserve">. prekyba civilinėje apyvartoje ginklais, ginklų priedėliais, šaudmenimis, jų dalimis; ši veikla apima prekybą civilinėje </w:t>
      </w:r>
      <w:bookmarkStart w:id="0" w:name="_GoBack"/>
      <w:bookmarkEnd w:id="0"/>
      <w:r>
        <w:rPr>
          <w:szCs w:val="24"/>
        </w:rPr>
        <w:t xml:space="preserve">apyvartoje B, C, D kategorijų ginklais, </w:t>
      </w:r>
      <w:r>
        <w:rPr>
          <w:bCs/>
          <w:szCs w:val="24"/>
        </w:rPr>
        <w:t>ginklų priedėliais,</w:t>
      </w:r>
      <w:r>
        <w:rPr>
          <w:szCs w:val="24"/>
        </w:rPr>
        <w:t xml:space="preserve"> šaudmenimis </w:t>
      </w:r>
      <w:r>
        <w:rPr>
          <w:bCs/>
          <w:szCs w:val="24"/>
        </w:rPr>
        <w:t xml:space="preserve">ir </w:t>
      </w:r>
      <w:r>
        <w:rPr>
          <w:szCs w:val="24"/>
        </w:rPr>
        <w:t>jų dalimis, išskyrus</w:t>
      </w:r>
      <w:r>
        <w:rPr>
          <w:strike/>
          <w:szCs w:val="24"/>
        </w:rPr>
        <w:t xml:space="preserve"> Įstatymo 4 straipsnio 1, 2, 3 punktuose nurodytus ginklus, jų dalis,</w:t>
      </w:r>
      <w:r>
        <w:rPr>
          <w:szCs w:val="24"/>
        </w:rPr>
        <w:t xml:space="preserve"> </w:t>
      </w:r>
      <w:r>
        <w:rPr>
          <w:bCs/>
          <w:szCs w:val="24"/>
        </w:rPr>
        <w:t>Įstatymo 3 straipsnio 7 punkte nurodytų ginklų dėtuves, į kurias telpa daugiau kaip 20</w:t>
      </w:r>
      <w:r w:rsidR="00776D45">
        <w:rPr>
          <w:bCs/>
          <w:szCs w:val="24"/>
        </w:rPr>
        <w:t> </w:t>
      </w:r>
      <w:r>
        <w:rPr>
          <w:bCs/>
          <w:szCs w:val="24"/>
        </w:rPr>
        <w:t>šovinių, Įstatymo 3 straipsnio 8 punkte nurodytų ginklų dėtuves, į kurias telpa daugiau kaip 10</w:t>
      </w:r>
      <w:r w:rsidR="00776D45">
        <w:rPr>
          <w:bCs/>
          <w:szCs w:val="24"/>
        </w:rPr>
        <w:t> </w:t>
      </w:r>
      <w:r>
        <w:rPr>
          <w:bCs/>
          <w:szCs w:val="24"/>
        </w:rPr>
        <w:t>šovinių,</w:t>
      </w:r>
      <w:r>
        <w:rPr>
          <w:szCs w:val="24"/>
        </w:rPr>
        <w:t xml:space="preserve"> ir D kategorijos šaltuosius ginklus;“.</w:t>
      </w:r>
    </w:p>
    <w:p w:rsidR="006E5CD4" w:rsidRDefault="00087D48">
      <w:pPr>
        <w:spacing w:line="360" w:lineRule="atLeast"/>
        <w:ind w:firstLine="720"/>
        <w:jc w:val="both"/>
      </w:pPr>
      <w:r>
        <w:rPr>
          <w:color w:val="000000"/>
          <w:szCs w:val="24"/>
        </w:rPr>
        <w:t>2. Š</w:t>
      </w:r>
      <w:r w:rsidR="00F0015C">
        <w:rPr>
          <w:color w:val="000000"/>
          <w:szCs w:val="24"/>
        </w:rPr>
        <w:t xml:space="preserve">is nutarimas įsigalioja 2020 m. liepos 1 d. </w:t>
      </w:r>
    </w:p>
    <w:p w:rsidR="006E5CD4" w:rsidRDefault="006E5CD4">
      <w:pPr>
        <w:spacing w:line="360" w:lineRule="atLeast"/>
        <w:ind w:firstLine="720"/>
        <w:jc w:val="both"/>
        <w:rPr>
          <w:color w:val="000000"/>
          <w:szCs w:val="24"/>
        </w:rPr>
      </w:pPr>
    </w:p>
    <w:p w:rsidR="006E5CD4" w:rsidRDefault="006E5CD4">
      <w:pPr>
        <w:spacing w:line="360" w:lineRule="atLeast"/>
        <w:ind w:firstLine="720"/>
        <w:jc w:val="both"/>
        <w:rPr>
          <w:szCs w:val="24"/>
        </w:rPr>
      </w:pPr>
    </w:p>
    <w:p w:rsidR="006E5CD4" w:rsidRDefault="006E5CD4">
      <w:pPr>
        <w:tabs>
          <w:tab w:val="left" w:pos="6237"/>
          <w:tab w:val="right" w:pos="8306"/>
        </w:tabs>
        <w:rPr>
          <w:color w:val="000000"/>
          <w:lang w:eastAsia="lt-LT"/>
        </w:rPr>
      </w:pPr>
    </w:p>
    <w:p w:rsidR="006E5CD4" w:rsidRDefault="00F0015C">
      <w:pPr>
        <w:tabs>
          <w:tab w:val="left" w:pos="6237"/>
          <w:tab w:val="right" w:pos="8306"/>
        </w:tabs>
        <w:rPr>
          <w:color w:val="000000"/>
          <w:lang w:eastAsia="lt-LT"/>
        </w:rPr>
      </w:pPr>
      <w:r>
        <w:rPr>
          <w:color w:val="000000"/>
          <w:lang w:eastAsia="lt-LT"/>
        </w:rPr>
        <w:t>Ministras Pirmininkas</w:t>
      </w:r>
    </w:p>
    <w:p w:rsidR="006E5CD4" w:rsidRDefault="006E5CD4">
      <w:pPr>
        <w:tabs>
          <w:tab w:val="left" w:pos="6237"/>
          <w:tab w:val="right" w:pos="8306"/>
        </w:tabs>
        <w:rPr>
          <w:color w:val="000000"/>
          <w:lang w:eastAsia="lt-LT"/>
        </w:rPr>
      </w:pPr>
    </w:p>
    <w:p w:rsidR="00776D45" w:rsidRDefault="00776D45">
      <w:pPr>
        <w:tabs>
          <w:tab w:val="left" w:pos="6237"/>
          <w:tab w:val="right" w:pos="8306"/>
        </w:tabs>
        <w:rPr>
          <w:color w:val="000000"/>
          <w:lang w:eastAsia="lt-LT"/>
        </w:rPr>
      </w:pPr>
    </w:p>
    <w:p w:rsidR="006E5CD4" w:rsidRDefault="006E5CD4">
      <w:pPr>
        <w:tabs>
          <w:tab w:val="left" w:pos="6237"/>
          <w:tab w:val="right" w:pos="8306"/>
        </w:tabs>
        <w:rPr>
          <w:color w:val="000000"/>
          <w:lang w:eastAsia="lt-LT"/>
        </w:rPr>
      </w:pPr>
    </w:p>
    <w:p w:rsidR="006E5CD4" w:rsidRDefault="00F0015C">
      <w:pPr>
        <w:tabs>
          <w:tab w:val="left" w:pos="6237"/>
          <w:tab w:val="right" w:pos="8306"/>
        </w:tabs>
      </w:pPr>
      <w:r>
        <w:rPr>
          <w:color w:val="000000"/>
          <w:lang w:eastAsia="lt-LT"/>
        </w:rPr>
        <w:t>Vidaus reikalų ministras</w:t>
      </w:r>
    </w:p>
    <w:sectPr w:rsidR="006E5CD4" w:rsidSect="006E5CD4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567" w:bottom="1134" w:left="1701" w:header="567" w:footer="567" w:gutter="0"/>
      <w:pgNumType w:start="1"/>
      <w:cols w:space="720"/>
      <w:formProt w:val="0"/>
      <w:titlePg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E66" w:rsidRDefault="00FD7E66" w:rsidP="006E5CD4">
      <w:r>
        <w:separator/>
      </w:r>
    </w:p>
  </w:endnote>
  <w:endnote w:type="continuationSeparator" w:id="0">
    <w:p w:rsidR="00FD7E66" w:rsidRDefault="00FD7E66" w:rsidP="006E5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CD4" w:rsidRDefault="006E5CD4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CD4" w:rsidRDefault="006E5CD4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E66" w:rsidRDefault="00FD7E66" w:rsidP="006E5CD4">
      <w:r>
        <w:separator/>
      </w:r>
    </w:p>
  </w:footnote>
  <w:footnote w:type="continuationSeparator" w:id="0">
    <w:p w:rsidR="00FD7E66" w:rsidRDefault="00FD7E66" w:rsidP="006E5C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CD4" w:rsidRDefault="00617B3A">
    <w:pPr>
      <w:tabs>
        <w:tab w:val="center" w:pos="4153"/>
        <w:tab w:val="right" w:pos="8306"/>
      </w:tabs>
      <w:ind w:right="360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9375" cy="173990"/>
              <wp:effectExtent l="0" t="635" r="0" b="0"/>
              <wp:wrapSquare wrapText="bothSides"/>
              <wp:docPr id="1" name="Fram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375" cy="173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5CD4" w:rsidRDefault="006E5CD4">
                          <w:pPr>
                            <w:pStyle w:val="FrameContents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 w:rsidR="00F0015C">
                            <w:instrText>PAGE</w:instrText>
                          </w:r>
                          <w:r>
                            <w:fldChar w:fldCharType="separate"/>
                          </w:r>
                          <w:r w:rsidR="00F0015C"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Frame1" o:spid="_x0000_s1026" style="position:absolute;margin-left:0;margin-top:.05pt;width:6.25pt;height:13.7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" filled="f" stroked="f" strokecolor="#3465a4">
              <v:stroke joinstyle="round"/>
              <v:textbox>
                <w:txbxContent>
                  <w:p w:rsidR="006E5CD4" w:rsidRDefault="006E5CD4">
                    <w:pPr>
                      <w:pStyle w:val="FrameContents"/>
                      <w:tabs>
                        <w:tab w:val="center" w:pos="4153"/>
                        <w:tab w:val="right" w:pos="8306"/>
                      </w:tabs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 w:rsidR="00F0015C">
                      <w:instrText>PAGE</w:instrText>
                    </w:r>
                    <w:r>
                      <w:fldChar w:fldCharType="separate"/>
                    </w:r>
                    <w:r w:rsidR="00F0015C"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CD4" w:rsidRDefault="006E5CD4">
    <w:pPr>
      <w:tabs>
        <w:tab w:val="center" w:pos="4153"/>
        <w:tab w:val="right" w:pos="8306"/>
      </w:tabs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trackRevisions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CD4"/>
    <w:rsid w:val="00087D48"/>
    <w:rsid w:val="00143F45"/>
    <w:rsid w:val="00617B3A"/>
    <w:rsid w:val="006E5CD4"/>
    <w:rsid w:val="00776D45"/>
    <w:rsid w:val="00F0015C"/>
    <w:rsid w:val="00FD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1C7E55-990D-4D36-AF3F-98E41573B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E5CD4"/>
    <w:rPr>
      <w:color w:val="00000A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qFormat/>
    <w:rsid w:val="006E5CD4"/>
    <w:rPr>
      <w:color w:val="808080"/>
    </w:rPr>
  </w:style>
  <w:style w:type="character" w:customStyle="1" w:styleId="InternetLink">
    <w:name w:val="Internet Link"/>
    <w:qFormat/>
    <w:rsid w:val="006E5CD4"/>
    <w:rPr>
      <w:color w:val="000080"/>
      <w:u w:val="single"/>
    </w:rPr>
  </w:style>
  <w:style w:type="character" w:styleId="Komentaronuoroda">
    <w:name w:val="annotation reference"/>
    <w:basedOn w:val="Numatytasispastraiposriftas"/>
    <w:qFormat/>
    <w:rsid w:val="00D41A1C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qFormat/>
    <w:rsid w:val="00D41A1C"/>
    <w:rPr>
      <w:color w:val="00000A"/>
    </w:rPr>
  </w:style>
  <w:style w:type="character" w:customStyle="1" w:styleId="KomentarotemaDiagrama">
    <w:name w:val="Komentaro tema Diagrama"/>
    <w:basedOn w:val="KomentarotekstasDiagrama"/>
    <w:link w:val="Komentarotema"/>
    <w:qFormat/>
    <w:rsid w:val="00D41A1C"/>
    <w:rPr>
      <w:b/>
      <w:bCs/>
      <w:color w:val="00000A"/>
    </w:rPr>
  </w:style>
  <w:style w:type="character" w:customStyle="1" w:styleId="DebesliotekstasDiagrama">
    <w:name w:val="Debesėlio tekstas Diagrama"/>
    <w:basedOn w:val="Numatytasispastraiposriftas"/>
    <w:link w:val="Debesliotekstas"/>
    <w:qFormat/>
    <w:rsid w:val="00D41A1C"/>
    <w:rPr>
      <w:rFonts w:ascii="Tahoma" w:hAnsi="Tahoma" w:cs="Tahoma"/>
      <w:color w:val="00000A"/>
      <w:sz w:val="16"/>
      <w:szCs w:val="16"/>
    </w:rPr>
  </w:style>
  <w:style w:type="paragraph" w:customStyle="1" w:styleId="Heading">
    <w:name w:val="Heading"/>
    <w:basedOn w:val="prastasis"/>
    <w:next w:val="Pagrindinistekstas"/>
    <w:qFormat/>
    <w:rsid w:val="006E5CD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rsid w:val="006E5CD4"/>
    <w:pPr>
      <w:spacing w:after="140" w:line="288" w:lineRule="auto"/>
    </w:pPr>
  </w:style>
  <w:style w:type="paragraph" w:styleId="Sraas">
    <w:name w:val="List"/>
    <w:basedOn w:val="Pagrindinistekstas"/>
    <w:rsid w:val="006E5CD4"/>
    <w:rPr>
      <w:rFonts w:cs="Arial"/>
    </w:rPr>
  </w:style>
  <w:style w:type="paragraph" w:customStyle="1" w:styleId="Antrat1">
    <w:name w:val="Antraštė1"/>
    <w:basedOn w:val="prastasis"/>
    <w:qFormat/>
    <w:rsid w:val="006E5CD4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prastasis"/>
    <w:qFormat/>
    <w:rsid w:val="006E5CD4"/>
    <w:pPr>
      <w:suppressLineNumbers/>
    </w:pPr>
    <w:rPr>
      <w:rFonts w:cs="Arial"/>
    </w:rPr>
  </w:style>
  <w:style w:type="paragraph" w:styleId="Antrat">
    <w:name w:val="caption"/>
    <w:basedOn w:val="prastasis"/>
    <w:qFormat/>
    <w:rsid w:val="006E5CD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Rodykl">
    <w:name w:val="Rodyklė"/>
    <w:basedOn w:val="prastasis"/>
    <w:qFormat/>
    <w:rsid w:val="006E5CD4"/>
    <w:pPr>
      <w:suppressLineNumbers/>
    </w:pPr>
    <w:rPr>
      <w:rFonts w:cs="Arial"/>
    </w:rPr>
  </w:style>
  <w:style w:type="paragraph" w:customStyle="1" w:styleId="Antrats1">
    <w:name w:val="Antraštės1"/>
    <w:basedOn w:val="prastasis"/>
    <w:rsid w:val="006E5CD4"/>
  </w:style>
  <w:style w:type="paragraph" w:customStyle="1" w:styleId="FrameContents">
    <w:name w:val="Frame Contents"/>
    <w:basedOn w:val="prastasis"/>
    <w:qFormat/>
    <w:rsid w:val="006E5CD4"/>
  </w:style>
  <w:style w:type="paragraph" w:customStyle="1" w:styleId="Porat1">
    <w:name w:val="Poraštė1"/>
    <w:basedOn w:val="prastasis"/>
    <w:rsid w:val="006E5CD4"/>
  </w:style>
  <w:style w:type="paragraph" w:customStyle="1" w:styleId="Kadroturinys">
    <w:name w:val="Kadro turinys"/>
    <w:basedOn w:val="prastasis"/>
    <w:qFormat/>
    <w:rsid w:val="006E5CD4"/>
  </w:style>
  <w:style w:type="paragraph" w:styleId="Komentarotekstas">
    <w:name w:val="annotation text"/>
    <w:basedOn w:val="prastasis"/>
    <w:link w:val="KomentarotekstasDiagrama"/>
    <w:qFormat/>
    <w:rsid w:val="00D41A1C"/>
    <w:rPr>
      <w:sz w:val="20"/>
    </w:rPr>
  </w:style>
  <w:style w:type="paragraph" w:styleId="Komentarotema">
    <w:name w:val="annotation subject"/>
    <w:basedOn w:val="Komentarotekstas"/>
    <w:link w:val="KomentarotemaDiagrama"/>
    <w:qFormat/>
    <w:rsid w:val="00D41A1C"/>
    <w:rPr>
      <w:b/>
      <w:bCs/>
    </w:rPr>
  </w:style>
  <w:style w:type="paragraph" w:styleId="Debesliotekstas">
    <w:name w:val="Balloon Text"/>
    <w:basedOn w:val="prastasis"/>
    <w:link w:val="DebesliotekstasDiagrama"/>
    <w:qFormat/>
    <w:rsid w:val="00D41A1C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qFormat/>
    <w:rsid w:val="006479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1206</Words>
  <Characters>688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LRVK</Company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Kristijonas Gudalevičius</cp:lastModifiedBy>
  <cp:revision>2</cp:revision>
  <cp:lastPrinted>2011-09-21T05:39:00Z</cp:lastPrinted>
  <dcterms:created xsi:type="dcterms:W3CDTF">2020-05-18T05:50:00Z</dcterms:created>
  <dcterms:modified xsi:type="dcterms:W3CDTF">2020-05-18T05:50:00Z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LRVK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