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BE" w:rsidRPr="00D8192E" w:rsidRDefault="003B5DBE" w:rsidP="003B5DB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b/>
          <w:caps/>
          <w:snapToGrid w:val="0"/>
          <w:sz w:val="24"/>
          <w:szCs w:val="24"/>
        </w:rPr>
      </w:pPr>
      <w:bookmarkStart w:id="0" w:name="_GoBack"/>
      <w:bookmarkEnd w:id="0"/>
      <w:r w:rsidRPr="00D8192E">
        <w:rPr>
          <w:rFonts w:ascii="Times New Roman" w:eastAsia="Times New Roman" w:hAnsi="Times New Roman"/>
          <w:b/>
          <w:caps/>
          <w:snapToGrid w:val="0"/>
          <w:sz w:val="24"/>
          <w:szCs w:val="24"/>
        </w:rPr>
        <w:t>LIETUVOS RESPUBLIKOS VYRIAUSYBĖS KANCELIARIJA</w:t>
      </w:r>
    </w:p>
    <w:p w:rsidR="003B5DBE" w:rsidRPr="00D8192E" w:rsidRDefault="003B5DBE" w:rsidP="003B5DB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b/>
          <w:caps/>
          <w:snapToGrid w:val="0"/>
          <w:sz w:val="24"/>
          <w:szCs w:val="24"/>
        </w:rPr>
      </w:pPr>
      <w:r w:rsidRPr="00D8192E">
        <w:rPr>
          <w:rFonts w:ascii="Times New Roman" w:eastAsia="Times New Roman" w:hAnsi="Times New Roman"/>
          <w:b/>
          <w:caps/>
          <w:snapToGrid w:val="0"/>
          <w:sz w:val="24"/>
          <w:szCs w:val="24"/>
        </w:rPr>
        <w:t>TEISĖS GRUPĖ</w:t>
      </w:r>
    </w:p>
    <w:p w:rsidR="003B5DBE" w:rsidRPr="00D8192E" w:rsidRDefault="003B5DBE" w:rsidP="003B5DB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jc w:val="center"/>
        <w:rPr>
          <w:rFonts w:ascii="Times New Roman" w:eastAsia="Times New Roman" w:hAnsi="Times New Roman"/>
          <w:b/>
          <w:caps/>
          <w:snapToGrid w:val="0"/>
          <w:sz w:val="24"/>
          <w:szCs w:val="24"/>
        </w:rPr>
      </w:pPr>
    </w:p>
    <w:p w:rsidR="003B5DBE" w:rsidRPr="00D8192E" w:rsidRDefault="003B5DBE" w:rsidP="00A670C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b/>
          <w:snapToGrid w:val="0"/>
          <w:sz w:val="24"/>
          <w:szCs w:val="24"/>
        </w:rPr>
      </w:pPr>
      <w:r w:rsidRPr="00D8192E">
        <w:rPr>
          <w:rFonts w:ascii="Times New Roman" w:eastAsia="Times New Roman" w:hAnsi="Times New Roman"/>
          <w:b/>
          <w:snapToGrid w:val="0"/>
          <w:sz w:val="24"/>
          <w:szCs w:val="24"/>
        </w:rPr>
        <w:t>IŠVADA</w:t>
      </w:r>
    </w:p>
    <w:p w:rsidR="003B5DBE" w:rsidRPr="00D8192E" w:rsidRDefault="003B5DBE" w:rsidP="00A670CC">
      <w:pPr>
        <w:spacing w:after="0" w:line="240" w:lineRule="auto"/>
        <w:jc w:val="center"/>
        <w:rPr>
          <w:rFonts w:ascii="Times New Roman" w:eastAsia="Times New Roman" w:hAnsi="Times New Roman"/>
          <w:b/>
          <w:caps/>
          <w:spacing w:val="-6"/>
          <w:sz w:val="24"/>
          <w:szCs w:val="24"/>
          <w:lang w:eastAsia="ru-RU"/>
        </w:rPr>
      </w:pPr>
      <w:r w:rsidRPr="00D8192E">
        <w:rPr>
          <w:rFonts w:ascii="Times New Roman" w:eastAsia="Times New Roman" w:hAnsi="Times New Roman"/>
          <w:b/>
          <w:caps/>
          <w:spacing w:val="-6"/>
          <w:sz w:val="24"/>
          <w:szCs w:val="24"/>
          <w:lang w:eastAsia="ru-RU"/>
        </w:rPr>
        <w:t>DĖL LIETUVOS RESPUBLIKOS VALSTYBĖS SIENOS IR JOS APSAUGOS ĮSTATYMO NR.VIII-1666 23 STRAIPSNIO PAKEITIMO ĮSTATYMO PROJEKTO</w:t>
      </w:r>
    </w:p>
    <w:p w:rsidR="003B5DBE" w:rsidRPr="00D8192E" w:rsidRDefault="003B5DBE" w:rsidP="003B5DBE">
      <w:pPr>
        <w:spacing w:after="0" w:line="240" w:lineRule="auto"/>
        <w:jc w:val="center"/>
        <w:rPr>
          <w:rFonts w:ascii="Times New Roman" w:eastAsia="Times New Roman" w:hAnsi="Times New Roman"/>
          <w:b/>
          <w:caps/>
          <w:spacing w:val="-6"/>
          <w:sz w:val="24"/>
          <w:szCs w:val="24"/>
          <w:lang w:eastAsia="ru-RU"/>
        </w:rPr>
      </w:pPr>
      <w:r w:rsidRPr="00D8192E">
        <w:rPr>
          <w:rFonts w:ascii="Times New Roman" w:eastAsia="Times New Roman" w:hAnsi="Times New Roman"/>
          <w:b/>
          <w:caps/>
          <w:spacing w:val="-6"/>
          <w:sz w:val="24"/>
          <w:szCs w:val="24"/>
          <w:lang w:eastAsia="ru-RU"/>
        </w:rPr>
        <w:t xml:space="preserve">ĮSTATYMO PROJEKTO </w:t>
      </w:r>
    </w:p>
    <w:p w:rsidR="003B5DBE" w:rsidRPr="00D8192E" w:rsidRDefault="003B5DBE" w:rsidP="003B5DBE">
      <w:pPr>
        <w:spacing w:after="0" w:line="240" w:lineRule="auto"/>
        <w:jc w:val="center"/>
        <w:rPr>
          <w:rFonts w:ascii="Times New Roman" w:eastAsia="Times New Roman" w:hAnsi="Times New Roman"/>
          <w:b/>
          <w:caps/>
          <w:spacing w:val="-6"/>
          <w:sz w:val="24"/>
          <w:szCs w:val="24"/>
          <w:lang w:eastAsia="ru-RU"/>
        </w:rPr>
      </w:pPr>
      <w:r w:rsidRPr="00D8192E">
        <w:rPr>
          <w:rFonts w:ascii="Times New Roman" w:eastAsia="Times New Roman" w:hAnsi="Times New Roman"/>
          <w:b/>
          <w:caps/>
          <w:spacing w:val="-6"/>
          <w:sz w:val="24"/>
          <w:szCs w:val="24"/>
          <w:lang w:eastAsia="ru-RU"/>
        </w:rPr>
        <w:t>(TOLIAU – PROJEKTAS)</w:t>
      </w:r>
    </w:p>
    <w:p w:rsidR="003B5DBE" w:rsidRPr="00D8192E" w:rsidRDefault="003B5DBE" w:rsidP="003B5DBE">
      <w:pPr>
        <w:spacing w:after="0" w:line="240" w:lineRule="auto"/>
        <w:jc w:val="center"/>
        <w:rPr>
          <w:rFonts w:ascii="Times New Roman" w:eastAsia="Times New Roman" w:hAnsi="Times New Roman"/>
          <w:b/>
          <w:caps/>
          <w:spacing w:val="-6"/>
          <w:sz w:val="24"/>
          <w:szCs w:val="24"/>
          <w:lang w:eastAsia="ru-RU"/>
        </w:rPr>
      </w:pPr>
    </w:p>
    <w:p w:rsidR="003B5DBE" w:rsidRPr="00D8192E" w:rsidRDefault="003B5DBE" w:rsidP="003B5DB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b/>
          <w:snapToGrid w:val="0"/>
          <w:sz w:val="24"/>
          <w:szCs w:val="24"/>
        </w:rPr>
      </w:pPr>
      <w:r w:rsidRPr="00D8192E">
        <w:rPr>
          <w:rFonts w:ascii="Times New Roman" w:eastAsia="Times New Roman" w:hAnsi="Times New Roman"/>
          <w:b/>
          <w:snapToGrid w:val="0"/>
          <w:sz w:val="24"/>
          <w:szCs w:val="24"/>
        </w:rPr>
        <w:t>(TAP NR. 18-1</w:t>
      </w:r>
      <w:r w:rsidR="00264013" w:rsidRPr="00D8192E">
        <w:rPr>
          <w:rFonts w:ascii="Times New Roman" w:eastAsia="Times New Roman" w:hAnsi="Times New Roman"/>
          <w:b/>
          <w:snapToGrid w:val="0"/>
          <w:sz w:val="24"/>
          <w:szCs w:val="24"/>
        </w:rPr>
        <w:t>327</w:t>
      </w:r>
      <w:r w:rsidRPr="00D8192E">
        <w:rPr>
          <w:rFonts w:ascii="Times New Roman" w:eastAsia="Times New Roman" w:hAnsi="Times New Roman"/>
          <w:b/>
          <w:snapToGrid w:val="0"/>
          <w:sz w:val="24"/>
          <w:szCs w:val="24"/>
        </w:rPr>
        <w:t>; TAIS NR. 18-8</w:t>
      </w:r>
      <w:r w:rsidR="00264013" w:rsidRPr="00D8192E">
        <w:rPr>
          <w:rFonts w:ascii="Times New Roman" w:eastAsia="Times New Roman" w:hAnsi="Times New Roman"/>
          <w:b/>
          <w:snapToGrid w:val="0"/>
          <w:sz w:val="24"/>
          <w:szCs w:val="24"/>
        </w:rPr>
        <w:t>867</w:t>
      </w:r>
      <w:r w:rsidR="00D8192E">
        <w:rPr>
          <w:rFonts w:ascii="Times New Roman" w:eastAsia="Times New Roman" w:hAnsi="Times New Roman"/>
          <w:b/>
          <w:snapToGrid w:val="0"/>
          <w:sz w:val="24"/>
          <w:szCs w:val="24"/>
        </w:rPr>
        <w:t>(2)</w:t>
      </w:r>
      <w:r w:rsidRPr="00D8192E">
        <w:rPr>
          <w:rFonts w:ascii="Times New Roman" w:eastAsia="Times New Roman" w:hAnsi="Times New Roman"/>
          <w:b/>
          <w:snapToGrid w:val="0"/>
          <w:sz w:val="24"/>
          <w:szCs w:val="24"/>
        </w:rPr>
        <w:t>)</w:t>
      </w:r>
    </w:p>
    <w:p w:rsidR="003B5DBE" w:rsidRPr="00D8192E" w:rsidRDefault="003B5DBE" w:rsidP="003B5DBE">
      <w:pPr>
        <w:spacing w:after="0" w:line="360" w:lineRule="auto"/>
        <w:jc w:val="center"/>
        <w:rPr>
          <w:rFonts w:ascii="Times New Roman" w:eastAsia="Times New Roman" w:hAnsi="Times New Roman"/>
          <w:b/>
          <w:caps/>
          <w:spacing w:val="-6"/>
          <w:sz w:val="24"/>
          <w:szCs w:val="24"/>
          <w:lang w:eastAsia="ru-RU"/>
        </w:rPr>
      </w:pPr>
    </w:p>
    <w:tbl>
      <w:tblPr>
        <w:tblW w:w="0" w:type="auto"/>
        <w:tblInd w:w="2660" w:type="dxa"/>
        <w:tblLook w:val="04A0" w:firstRow="1" w:lastRow="0" w:firstColumn="1" w:lastColumn="0" w:noHBand="0" w:noVBand="1"/>
      </w:tblPr>
      <w:tblGrid>
        <w:gridCol w:w="4536"/>
      </w:tblGrid>
      <w:tr w:rsidR="003B5DBE" w:rsidRPr="00D8192E" w:rsidTr="00A1643D">
        <w:tc>
          <w:tcPr>
            <w:tcW w:w="4536" w:type="dxa"/>
            <w:shd w:val="clear" w:color="auto" w:fill="auto"/>
          </w:tcPr>
          <w:p w:rsidR="003B5DBE" w:rsidRPr="00D8192E" w:rsidRDefault="003B5DBE" w:rsidP="00A1643D">
            <w:pPr>
              <w:spacing w:before="60" w:after="60" w:line="240" w:lineRule="auto"/>
              <w:jc w:val="center"/>
              <w:rPr>
                <w:rFonts w:ascii="Times New Roman" w:eastAsia="Times New Roman" w:hAnsi="Times New Roman"/>
                <w:spacing w:val="-6"/>
                <w:sz w:val="24"/>
                <w:szCs w:val="24"/>
                <w:lang w:eastAsia="ru-RU"/>
              </w:rPr>
            </w:pPr>
            <w:r w:rsidRPr="00D8192E">
              <w:rPr>
                <w:rFonts w:ascii="Times New Roman" w:eastAsia="Times New Roman" w:hAnsi="Times New Roman"/>
                <w:spacing w:val="-6"/>
                <w:sz w:val="24"/>
                <w:szCs w:val="24"/>
                <w:lang w:eastAsia="ru-RU"/>
              </w:rPr>
              <w:t xml:space="preserve">  Nr. </w:t>
            </w:r>
          </w:p>
        </w:tc>
      </w:tr>
    </w:tbl>
    <w:p w:rsidR="003B5DBE" w:rsidRPr="00D8192E" w:rsidRDefault="003B5DBE" w:rsidP="003B5DBE">
      <w:pPr>
        <w:spacing w:before="120" w:after="0" w:line="360" w:lineRule="auto"/>
        <w:jc w:val="center"/>
        <w:rPr>
          <w:rFonts w:ascii="Times New Roman" w:eastAsia="Times New Roman" w:hAnsi="Times New Roman"/>
          <w:spacing w:val="-6"/>
          <w:sz w:val="24"/>
          <w:szCs w:val="24"/>
          <w:lang w:eastAsia="ru-RU"/>
        </w:rPr>
      </w:pPr>
      <w:r w:rsidRPr="00D8192E">
        <w:rPr>
          <w:rFonts w:ascii="Times New Roman" w:eastAsia="Times New Roman" w:hAnsi="Times New Roman"/>
          <w:sz w:val="24"/>
          <w:szCs w:val="24"/>
          <w:lang w:eastAsia="ru-RU"/>
        </w:rPr>
        <w:t>Vilnius</w:t>
      </w:r>
    </w:p>
    <w:p w:rsidR="003B5DBE" w:rsidRPr="00D8192E" w:rsidRDefault="003B5DBE" w:rsidP="003B5DBE">
      <w:pPr>
        <w:overflowPunct w:val="0"/>
        <w:autoSpaceDE w:val="0"/>
        <w:autoSpaceDN w:val="0"/>
        <w:adjustRightInd w:val="0"/>
        <w:spacing w:after="0" w:line="360" w:lineRule="auto"/>
        <w:ind w:left="142" w:hanging="142"/>
        <w:jc w:val="center"/>
        <w:rPr>
          <w:rFonts w:ascii="Times New Roman" w:eastAsia="Times New Roman" w:hAnsi="Times New Roman"/>
          <w:sz w:val="24"/>
          <w:szCs w:val="24"/>
          <w:lang w:eastAsia="ru-RU"/>
        </w:rPr>
      </w:pPr>
    </w:p>
    <w:p w:rsidR="003B114B" w:rsidRPr="00D8192E" w:rsidRDefault="003B114B" w:rsidP="003B114B">
      <w:pPr>
        <w:pStyle w:val="Preformatted"/>
        <w:tabs>
          <w:tab w:val="clear" w:pos="959"/>
          <w:tab w:val="left" w:pos="851"/>
        </w:tabs>
        <w:spacing w:line="360" w:lineRule="auto"/>
        <w:jc w:val="both"/>
        <w:rPr>
          <w:rFonts w:ascii="Times New Roman" w:hAnsi="Times New Roman"/>
          <w:sz w:val="24"/>
          <w:szCs w:val="24"/>
        </w:rPr>
      </w:pPr>
      <w:r w:rsidRPr="00D8192E">
        <w:rPr>
          <w:rFonts w:ascii="Times New Roman" w:hAnsi="Times New Roman"/>
          <w:sz w:val="24"/>
          <w:szCs w:val="24"/>
        </w:rPr>
        <w:tab/>
        <w:t>Įvertinę Projekto atitiktį Konstitucijai, įstatymams ir teisės technikos reikalavimams, teikiame ši</w:t>
      </w:r>
      <w:r w:rsidR="00A670CC" w:rsidRPr="00D8192E">
        <w:rPr>
          <w:rFonts w:ascii="Times New Roman" w:hAnsi="Times New Roman"/>
          <w:sz w:val="24"/>
          <w:szCs w:val="24"/>
        </w:rPr>
        <w:t>a</w:t>
      </w:r>
      <w:r w:rsidR="009130F0" w:rsidRPr="00D8192E">
        <w:rPr>
          <w:rFonts w:ascii="Times New Roman" w:hAnsi="Times New Roman"/>
          <w:sz w:val="24"/>
          <w:szCs w:val="24"/>
        </w:rPr>
        <w:t>s</w:t>
      </w:r>
      <w:r w:rsidRPr="00D8192E">
        <w:rPr>
          <w:rFonts w:ascii="Times New Roman" w:hAnsi="Times New Roman"/>
          <w:sz w:val="24"/>
          <w:szCs w:val="24"/>
        </w:rPr>
        <w:t xml:space="preserve"> pastabas</w:t>
      </w:r>
      <w:r w:rsidR="009130F0" w:rsidRPr="00D8192E">
        <w:rPr>
          <w:rFonts w:ascii="Times New Roman" w:hAnsi="Times New Roman"/>
          <w:sz w:val="24"/>
          <w:szCs w:val="24"/>
        </w:rPr>
        <w:t xml:space="preserve"> ir pasiūlymus</w:t>
      </w:r>
      <w:r w:rsidRPr="00D8192E">
        <w:rPr>
          <w:rFonts w:ascii="Times New Roman" w:hAnsi="Times New Roman"/>
          <w:sz w:val="24"/>
          <w:szCs w:val="24"/>
        </w:rPr>
        <w:t>:</w:t>
      </w:r>
    </w:p>
    <w:p w:rsidR="00744403" w:rsidRPr="00D8192E" w:rsidRDefault="003B114B" w:rsidP="003B114B">
      <w:pPr>
        <w:pStyle w:val="Preformatted"/>
        <w:tabs>
          <w:tab w:val="clear" w:pos="959"/>
          <w:tab w:val="left" w:pos="851"/>
        </w:tabs>
        <w:spacing w:line="360" w:lineRule="auto"/>
        <w:jc w:val="both"/>
        <w:rPr>
          <w:rFonts w:ascii="Times New Roman" w:hAnsi="Times New Roman"/>
          <w:sz w:val="24"/>
          <w:szCs w:val="24"/>
        </w:rPr>
      </w:pPr>
      <w:r w:rsidRPr="00D8192E">
        <w:rPr>
          <w:rFonts w:ascii="Times New Roman" w:hAnsi="Times New Roman"/>
          <w:sz w:val="24"/>
          <w:szCs w:val="24"/>
        </w:rPr>
        <w:tab/>
        <w:t xml:space="preserve">1. Lietuvos Respublikos valstybės sienos ir jos apsaugos įstatymo </w:t>
      </w:r>
      <w:r w:rsidR="00435725" w:rsidRPr="00D8192E">
        <w:rPr>
          <w:rFonts w:ascii="Times New Roman" w:hAnsi="Times New Roman"/>
          <w:sz w:val="24"/>
          <w:szCs w:val="24"/>
        </w:rPr>
        <w:t>(toliau – Įstatymas) 23</w:t>
      </w:r>
      <w:r w:rsidR="00A670CC" w:rsidRPr="00D8192E">
        <w:rPr>
          <w:rFonts w:ascii="Times New Roman" w:hAnsi="Times New Roman"/>
          <w:sz w:val="24"/>
          <w:szCs w:val="24"/>
        </w:rPr>
        <w:t> </w:t>
      </w:r>
      <w:r w:rsidR="00435725" w:rsidRPr="00D8192E">
        <w:rPr>
          <w:rFonts w:ascii="Times New Roman" w:hAnsi="Times New Roman"/>
          <w:sz w:val="24"/>
          <w:szCs w:val="24"/>
        </w:rPr>
        <w:t xml:space="preserve">straipsnyje yra detaliai išvardintos Valstybės sienos apsaugos tarnybos prie Lietuvos Respublikos vidaus reikalų ministerijos (toliau – </w:t>
      </w:r>
      <w:r w:rsidR="005073CD" w:rsidRPr="00D8192E">
        <w:rPr>
          <w:rFonts w:ascii="Times New Roman" w:hAnsi="Times New Roman"/>
          <w:sz w:val="24"/>
          <w:szCs w:val="24"/>
        </w:rPr>
        <w:t>VSAT</w:t>
      </w:r>
      <w:r w:rsidR="00435725" w:rsidRPr="00D8192E">
        <w:rPr>
          <w:rFonts w:ascii="Times New Roman" w:hAnsi="Times New Roman"/>
          <w:sz w:val="24"/>
          <w:szCs w:val="24"/>
        </w:rPr>
        <w:t>) funkcijos</w:t>
      </w:r>
      <w:r w:rsidR="00744403" w:rsidRPr="00D8192E">
        <w:rPr>
          <w:rFonts w:ascii="Times New Roman" w:hAnsi="Times New Roman"/>
          <w:sz w:val="24"/>
          <w:szCs w:val="24"/>
        </w:rPr>
        <w:t>, kurias Projektu siūloma koreguoti</w:t>
      </w:r>
      <w:r w:rsidR="00435725" w:rsidRPr="00D8192E">
        <w:rPr>
          <w:rFonts w:ascii="Times New Roman" w:hAnsi="Times New Roman"/>
          <w:sz w:val="24"/>
          <w:szCs w:val="24"/>
        </w:rPr>
        <w:t xml:space="preserve">. </w:t>
      </w:r>
      <w:r w:rsidR="00A670CC" w:rsidRPr="00D8192E">
        <w:rPr>
          <w:rFonts w:ascii="Times New Roman" w:hAnsi="Times New Roman"/>
          <w:color w:val="000000"/>
          <w:sz w:val="24"/>
          <w:szCs w:val="24"/>
        </w:rPr>
        <w:t xml:space="preserve">Vyriausybės kanceliarijos Teisės grupė savo praktikoje yra ne kartą pažymėjusi, jog </w:t>
      </w:r>
      <w:r w:rsidR="00A670CC" w:rsidRPr="00D8192E">
        <w:rPr>
          <w:rFonts w:ascii="Times New Roman" w:hAnsi="Times New Roman"/>
          <w:sz w:val="24"/>
          <w:szCs w:val="24"/>
        </w:rPr>
        <w:t>siekiant užtikrinti tinkamą Lietuvos Respublikos Konstitucijos 94 straipsnio 3 punkte įtvirtintų Vyriausybės įgaliojimų koordinuoti ministerijų ir kitų Vyriausybės įstaigų veiklą įgyvendinimą, taip pat Lietuvos Respublikos Vyriausybės įstatymo 22 straipsnio 8 ir 9 punktų, realizavimą paprastai (t. y. išskyrus išimtinius, pagrįstus atvejus) įstatymuose neturėtų būti dėstomos Vyriausybės įstaigų, ministerijų, įstaigų prie ministerijų veiklos funkcijos, nes Lietuvos Respublikos civilinio kodekso 2.46 straipsnyje, Lietuvos Respublikos biudžetinių įstaigų įstatymo 6 straipsnyje numatyta, jog juridiniai asmenys savo veikloje vadovaujasi įstatais (nuostatais). Civilinio kodekso 2.47 straipsnyje, Biudžetinių įstaigų 6 straipsnyje įtvirtinta, kad būtent įstatuose (nuostatuose) turėtų būti nurodomi juridinio asmens veiklos tikslai, biudžetinės įstaigos veiklos tikslai ir funkcijos.</w:t>
      </w:r>
      <w:r w:rsidR="00744403" w:rsidRPr="00D8192E">
        <w:rPr>
          <w:rFonts w:ascii="Times New Roman" w:hAnsi="Times New Roman"/>
          <w:sz w:val="24"/>
          <w:szCs w:val="24"/>
        </w:rPr>
        <w:t xml:space="preserve"> B</w:t>
      </w:r>
      <w:r w:rsidRPr="00D8192E">
        <w:rPr>
          <w:rFonts w:ascii="Times New Roman" w:hAnsi="Times New Roman"/>
          <w:sz w:val="24"/>
          <w:szCs w:val="24"/>
        </w:rPr>
        <w:t xml:space="preserve">e to, tokiu būdu sukuriama situacija, kai tam tikros funkcijos turinys gali būti keičiamas ar funkcija gali būti perduodama kitai įstaigai, </w:t>
      </w:r>
      <w:r w:rsidRPr="00D8192E">
        <w:rPr>
          <w:rFonts w:ascii="Times New Roman" w:hAnsi="Times New Roman"/>
          <w:i/>
          <w:sz w:val="24"/>
          <w:szCs w:val="24"/>
        </w:rPr>
        <w:t>tik atitinkamai koreguojant įstatymus</w:t>
      </w:r>
      <w:r w:rsidRPr="00D8192E">
        <w:rPr>
          <w:rFonts w:ascii="Times New Roman" w:hAnsi="Times New Roman"/>
          <w:sz w:val="24"/>
          <w:szCs w:val="24"/>
        </w:rPr>
        <w:t>. Be kita ko, atkreiptinas dėmesys, jog Konstitucinis Teismas savo jurisprudencijoje yra nurodęs, kad įstatymais turi būti reguliuojami svarbiausi visuomenės gyvenimo klausimai (asmens teisių ir laisvių ribojimai, mokesčiai, už nusikalstamas veikas skiriamos baudos ir kita). Abejotina, ar įstatymuose įtvirtintos institucijų funkcijos laikytinos svarbiais visuomenės gyvenimo klausimais, kad būtų reglamentuojamos įstatymų lygmeniu. Atsižvelgdami į tai, ir siekiant užtikrinti teisės aktų hierarchiją ir ekonomiškumo principą atitinkančią teisėkūrą, siūlytume iš esmės pe</w:t>
      </w:r>
      <w:r w:rsidR="00336C1C" w:rsidRPr="00D8192E">
        <w:rPr>
          <w:rFonts w:ascii="Times New Roman" w:hAnsi="Times New Roman"/>
          <w:sz w:val="24"/>
          <w:szCs w:val="24"/>
        </w:rPr>
        <w:t xml:space="preserve">ržiūrėti aptariamą </w:t>
      </w:r>
      <w:r w:rsidR="009C320B">
        <w:rPr>
          <w:rFonts w:ascii="Times New Roman" w:hAnsi="Times New Roman"/>
          <w:sz w:val="24"/>
          <w:szCs w:val="24"/>
        </w:rPr>
        <w:t xml:space="preserve">teisinį </w:t>
      </w:r>
      <w:r w:rsidR="00336C1C" w:rsidRPr="00D8192E">
        <w:rPr>
          <w:rFonts w:ascii="Times New Roman" w:hAnsi="Times New Roman"/>
          <w:sz w:val="24"/>
          <w:szCs w:val="24"/>
        </w:rPr>
        <w:t>reguliavimą nenumatant detalaus VSAT funkcijų išvardijimo Įstatyme.</w:t>
      </w:r>
    </w:p>
    <w:p w:rsidR="00336C1C" w:rsidRPr="00D8192E" w:rsidRDefault="00744403" w:rsidP="003B114B">
      <w:pPr>
        <w:tabs>
          <w:tab w:val="left" w:pos="1134"/>
        </w:tabs>
        <w:spacing w:after="0" w:line="360" w:lineRule="auto"/>
        <w:ind w:firstLine="851"/>
        <w:jc w:val="both"/>
        <w:rPr>
          <w:rFonts w:ascii="Times New Roman" w:hAnsi="Times New Roman"/>
          <w:color w:val="000000"/>
          <w:sz w:val="24"/>
          <w:szCs w:val="24"/>
        </w:rPr>
      </w:pPr>
      <w:r w:rsidRPr="00D8192E">
        <w:rPr>
          <w:rFonts w:ascii="Times New Roman" w:hAnsi="Times New Roman"/>
          <w:sz w:val="24"/>
          <w:szCs w:val="24"/>
        </w:rPr>
        <w:lastRenderedPageBreak/>
        <w:t xml:space="preserve">2. Projektu siūloma atsisakyti VSAT nebūdingos funkcijos – </w:t>
      </w:r>
      <w:r w:rsidRPr="00D8192E">
        <w:rPr>
          <w:rFonts w:ascii="Times New Roman" w:hAnsi="Times New Roman"/>
          <w:i/>
          <w:sz w:val="24"/>
          <w:szCs w:val="24"/>
        </w:rPr>
        <w:t>vykdyti Lietuvos Respublikos branduolinės energijos įstatymo nustatyta tvarka pavestų saugoti objektų fizinę apsaugą</w:t>
      </w:r>
      <w:r w:rsidRPr="00D8192E">
        <w:rPr>
          <w:rFonts w:ascii="Times New Roman" w:hAnsi="Times New Roman"/>
          <w:sz w:val="24"/>
          <w:szCs w:val="24"/>
        </w:rPr>
        <w:t>. Ši</w:t>
      </w:r>
      <w:r w:rsidR="00A670CC" w:rsidRPr="00D8192E">
        <w:rPr>
          <w:rFonts w:ascii="Times New Roman" w:hAnsi="Times New Roman"/>
          <w:sz w:val="24"/>
          <w:szCs w:val="24"/>
        </w:rPr>
        <w:t> </w:t>
      </w:r>
      <w:r w:rsidRPr="00D8192E">
        <w:rPr>
          <w:rFonts w:ascii="Times New Roman" w:hAnsi="Times New Roman"/>
          <w:sz w:val="24"/>
          <w:szCs w:val="24"/>
        </w:rPr>
        <w:t xml:space="preserve">funkcija būtų perduota kitai Vidaus reikalų ministerijai pavaldžiai įstaigai </w:t>
      </w:r>
      <w:r w:rsidR="00673E94" w:rsidRPr="00D8192E">
        <w:rPr>
          <w:rFonts w:ascii="Times New Roman" w:hAnsi="Times New Roman"/>
          <w:sz w:val="24"/>
          <w:szCs w:val="24"/>
        </w:rPr>
        <w:t xml:space="preserve">– </w:t>
      </w:r>
      <w:r w:rsidRPr="00D8192E">
        <w:rPr>
          <w:rFonts w:ascii="Times New Roman" w:hAnsi="Times New Roman"/>
          <w:sz w:val="24"/>
          <w:szCs w:val="24"/>
        </w:rPr>
        <w:t xml:space="preserve">Viešojo saugumo tarnybai. </w:t>
      </w:r>
      <w:r w:rsidR="00336C1C" w:rsidRPr="00D8192E">
        <w:rPr>
          <w:rFonts w:ascii="Times New Roman" w:hAnsi="Times New Roman"/>
          <w:sz w:val="24"/>
          <w:szCs w:val="24"/>
        </w:rPr>
        <w:t xml:space="preserve">Kadangi ši VSAT funkcija yra susijusi su branduolinės energetikos ir branduolinės saugos reguliavimu, siūlytume Projektą suderinti su </w:t>
      </w:r>
      <w:r w:rsidR="00336C1C" w:rsidRPr="00D8192E">
        <w:rPr>
          <w:rFonts w:ascii="Times New Roman" w:hAnsi="Times New Roman"/>
          <w:i/>
          <w:color w:val="000000"/>
          <w:sz w:val="24"/>
          <w:szCs w:val="24"/>
        </w:rPr>
        <w:t>Valstybine</w:t>
      </w:r>
      <w:r w:rsidR="00673E94" w:rsidRPr="00D8192E">
        <w:rPr>
          <w:rFonts w:ascii="Times New Roman" w:hAnsi="Times New Roman"/>
          <w:i/>
          <w:color w:val="000000"/>
          <w:sz w:val="24"/>
          <w:szCs w:val="24"/>
        </w:rPr>
        <w:t xml:space="preserve"> atominės energetikos saugos inspekcij</w:t>
      </w:r>
      <w:r w:rsidR="00336C1C" w:rsidRPr="00D8192E">
        <w:rPr>
          <w:rFonts w:ascii="Times New Roman" w:hAnsi="Times New Roman"/>
          <w:i/>
          <w:color w:val="000000"/>
          <w:sz w:val="24"/>
          <w:szCs w:val="24"/>
        </w:rPr>
        <w:t>a.</w:t>
      </w:r>
      <w:r w:rsidR="00937CDE" w:rsidRPr="00D8192E">
        <w:rPr>
          <w:rFonts w:ascii="Times New Roman" w:hAnsi="Times New Roman"/>
          <w:i/>
          <w:color w:val="000000"/>
          <w:sz w:val="24"/>
          <w:szCs w:val="24"/>
        </w:rPr>
        <w:t xml:space="preserve"> </w:t>
      </w:r>
      <w:r w:rsidR="00EE6D31" w:rsidRPr="00D8192E">
        <w:rPr>
          <w:rFonts w:ascii="Times New Roman" w:hAnsi="Times New Roman"/>
          <w:color w:val="000000"/>
          <w:sz w:val="24"/>
          <w:szCs w:val="24"/>
        </w:rPr>
        <w:t>Be</w:t>
      </w:r>
      <w:r w:rsidR="00A670CC" w:rsidRPr="00D8192E">
        <w:rPr>
          <w:rFonts w:ascii="Times New Roman" w:hAnsi="Times New Roman"/>
          <w:color w:val="000000"/>
          <w:sz w:val="24"/>
          <w:szCs w:val="24"/>
        </w:rPr>
        <w:t> </w:t>
      </w:r>
      <w:r w:rsidR="00EE6D31" w:rsidRPr="00D8192E">
        <w:rPr>
          <w:rFonts w:ascii="Times New Roman" w:hAnsi="Times New Roman"/>
          <w:color w:val="000000"/>
          <w:sz w:val="24"/>
          <w:szCs w:val="24"/>
        </w:rPr>
        <w:t xml:space="preserve">to, Projektas derintinas ir su </w:t>
      </w:r>
      <w:r w:rsidR="00EE6D31" w:rsidRPr="00D8192E">
        <w:rPr>
          <w:rFonts w:ascii="Times New Roman" w:hAnsi="Times New Roman"/>
          <w:i/>
          <w:color w:val="000000"/>
          <w:sz w:val="24"/>
          <w:szCs w:val="24"/>
        </w:rPr>
        <w:t>Lietuvos Respublikos energetikos ministerija</w:t>
      </w:r>
      <w:r w:rsidR="00EE6D31" w:rsidRPr="00D8192E">
        <w:rPr>
          <w:rFonts w:ascii="Times New Roman" w:hAnsi="Times New Roman"/>
          <w:color w:val="000000"/>
          <w:sz w:val="24"/>
          <w:szCs w:val="24"/>
        </w:rPr>
        <w:t>, kuri įgyvendina VĮ</w:t>
      </w:r>
      <w:r w:rsidR="00A670CC" w:rsidRPr="00D8192E">
        <w:rPr>
          <w:rFonts w:ascii="Times New Roman" w:hAnsi="Times New Roman"/>
          <w:color w:val="000000"/>
          <w:sz w:val="24"/>
          <w:szCs w:val="24"/>
        </w:rPr>
        <w:t> </w:t>
      </w:r>
      <w:r w:rsidR="00EE6D31" w:rsidRPr="00D8192E">
        <w:rPr>
          <w:rFonts w:ascii="Times New Roman" w:hAnsi="Times New Roman"/>
          <w:color w:val="000000"/>
          <w:sz w:val="24"/>
          <w:szCs w:val="24"/>
        </w:rPr>
        <w:t>Ignalinos atominės elektrinės savininko teises ir pareigas.</w:t>
      </w:r>
    </w:p>
    <w:p w:rsidR="005073CD" w:rsidRPr="00D8192E" w:rsidRDefault="005073CD" w:rsidP="005073CD">
      <w:pPr>
        <w:tabs>
          <w:tab w:val="left" w:pos="1134"/>
        </w:tabs>
        <w:spacing w:after="0" w:line="360" w:lineRule="auto"/>
        <w:ind w:firstLine="851"/>
        <w:jc w:val="both"/>
        <w:rPr>
          <w:rFonts w:ascii="Times New Roman" w:hAnsi="Times New Roman"/>
          <w:sz w:val="24"/>
          <w:szCs w:val="24"/>
        </w:rPr>
      </w:pPr>
      <w:r w:rsidRPr="00D8192E">
        <w:rPr>
          <w:rFonts w:ascii="Times New Roman" w:hAnsi="Times New Roman"/>
          <w:color w:val="000000"/>
          <w:sz w:val="24"/>
          <w:szCs w:val="24"/>
        </w:rPr>
        <w:t>3. Atkreipiame dėmesį, kad Projekto aiškinamojo rašto 8 punkte (</w:t>
      </w:r>
      <w:r w:rsidR="00BD4D38" w:rsidRPr="00D8192E">
        <w:rPr>
          <w:rFonts w:ascii="Times New Roman" w:hAnsi="Times New Roman"/>
          <w:color w:val="000000"/>
          <w:sz w:val="24"/>
          <w:szCs w:val="24"/>
        </w:rPr>
        <w:t xml:space="preserve">įstatymo </w:t>
      </w:r>
      <w:r w:rsidRPr="00D8192E">
        <w:rPr>
          <w:rFonts w:ascii="Times New Roman" w:hAnsi="Times New Roman"/>
          <w:color w:val="000000"/>
          <w:sz w:val="24"/>
          <w:szCs w:val="24"/>
        </w:rPr>
        <w:t>įgyvendinamieji teisės aktai rašytini aiškinamojo rašto 11 punkte)</w:t>
      </w:r>
      <w:r w:rsidR="00BD4D38" w:rsidRPr="00D8192E">
        <w:rPr>
          <w:rFonts w:ascii="Times New Roman" w:hAnsi="Times New Roman"/>
          <w:color w:val="000000"/>
          <w:sz w:val="24"/>
          <w:szCs w:val="24"/>
        </w:rPr>
        <w:t xml:space="preserve"> nėra įvertinta, kokius įstatymus reik</w:t>
      </w:r>
      <w:r w:rsidRPr="00D8192E">
        <w:rPr>
          <w:rFonts w:ascii="Times New Roman" w:hAnsi="Times New Roman"/>
          <w:color w:val="000000"/>
          <w:sz w:val="24"/>
          <w:szCs w:val="24"/>
        </w:rPr>
        <w:t>alinga pakeisti</w:t>
      </w:r>
      <w:r w:rsidR="00BD4D38" w:rsidRPr="00D8192E">
        <w:rPr>
          <w:rFonts w:ascii="Times New Roman" w:hAnsi="Times New Roman"/>
          <w:color w:val="000000"/>
          <w:sz w:val="24"/>
          <w:szCs w:val="24"/>
        </w:rPr>
        <w:t>, kad Projektas būtų inkorporuotas į teisinę sistemą. Mūsų manymu tikslinga įvertinti, ar nereikalinga pakeisti</w:t>
      </w:r>
      <w:r w:rsidRPr="00D8192E">
        <w:rPr>
          <w:rFonts w:ascii="Times New Roman" w:hAnsi="Times New Roman"/>
          <w:color w:val="000000"/>
          <w:sz w:val="24"/>
          <w:szCs w:val="24"/>
        </w:rPr>
        <w:t xml:space="preserve"> Lietuvos Respublikos branduolinės energijos įstatymo 36 straipsnio 10 dalį</w:t>
      </w:r>
      <w:r w:rsidR="00BD4D38" w:rsidRPr="00D8192E">
        <w:rPr>
          <w:rFonts w:ascii="Times New Roman" w:hAnsi="Times New Roman"/>
          <w:color w:val="000000"/>
          <w:sz w:val="24"/>
          <w:szCs w:val="24"/>
        </w:rPr>
        <w:t>, kurioje įvardint</w:t>
      </w:r>
      <w:r w:rsidR="009130F0" w:rsidRPr="00D8192E">
        <w:rPr>
          <w:rFonts w:ascii="Times New Roman" w:hAnsi="Times New Roman"/>
          <w:color w:val="000000"/>
          <w:sz w:val="24"/>
          <w:szCs w:val="24"/>
        </w:rPr>
        <w:t xml:space="preserve">os </w:t>
      </w:r>
      <w:r w:rsidR="00BD4D38" w:rsidRPr="00D8192E">
        <w:rPr>
          <w:rFonts w:ascii="Times New Roman" w:hAnsi="Times New Roman"/>
          <w:color w:val="000000"/>
          <w:sz w:val="24"/>
          <w:szCs w:val="24"/>
        </w:rPr>
        <w:t xml:space="preserve">VSAT teisės. </w:t>
      </w:r>
      <w:r w:rsidR="00BD4D38" w:rsidRPr="00D8192E">
        <w:rPr>
          <w:rFonts w:ascii="Times New Roman" w:hAnsi="Times New Roman"/>
          <w:sz w:val="24"/>
          <w:szCs w:val="24"/>
        </w:rPr>
        <w:t>Be to, siūlome dar kartą įvertinti Vyriausybės kanceliarijos Teisės grupės 2018 m. kovo 13 d. išvados Nr. NV-653 1</w:t>
      </w:r>
      <w:r w:rsidR="00A670CC" w:rsidRPr="00D8192E">
        <w:rPr>
          <w:rFonts w:ascii="Times New Roman" w:hAnsi="Times New Roman"/>
          <w:sz w:val="24"/>
          <w:szCs w:val="24"/>
        </w:rPr>
        <w:t>–</w:t>
      </w:r>
      <w:r w:rsidR="00BD4D38" w:rsidRPr="00D8192E">
        <w:rPr>
          <w:rFonts w:ascii="Times New Roman" w:hAnsi="Times New Roman"/>
          <w:sz w:val="24"/>
          <w:szCs w:val="24"/>
        </w:rPr>
        <w:t xml:space="preserve">3 pastabas dėl minėtoje išvadoje nurodytų įstatymų (pavyzdžiui, Lietuvos Respublikos viešojo saugumo tarnybos įstatymo) keitimo tikslingumo siekiant suderinti vidaus reikalų ministro valdymo srities saugomų svarbių valstybės objektų teisinį (pirmiausia įstatyminį) reguliavimą. </w:t>
      </w:r>
      <w:r w:rsidR="00BD4D38" w:rsidRPr="00D8192E">
        <w:rPr>
          <w:rFonts w:ascii="Times New Roman" w:hAnsi="Times New Roman"/>
          <w:color w:val="000000"/>
          <w:sz w:val="24"/>
          <w:szCs w:val="24"/>
        </w:rPr>
        <w:t>Atsižvelgiant į tai, s</w:t>
      </w:r>
      <w:r w:rsidR="009130F0" w:rsidRPr="00D8192E">
        <w:rPr>
          <w:rFonts w:ascii="Times New Roman" w:hAnsi="Times New Roman"/>
          <w:color w:val="000000"/>
          <w:sz w:val="24"/>
          <w:szCs w:val="24"/>
        </w:rPr>
        <w:t xml:space="preserve">iūlytume sistemiškai </w:t>
      </w:r>
      <w:r w:rsidRPr="00D8192E">
        <w:rPr>
          <w:rFonts w:ascii="Times New Roman" w:hAnsi="Times New Roman"/>
          <w:color w:val="000000"/>
          <w:sz w:val="24"/>
          <w:szCs w:val="24"/>
        </w:rPr>
        <w:t>įvertinti, kokius įstatymus reikalinga pakeisti ir jų projektus pateikti kartu su Projektu.</w:t>
      </w:r>
    </w:p>
    <w:p w:rsidR="009130F0" w:rsidRPr="00D8192E" w:rsidRDefault="00444B18" w:rsidP="009130F0">
      <w:pPr>
        <w:tabs>
          <w:tab w:val="left" w:pos="1134"/>
        </w:tabs>
        <w:spacing w:after="0" w:line="360" w:lineRule="auto"/>
        <w:ind w:firstLine="851"/>
        <w:jc w:val="both"/>
        <w:rPr>
          <w:rFonts w:ascii="Times New Roman" w:hAnsi="Times New Roman"/>
          <w:color w:val="000000"/>
          <w:sz w:val="24"/>
          <w:szCs w:val="24"/>
        </w:rPr>
      </w:pPr>
      <w:r w:rsidRPr="00D8192E">
        <w:rPr>
          <w:rFonts w:ascii="Times New Roman" w:hAnsi="Times New Roman"/>
          <w:color w:val="000000"/>
          <w:sz w:val="24"/>
          <w:szCs w:val="24"/>
        </w:rPr>
        <w:t xml:space="preserve">4. </w:t>
      </w:r>
      <w:r w:rsidR="009130F0" w:rsidRPr="00D8192E">
        <w:rPr>
          <w:rFonts w:ascii="Times New Roman" w:hAnsi="Times New Roman"/>
          <w:color w:val="000000"/>
          <w:sz w:val="24"/>
          <w:szCs w:val="24"/>
        </w:rPr>
        <w:t xml:space="preserve">Projektu siūloma papildyti Įstatymo 23 straipsnį nustatant VSAT teisę vykdyti neformaliojo vaikų švietimo programas, vadovaujantis Lietuvos Respublikos švietimo įstatyme nustatyta tvarka. Dėl šio siūlymo atkreipiame dėmesį į </w:t>
      </w:r>
      <w:r w:rsidR="00A670CC" w:rsidRPr="00D8192E">
        <w:rPr>
          <w:rFonts w:ascii="Times New Roman" w:hAnsi="Times New Roman"/>
          <w:color w:val="000000"/>
          <w:sz w:val="24"/>
          <w:szCs w:val="24"/>
        </w:rPr>
        <w:t xml:space="preserve">šiuos </w:t>
      </w:r>
      <w:r w:rsidR="009130F0" w:rsidRPr="00D8192E">
        <w:rPr>
          <w:rFonts w:ascii="Times New Roman" w:hAnsi="Times New Roman"/>
          <w:color w:val="000000"/>
          <w:sz w:val="24"/>
          <w:szCs w:val="24"/>
        </w:rPr>
        <w:t>aspekt</w:t>
      </w:r>
      <w:r w:rsidR="00A670CC" w:rsidRPr="00D8192E">
        <w:rPr>
          <w:rFonts w:ascii="Times New Roman" w:hAnsi="Times New Roman"/>
          <w:color w:val="000000"/>
          <w:sz w:val="24"/>
          <w:szCs w:val="24"/>
        </w:rPr>
        <w:t>us</w:t>
      </w:r>
      <w:r w:rsidR="009130F0" w:rsidRPr="00D8192E">
        <w:rPr>
          <w:rFonts w:ascii="Times New Roman" w:hAnsi="Times New Roman"/>
          <w:color w:val="000000"/>
          <w:sz w:val="24"/>
          <w:szCs w:val="24"/>
        </w:rPr>
        <w:t>:</w:t>
      </w:r>
    </w:p>
    <w:p w:rsidR="001B7BF8" w:rsidRPr="00D8192E" w:rsidRDefault="001B7BF8" w:rsidP="001B7BF8">
      <w:pPr>
        <w:tabs>
          <w:tab w:val="left" w:pos="1134"/>
        </w:tabs>
        <w:spacing w:after="0" w:line="360" w:lineRule="auto"/>
        <w:ind w:firstLine="851"/>
        <w:jc w:val="both"/>
        <w:rPr>
          <w:rFonts w:ascii="Times New Roman" w:hAnsi="Times New Roman"/>
          <w:color w:val="000000"/>
          <w:sz w:val="24"/>
          <w:szCs w:val="24"/>
        </w:rPr>
      </w:pPr>
      <w:r w:rsidRPr="00D8192E">
        <w:rPr>
          <w:rFonts w:ascii="Times New Roman" w:hAnsi="Times New Roman"/>
          <w:color w:val="000000"/>
          <w:sz w:val="24"/>
          <w:szCs w:val="24"/>
        </w:rPr>
        <w:t xml:space="preserve">4.1. Pažymime, kad Įstatymo 23 straipsnyje nustatytos VSAT funkcijos, bet ne teisės (taigi, siūloma nuostata nepatenka į šio straipsnio reguliavimo dalyką). Sistemiškai vertinant ir kitas Įstatymo nuostatas, </w:t>
      </w:r>
      <w:r w:rsidR="00A670CC" w:rsidRPr="00D8192E">
        <w:rPr>
          <w:rFonts w:ascii="Times New Roman" w:hAnsi="Times New Roman"/>
          <w:color w:val="000000"/>
          <w:sz w:val="24"/>
          <w:szCs w:val="24"/>
        </w:rPr>
        <w:t>darytina išvada</w:t>
      </w:r>
      <w:r w:rsidRPr="00D8192E">
        <w:rPr>
          <w:rFonts w:ascii="Times New Roman" w:hAnsi="Times New Roman"/>
          <w:color w:val="000000"/>
          <w:sz w:val="24"/>
          <w:szCs w:val="24"/>
        </w:rPr>
        <w:t>, kad jame VSAT teisių nėra nustatyta (Įstatymo 1 straipsnio 1</w:t>
      </w:r>
      <w:r w:rsidR="00A670CC" w:rsidRPr="00D8192E">
        <w:rPr>
          <w:rFonts w:ascii="Times New Roman" w:hAnsi="Times New Roman"/>
          <w:color w:val="000000"/>
          <w:sz w:val="24"/>
          <w:szCs w:val="24"/>
        </w:rPr>
        <w:t> </w:t>
      </w:r>
      <w:r w:rsidRPr="00D8192E">
        <w:rPr>
          <w:rFonts w:ascii="Times New Roman" w:hAnsi="Times New Roman"/>
          <w:color w:val="000000"/>
          <w:sz w:val="24"/>
          <w:szCs w:val="24"/>
        </w:rPr>
        <w:t>dalis). Be to, vadovaujantis šios Išvados 1 punktu, siūlytume įvertinti detalaus VSAT funkcijų ir</w:t>
      </w:r>
      <w:r w:rsidR="00A670CC" w:rsidRPr="00D8192E">
        <w:rPr>
          <w:rFonts w:ascii="Times New Roman" w:hAnsi="Times New Roman"/>
          <w:color w:val="000000"/>
          <w:sz w:val="24"/>
          <w:szCs w:val="24"/>
        </w:rPr>
        <w:t> </w:t>
      </w:r>
      <w:r w:rsidRPr="00D8192E">
        <w:rPr>
          <w:rFonts w:ascii="Times New Roman" w:hAnsi="Times New Roman"/>
          <w:color w:val="000000"/>
          <w:sz w:val="24"/>
          <w:szCs w:val="24"/>
        </w:rPr>
        <w:t>/</w:t>
      </w:r>
      <w:r w:rsidR="00A670CC" w:rsidRPr="00D8192E">
        <w:rPr>
          <w:rFonts w:ascii="Times New Roman" w:hAnsi="Times New Roman"/>
          <w:color w:val="000000"/>
          <w:sz w:val="24"/>
          <w:szCs w:val="24"/>
        </w:rPr>
        <w:t> </w:t>
      </w:r>
      <w:r w:rsidRPr="00D8192E">
        <w:rPr>
          <w:rFonts w:ascii="Times New Roman" w:hAnsi="Times New Roman"/>
          <w:color w:val="000000"/>
          <w:sz w:val="24"/>
          <w:szCs w:val="24"/>
        </w:rPr>
        <w:t>ar teis</w:t>
      </w:r>
      <w:r w:rsidR="00A670CC" w:rsidRPr="00D8192E">
        <w:rPr>
          <w:rFonts w:ascii="Times New Roman" w:hAnsi="Times New Roman"/>
          <w:color w:val="000000"/>
          <w:sz w:val="24"/>
          <w:szCs w:val="24"/>
        </w:rPr>
        <w:t>i</w:t>
      </w:r>
      <w:r w:rsidRPr="00D8192E">
        <w:rPr>
          <w:rFonts w:ascii="Times New Roman" w:hAnsi="Times New Roman"/>
          <w:color w:val="000000"/>
          <w:sz w:val="24"/>
          <w:szCs w:val="24"/>
        </w:rPr>
        <w:t xml:space="preserve">ų </w:t>
      </w:r>
      <w:r w:rsidR="00A670CC" w:rsidRPr="00D8192E">
        <w:rPr>
          <w:rFonts w:ascii="Times New Roman" w:hAnsi="Times New Roman"/>
          <w:color w:val="000000"/>
          <w:sz w:val="24"/>
          <w:szCs w:val="24"/>
        </w:rPr>
        <w:t>iš</w:t>
      </w:r>
      <w:r w:rsidRPr="00D8192E">
        <w:rPr>
          <w:rFonts w:ascii="Times New Roman" w:hAnsi="Times New Roman"/>
          <w:color w:val="000000"/>
          <w:sz w:val="24"/>
          <w:szCs w:val="24"/>
        </w:rPr>
        <w:t>vardijimą įstatyme. Manytume, kad tai yra ydinga teisėkūros praktika.</w:t>
      </w:r>
    </w:p>
    <w:p w:rsidR="003F1639" w:rsidRPr="00D8192E" w:rsidRDefault="00F8407A" w:rsidP="003B114B">
      <w:pPr>
        <w:tabs>
          <w:tab w:val="left" w:pos="1134"/>
        </w:tabs>
        <w:spacing w:after="0" w:line="360" w:lineRule="auto"/>
        <w:ind w:firstLine="851"/>
        <w:jc w:val="both"/>
        <w:rPr>
          <w:rFonts w:ascii="Times New Roman" w:hAnsi="Times New Roman"/>
          <w:color w:val="000000"/>
          <w:sz w:val="24"/>
          <w:szCs w:val="24"/>
        </w:rPr>
      </w:pPr>
      <w:r w:rsidRPr="00D8192E">
        <w:rPr>
          <w:rFonts w:ascii="Times New Roman" w:hAnsi="Times New Roman"/>
          <w:color w:val="000000"/>
          <w:sz w:val="24"/>
          <w:szCs w:val="24"/>
        </w:rPr>
        <w:t xml:space="preserve">4.2. Kita vertus, vadovaujantis </w:t>
      </w:r>
      <w:r w:rsidR="00A501C7" w:rsidRPr="00D8192E">
        <w:rPr>
          <w:rFonts w:ascii="Times New Roman" w:hAnsi="Times New Roman"/>
          <w:color w:val="000000"/>
          <w:sz w:val="24"/>
          <w:szCs w:val="24"/>
        </w:rPr>
        <w:t>šiuo atveju specialaus įstatymo, t.</w:t>
      </w:r>
      <w:r w:rsidR="00A670CC" w:rsidRPr="00D8192E">
        <w:rPr>
          <w:rFonts w:ascii="Times New Roman" w:hAnsi="Times New Roman"/>
          <w:color w:val="000000"/>
          <w:sz w:val="24"/>
          <w:szCs w:val="24"/>
        </w:rPr>
        <w:t xml:space="preserve"> </w:t>
      </w:r>
      <w:r w:rsidR="00A501C7" w:rsidRPr="00D8192E">
        <w:rPr>
          <w:rFonts w:ascii="Times New Roman" w:hAnsi="Times New Roman"/>
          <w:color w:val="000000"/>
          <w:sz w:val="24"/>
          <w:szCs w:val="24"/>
        </w:rPr>
        <w:t xml:space="preserve">y. </w:t>
      </w:r>
      <w:r w:rsidRPr="00D8192E">
        <w:rPr>
          <w:rFonts w:ascii="Times New Roman" w:hAnsi="Times New Roman"/>
          <w:color w:val="000000"/>
          <w:sz w:val="24"/>
          <w:szCs w:val="24"/>
        </w:rPr>
        <w:t xml:space="preserve">Švietimo įstatymo </w:t>
      </w:r>
      <w:r w:rsidR="00A501C7" w:rsidRPr="00D8192E">
        <w:rPr>
          <w:rFonts w:ascii="Times New Roman" w:hAnsi="Times New Roman"/>
          <w:color w:val="000000"/>
          <w:sz w:val="24"/>
          <w:szCs w:val="24"/>
        </w:rPr>
        <w:t>15</w:t>
      </w:r>
      <w:r w:rsidR="00A670CC" w:rsidRPr="00D8192E">
        <w:rPr>
          <w:rFonts w:ascii="Times New Roman" w:hAnsi="Times New Roman"/>
          <w:color w:val="000000"/>
          <w:sz w:val="24"/>
          <w:szCs w:val="24"/>
        </w:rPr>
        <w:t> </w:t>
      </w:r>
      <w:r w:rsidR="00A501C7" w:rsidRPr="00D8192E">
        <w:rPr>
          <w:rFonts w:ascii="Times New Roman" w:hAnsi="Times New Roman"/>
          <w:color w:val="000000"/>
          <w:sz w:val="24"/>
          <w:szCs w:val="24"/>
        </w:rPr>
        <w:t>straipsnio 2 dalyje</w:t>
      </w:r>
      <w:r w:rsidR="00EE6D31" w:rsidRPr="00D8192E">
        <w:rPr>
          <w:rFonts w:ascii="Times New Roman" w:hAnsi="Times New Roman"/>
          <w:color w:val="000000"/>
          <w:sz w:val="24"/>
          <w:szCs w:val="24"/>
        </w:rPr>
        <w:t>,</w:t>
      </w:r>
      <w:r w:rsidR="00A501C7" w:rsidRPr="00D8192E">
        <w:rPr>
          <w:rFonts w:ascii="Times New Roman" w:hAnsi="Times New Roman"/>
          <w:color w:val="000000"/>
          <w:sz w:val="24"/>
          <w:szCs w:val="24"/>
        </w:rPr>
        <w:t xml:space="preserve"> nustatyta, kad neformaliojo vaikų švietimo programas vykdo neformaliojo vaikų švietimo įstaigos, laisvieji mokytojai, </w:t>
      </w:r>
      <w:r w:rsidR="00A501C7" w:rsidRPr="00D8192E">
        <w:rPr>
          <w:rFonts w:ascii="Times New Roman" w:hAnsi="Times New Roman"/>
          <w:i/>
          <w:color w:val="000000"/>
          <w:sz w:val="24"/>
          <w:szCs w:val="24"/>
        </w:rPr>
        <w:t>kiti švietimo teikėjai</w:t>
      </w:r>
      <w:r w:rsidR="00A501C7" w:rsidRPr="00D8192E">
        <w:rPr>
          <w:rFonts w:ascii="Times New Roman" w:hAnsi="Times New Roman"/>
          <w:color w:val="000000"/>
          <w:sz w:val="24"/>
          <w:szCs w:val="24"/>
        </w:rPr>
        <w:t xml:space="preserve">. Švietimo įstatymo </w:t>
      </w:r>
      <w:r w:rsidRPr="00D8192E">
        <w:rPr>
          <w:rFonts w:ascii="Times New Roman" w:hAnsi="Times New Roman"/>
          <w:color w:val="000000"/>
          <w:sz w:val="24"/>
          <w:szCs w:val="24"/>
        </w:rPr>
        <w:t xml:space="preserve">2 </w:t>
      </w:r>
      <w:r w:rsidR="00A501C7" w:rsidRPr="00D8192E">
        <w:rPr>
          <w:rFonts w:ascii="Times New Roman" w:hAnsi="Times New Roman"/>
          <w:color w:val="000000"/>
          <w:sz w:val="24"/>
          <w:szCs w:val="24"/>
        </w:rPr>
        <w:t>straipsnio</w:t>
      </w:r>
      <w:r w:rsidRPr="00D8192E">
        <w:rPr>
          <w:rFonts w:ascii="Times New Roman" w:hAnsi="Times New Roman"/>
          <w:color w:val="000000"/>
          <w:sz w:val="24"/>
          <w:szCs w:val="24"/>
        </w:rPr>
        <w:t xml:space="preserve"> 34</w:t>
      </w:r>
      <w:r w:rsidR="00A670CC" w:rsidRPr="00D8192E">
        <w:rPr>
          <w:rFonts w:ascii="Times New Roman" w:hAnsi="Times New Roman"/>
          <w:color w:val="000000"/>
          <w:sz w:val="24"/>
          <w:szCs w:val="24"/>
        </w:rPr>
        <w:t> </w:t>
      </w:r>
      <w:r w:rsidRPr="00D8192E">
        <w:rPr>
          <w:rFonts w:ascii="Times New Roman" w:hAnsi="Times New Roman"/>
          <w:color w:val="000000"/>
          <w:sz w:val="24"/>
          <w:szCs w:val="24"/>
        </w:rPr>
        <w:t>dal</w:t>
      </w:r>
      <w:r w:rsidR="00A501C7" w:rsidRPr="00D8192E">
        <w:rPr>
          <w:rFonts w:ascii="Times New Roman" w:hAnsi="Times New Roman"/>
          <w:color w:val="000000"/>
          <w:sz w:val="24"/>
          <w:szCs w:val="24"/>
        </w:rPr>
        <w:t>yje apibrėžta, kad kiti švietimo teikėjai gali būti įstaigos, įmonės, organizacijos, taip pat valstybės narės juridiniai asmenys ar kitos organizacijos ar jų padaliniai, įsteigti Lietuvos Respublikoje, kuriems švietimas nėra pagrindinė veikla, Lietuvos Respublikos įstatymų nustatyta tvarka turintys teisę vykdyti švietimą.</w:t>
      </w:r>
      <w:r w:rsidR="007E693D" w:rsidRPr="00D8192E">
        <w:rPr>
          <w:rFonts w:ascii="Times New Roman" w:hAnsi="Times New Roman"/>
          <w:color w:val="000000"/>
          <w:sz w:val="24"/>
          <w:szCs w:val="24"/>
        </w:rPr>
        <w:t xml:space="preserve"> Pritartume Švietimo ir mokslo ministerijos pastabai dėl tikslingumo keisti Įstatymą. Be to, Projekto aiškinamajame rašte neįvardinta, kokios šiuo metu veikiančių Jaunojo pasieniečio būrelių veiklos problemos iškyla praktikoje bei kokių veiksmų buvo imtasi, kad VSAT arba Pasieniečių mokykla </w:t>
      </w:r>
      <w:r w:rsidR="006C76B3" w:rsidRPr="00D8192E">
        <w:rPr>
          <w:rFonts w:ascii="Times New Roman" w:hAnsi="Times New Roman"/>
          <w:color w:val="000000"/>
          <w:sz w:val="24"/>
          <w:szCs w:val="24"/>
        </w:rPr>
        <w:t xml:space="preserve">(kurios vienas iš uždavinių yra propaguoti </w:t>
      </w:r>
      <w:r w:rsidR="00F827D6" w:rsidRPr="00D8192E">
        <w:rPr>
          <w:rFonts w:ascii="Times New Roman" w:hAnsi="Times New Roman"/>
          <w:color w:val="000000"/>
          <w:sz w:val="24"/>
          <w:szCs w:val="24"/>
        </w:rPr>
        <w:t xml:space="preserve">ir </w:t>
      </w:r>
      <w:r w:rsidR="00F827D6" w:rsidRPr="00D8192E">
        <w:rPr>
          <w:rFonts w:ascii="Times New Roman" w:hAnsi="Times New Roman"/>
          <w:color w:val="000000"/>
          <w:sz w:val="24"/>
          <w:szCs w:val="24"/>
        </w:rPr>
        <w:lastRenderedPageBreak/>
        <w:t xml:space="preserve">populiarinti pasieniečio profesiją) </w:t>
      </w:r>
      <w:r w:rsidR="007E693D" w:rsidRPr="00D8192E">
        <w:rPr>
          <w:rFonts w:ascii="Times New Roman" w:hAnsi="Times New Roman"/>
          <w:color w:val="000000"/>
          <w:sz w:val="24"/>
          <w:szCs w:val="24"/>
        </w:rPr>
        <w:t>būtų įregistruoti kaip neformaliojo vaikų švietimo teikėjai.</w:t>
      </w:r>
      <w:r w:rsidR="003F1639" w:rsidRPr="00D8192E">
        <w:rPr>
          <w:rFonts w:ascii="Times New Roman" w:hAnsi="Times New Roman"/>
          <w:color w:val="000000"/>
          <w:sz w:val="24"/>
          <w:szCs w:val="24"/>
        </w:rPr>
        <w:t xml:space="preserve"> Siekiant užtikrinti teisėkūros tikslingumo principą, reiškiantį, kad teisės akto projektas turi būti rengiamas ir teisės aktas priimamas tik tuo atveju, kai siekiamų tikslų negalima pasiekti kitomis priemonėmis, siūlytume įvertinti Projektą šiuo aspektu ir prireikus papildyti Projekto aiškinamąjį raštą.</w:t>
      </w:r>
    </w:p>
    <w:p w:rsidR="001B7BF8" w:rsidRPr="00D8192E" w:rsidRDefault="001B7BF8" w:rsidP="003F1639">
      <w:pPr>
        <w:tabs>
          <w:tab w:val="left" w:pos="1134"/>
        </w:tabs>
        <w:spacing w:after="0" w:line="360" w:lineRule="auto"/>
        <w:jc w:val="both"/>
        <w:rPr>
          <w:rFonts w:ascii="Times New Roman" w:hAnsi="Times New Roman"/>
          <w:color w:val="000000"/>
          <w:sz w:val="24"/>
          <w:szCs w:val="24"/>
        </w:rPr>
      </w:pPr>
      <w:r w:rsidRPr="00D8192E">
        <w:rPr>
          <w:rFonts w:ascii="Times New Roman" w:hAnsi="Times New Roman"/>
          <w:color w:val="000000"/>
          <w:sz w:val="24"/>
          <w:szCs w:val="24"/>
        </w:rPr>
        <w:tab/>
        <w:t>5. Projekto 2 straipsnį siūlytume papildyti nuostatomis dėl Projekto įgyvendinamųjų teisės aktų priėmimo.</w:t>
      </w: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3F1639" w:rsidRPr="00D8192E" w:rsidRDefault="003F1639" w:rsidP="003F1639">
      <w:pPr>
        <w:tabs>
          <w:tab w:val="left" w:pos="1134"/>
        </w:tabs>
        <w:spacing w:after="0" w:line="360" w:lineRule="auto"/>
        <w:jc w:val="both"/>
        <w:rPr>
          <w:rFonts w:ascii="Times New Roman" w:hAnsi="Times New Roman"/>
          <w:color w:val="000000"/>
          <w:sz w:val="24"/>
          <w:szCs w:val="24"/>
        </w:rPr>
      </w:pPr>
    </w:p>
    <w:p w:rsidR="003F1639" w:rsidRPr="00D8192E" w:rsidRDefault="003F1639" w:rsidP="003F1639">
      <w:pPr>
        <w:tabs>
          <w:tab w:val="left" w:pos="1134"/>
        </w:tabs>
        <w:spacing w:after="0" w:line="360" w:lineRule="auto"/>
        <w:jc w:val="both"/>
        <w:rPr>
          <w:rFonts w:ascii="Times New Roman" w:hAnsi="Times New Roman"/>
          <w:color w:val="000000"/>
          <w:sz w:val="24"/>
          <w:szCs w:val="24"/>
        </w:rPr>
      </w:pPr>
      <w:r w:rsidRPr="00D8192E">
        <w:rPr>
          <w:rFonts w:ascii="Times New Roman" w:hAnsi="Times New Roman"/>
          <w:color w:val="000000"/>
          <w:sz w:val="24"/>
          <w:szCs w:val="24"/>
        </w:rPr>
        <w:t>Teisės grupės patarėja</w:t>
      </w:r>
      <w:r w:rsidRPr="00D8192E">
        <w:rPr>
          <w:rFonts w:ascii="Times New Roman" w:hAnsi="Times New Roman"/>
          <w:color w:val="000000"/>
          <w:sz w:val="24"/>
          <w:szCs w:val="24"/>
        </w:rPr>
        <w:tab/>
      </w:r>
      <w:r w:rsidRPr="00D8192E">
        <w:rPr>
          <w:rFonts w:ascii="Times New Roman" w:hAnsi="Times New Roman"/>
          <w:color w:val="000000"/>
          <w:sz w:val="24"/>
          <w:szCs w:val="24"/>
        </w:rPr>
        <w:tab/>
      </w:r>
      <w:r w:rsidRPr="00D8192E">
        <w:rPr>
          <w:rFonts w:ascii="Times New Roman" w:hAnsi="Times New Roman"/>
          <w:color w:val="000000"/>
          <w:sz w:val="24"/>
          <w:szCs w:val="24"/>
        </w:rPr>
        <w:tab/>
      </w:r>
      <w:r w:rsidRPr="00D8192E">
        <w:rPr>
          <w:rFonts w:ascii="Times New Roman" w:hAnsi="Times New Roman"/>
          <w:color w:val="000000"/>
          <w:sz w:val="24"/>
          <w:szCs w:val="24"/>
        </w:rPr>
        <w:tab/>
      </w:r>
      <w:r w:rsidRPr="00D8192E">
        <w:rPr>
          <w:rFonts w:ascii="Times New Roman" w:hAnsi="Times New Roman"/>
          <w:color w:val="000000"/>
          <w:sz w:val="24"/>
          <w:szCs w:val="24"/>
        </w:rPr>
        <w:tab/>
        <w:t xml:space="preserve">Erika Vaivadienė </w:t>
      </w: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p>
    <w:p w:rsidR="00EE6D31" w:rsidRPr="00D8192E" w:rsidRDefault="00EE6D31" w:rsidP="003F1639">
      <w:pPr>
        <w:tabs>
          <w:tab w:val="left" w:pos="1134"/>
        </w:tabs>
        <w:spacing w:after="0" w:line="360" w:lineRule="auto"/>
        <w:jc w:val="both"/>
        <w:rPr>
          <w:rFonts w:ascii="Times New Roman" w:hAnsi="Times New Roman"/>
          <w:color w:val="000000"/>
          <w:sz w:val="24"/>
          <w:szCs w:val="24"/>
        </w:rPr>
      </w:pPr>
      <w:r w:rsidRPr="00D8192E">
        <w:rPr>
          <w:rFonts w:ascii="Times New Roman" w:hAnsi="Times New Roman"/>
          <w:color w:val="000000"/>
          <w:sz w:val="24"/>
          <w:szCs w:val="24"/>
        </w:rPr>
        <w:t xml:space="preserve"> </w:t>
      </w:r>
    </w:p>
    <w:p w:rsidR="00EE6D31" w:rsidRPr="00D8192E" w:rsidRDefault="00EE6D31" w:rsidP="003F1639">
      <w:pPr>
        <w:tabs>
          <w:tab w:val="left" w:pos="1134"/>
        </w:tabs>
        <w:spacing w:after="0" w:line="360" w:lineRule="auto"/>
        <w:jc w:val="both"/>
        <w:rPr>
          <w:rFonts w:ascii="Times New Roman" w:hAnsi="Times New Roman"/>
          <w:color w:val="000000"/>
          <w:sz w:val="24"/>
          <w:szCs w:val="24"/>
          <w:lang w:val="en-GB"/>
        </w:rPr>
      </w:pPr>
      <w:r w:rsidRPr="00D8192E">
        <w:rPr>
          <w:rFonts w:ascii="Times New Roman" w:hAnsi="Times New Roman"/>
          <w:color w:val="000000"/>
          <w:sz w:val="24"/>
          <w:szCs w:val="24"/>
        </w:rPr>
        <w:t xml:space="preserve">Erika Vaivadienė, tel. 8 706 63 843, el. p. </w:t>
      </w:r>
      <w:hyperlink r:id="rId6" w:history="1">
        <w:r w:rsidR="00C757B5" w:rsidRPr="00D8192E">
          <w:rPr>
            <w:rStyle w:val="Hyperlink"/>
            <w:rFonts w:ascii="Times New Roman" w:hAnsi="Times New Roman"/>
            <w:sz w:val="24"/>
            <w:szCs w:val="24"/>
          </w:rPr>
          <w:t>erika.vaivadiene</w:t>
        </w:r>
        <w:r w:rsidR="00C757B5" w:rsidRPr="00D8192E">
          <w:rPr>
            <w:rStyle w:val="Hyperlink"/>
            <w:rFonts w:ascii="Times New Roman" w:hAnsi="Times New Roman"/>
            <w:sz w:val="24"/>
            <w:szCs w:val="24"/>
            <w:lang w:val="en-GB"/>
          </w:rPr>
          <w:t>@lrv.lt</w:t>
        </w:r>
      </w:hyperlink>
      <w:r w:rsidR="00C757B5" w:rsidRPr="00D8192E">
        <w:rPr>
          <w:rFonts w:ascii="Times New Roman" w:hAnsi="Times New Roman"/>
          <w:color w:val="000000"/>
          <w:sz w:val="24"/>
          <w:szCs w:val="24"/>
          <w:lang w:val="en-GB"/>
        </w:rPr>
        <w:t xml:space="preserve"> </w:t>
      </w:r>
    </w:p>
    <w:sectPr w:rsidR="00EE6D31" w:rsidRPr="00D8192E" w:rsidSect="001B7B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55E47"/>
    <w:multiLevelType w:val="hybridMultilevel"/>
    <w:tmpl w:val="05DE70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BE"/>
    <w:rsid w:val="00083564"/>
    <w:rsid w:val="00142C3D"/>
    <w:rsid w:val="001B7BF8"/>
    <w:rsid w:val="001E721F"/>
    <w:rsid w:val="00264013"/>
    <w:rsid w:val="00336C1C"/>
    <w:rsid w:val="003B114B"/>
    <w:rsid w:val="003B5DBE"/>
    <w:rsid w:val="003E5341"/>
    <w:rsid w:val="003F1639"/>
    <w:rsid w:val="0041316B"/>
    <w:rsid w:val="00435725"/>
    <w:rsid w:val="00444B18"/>
    <w:rsid w:val="005073CD"/>
    <w:rsid w:val="00524B29"/>
    <w:rsid w:val="00546056"/>
    <w:rsid w:val="00647121"/>
    <w:rsid w:val="00673E94"/>
    <w:rsid w:val="00680E85"/>
    <w:rsid w:val="006B19B2"/>
    <w:rsid w:val="006C76B3"/>
    <w:rsid w:val="00744403"/>
    <w:rsid w:val="007E693D"/>
    <w:rsid w:val="009130F0"/>
    <w:rsid w:val="00937CDE"/>
    <w:rsid w:val="009C30DB"/>
    <w:rsid w:val="009C320B"/>
    <w:rsid w:val="00A1643D"/>
    <w:rsid w:val="00A501C7"/>
    <w:rsid w:val="00A670CC"/>
    <w:rsid w:val="00BD4D38"/>
    <w:rsid w:val="00C05764"/>
    <w:rsid w:val="00C757B5"/>
    <w:rsid w:val="00D8192E"/>
    <w:rsid w:val="00EE6D31"/>
    <w:rsid w:val="00F827D6"/>
    <w:rsid w:val="00F84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BE"/>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3B114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styleId="Hyperlink">
    <w:name w:val="Hyperlink"/>
    <w:uiPriority w:val="99"/>
    <w:unhideWhenUsed/>
    <w:rsid w:val="00C757B5"/>
    <w:rPr>
      <w:color w:val="0563C1"/>
      <w:u w:val="single"/>
    </w:rPr>
  </w:style>
  <w:style w:type="character" w:customStyle="1" w:styleId="Neapdorotaspaminjimas">
    <w:name w:val="Neapdorotas paminėjimas"/>
    <w:uiPriority w:val="99"/>
    <w:semiHidden/>
    <w:unhideWhenUsed/>
    <w:rsid w:val="00C757B5"/>
    <w:rPr>
      <w:color w:val="808080"/>
      <w:shd w:val="clear" w:color="auto" w:fill="E6E6E6"/>
    </w:rPr>
  </w:style>
  <w:style w:type="paragraph" w:styleId="BalloonText">
    <w:name w:val="Balloon Text"/>
    <w:basedOn w:val="Normal"/>
    <w:link w:val="BalloonTextChar"/>
    <w:uiPriority w:val="99"/>
    <w:semiHidden/>
    <w:unhideWhenUsed/>
    <w:rsid w:val="00C757B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57B5"/>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BE"/>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3B114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styleId="Hyperlink">
    <w:name w:val="Hyperlink"/>
    <w:uiPriority w:val="99"/>
    <w:unhideWhenUsed/>
    <w:rsid w:val="00C757B5"/>
    <w:rPr>
      <w:color w:val="0563C1"/>
      <w:u w:val="single"/>
    </w:rPr>
  </w:style>
  <w:style w:type="character" w:customStyle="1" w:styleId="Neapdorotaspaminjimas">
    <w:name w:val="Neapdorotas paminėjimas"/>
    <w:uiPriority w:val="99"/>
    <w:semiHidden/>
    <w:unhideWhenUsed/>
    <w:rsid w:val="00C757B5"/>
    <w:rPr>
      <w:color w:val="808080"/>
      <w:shd w:val="clear" w:color="auto" w:fill="E6E6E6"/>
    </w:rPr>
  </w:style>
  <w:style w:type="paragraph" w:styleId="BalloonText">
    <w:name w:val="Balloon Text"/>
    <w:basedOn w:val="Normal"/>
    <w:link w:val="BalloonTextChar"/>
    <w:uiPriority w:val="99"/>
    <w:semiHidden/>
    <w:unhideWhenUsed/>
    <w:rsid w:val="00C757B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57B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3830">
      <w:bodyDiv w:val="1"/>
      <w:marLeft w:val="0"/>
      <w:marRight w:val="0"/>
      <w:marTop w:val="0"/>
      <w:marBottom w:val="0"/>
      <w:divBdr>
        <w:top w:val="none" w:sz="0" w:space="0" w:color="auto"/>
        <w:left w:val="none" w:sz="0" w:space="0" w:color="auto"/>
        <w:bottom w:val="none" w:sz="0" w:space="0" w:color="auto"/>
        <w:right w:val="none" w:sz="0" w:space="0" w:color="auto"/>
      </w:divBdr>
      <w:divsChild>
        <w:div w:id="1434008737">
          <w:marLeft w:val="0"/>
          <w:marRight w:val="0"/>
          <w:marTop w:val="0"/>
          <w:marBottom w:val="0"/>
          <w:divBdr>
            <w:top w:val="none" w:sz="0" w:space="0" w:color="auto"/>
            <w:left w:val="none" w:sz="0" w:space="0" w:color="auto"/>
            <w:bottom w:val="none" w:sz="0" w:space="0" w:color="auto"/>
            <w:right w:val="none" w:sz="0" w:space="0" w:color="auto"/>
          </w:divBdr>
          <w:divsChild>
            <w:div w:id="207495323">
              <w:marLeft w:val="0"/>
              <w:marRight w:val="0"/>
              <w:marTop w:val="0"/>
              <w:marBottom w:val="0"/>
              <w:divBdr>
                <w:top w:val="none" w:sz="0" w:space="0" w:color="auto"/>
                <w:left w:val="none" w:sz="0" w:space="0" w:color="auto"/>
                <w:bottom w:val="none" w:sz="0" w:space="0" w:color="auto"/>
                <w:right w:val="none" w:sz="0" w:space="0" w:color="auto"/>
              </w:divBdr>
            </w:div>
            <w:div w:id="213545264">
              <w:marLeft w:val="0"/>
              <w:marRight w:val="0"/>
              <w:marTop w:val="0"/>
              <w:marBottom w:val="0"/>
              <w:divBdr>
                <w:top w:val="none" w:sz="0" w:space="0" w:color="auto"/>
                <w:left w:val="none" w:sz="0" w:space="0" w:color="auto"/>
                <w:bottom w:val="none" w:sz="0" w:space="0" w:color="auto"/>
                <w:right w:val="none" w:sz="0" w:space="0" w:color="auto"/>
              </w:divBdr>
            </w:div>
            <w:div w:id="249970820">
              <w:marLeft w:val="0"/>
              <w:marRight w:val="0"/>
              <w:marTop w:val="0"/>
              <w:marBottom w:val="0"/>
              <w:divBdr>
                <w:top w:val="none" w:sz="0" w:space="0" w:color="auto"/>
                <w:left w:val="none" w:sz="0" w:space="0" w:color="auto"/>
                <w:bottom w:val="none" w:sz="0" w:space="0" w:color="auto"/>
                <w:right w:val="none" w:sz="0" w:space="0" w:color="auto"/>
              </w:divBdr>
            </w:div>
            <w:div w:id="283079301">
              <w:marLeft w:val="0"/>
              <w:marRight w:val="0"/>
              <w:marTop w:val="0"/>
              <w:marBottom w:val="0"/>
              <w:divBdr>
                <w:top w:val="none" w:sz="0" w:space="0" w:color="auto"/>
                <w:left w:val="none" w:sz="0" w:space="0" w:color="auto"/>
                <w:bottom w:val="none" w:sz="0" w:space="0" w:color="auto"/>
                <w:right w:val="none" w:sz="0" w:space="0" w:color="auto"/>
              </w:divBdr>
            </w:div>
            <w:div w:id="450174584">
              <w:marLeft w:val="0"/>
              <w:marRight w:val="0"/>
              <w:marTop w:val="0"/>
              <w:marBottom w:val="0"/>
              <w:divBdr>
                <w:top w:val="none" w:sz="0" w:space="0" w:color="auto"/>
                <w:left w:val="none" w:sz="0" w:space="0" w:color="auto"/>
                <w:bottom w:val="none" w:sz="0" w:space="0" w:color="auto"/>
                <w:right w:val="none" w:sz="0" w:space="0" w:color="auto"/>
              </w:divBdr>
            </w:div>
            <w:div w:id="569537207">
              <w:marLeft w:val="0"/>
              <w:marRight w:val="0"/>
              <w:marTop w:val="0"/>
              <w:marBottom w:val="0"/>
              <w:divBdr>
                <w:top w:val="none" w:sz="0" w:space="0" w:color="auto"/>
                <w:left w:val="none" w:sz="0" w:space="0" w:color="auto"/>
                <w:bottom w:val="none" w:sz="0" w:space="0" w:color="auto"/>
                <w:right w:val="none" w:sz="0" w:space="0" w:color="auto"/>
              </w:divBdr>
            </w:div>
            <w:div w:id="739443748">
              <w:marLeft w:val="0"/>
              <w:marRight w:val="0"/>
              <w:marTop w:val="0"/>
              <w:marBottom w:val="0"/>
              <w:divBdr>
                <w:top w:val="none" w:sz="0" w:space="0" w:color="auto"/>
                <w:left w:val="none" w:sz="0" w:space="0" w:color="auto"/>
                <w:bottom w:val="none" w:sz="0" w:space="0" w:color="auto"/>
                <w:right w:val="none" w:sz="0" w:space="0" w:color="auto"/>
              </w:divBdr>
            </w:div>
            <w:div w:id="1010644125">
              <w:marLeft w:val="0"/>
              <w:marRight w:val="0"/>
              <w:marTop w:val="0"/>
              <w:marBottom w:val="0"/>
              <w:divBdr>
                <w:top w:val="none" w:sz="0" w:space="0" w:color="auto"/>
                <w:left w:val="none" w:sz="0" w:space="0" w:color="auto"/>
                <w:bottom w:val="none" w:sz="0" w:space="0" w:color="auto"/>
                <w:right w:val="none" w:sz="0" w:space="0" w:color="auto"/>
              </w:divBdr>
            </w:div>
            <w:div w:id="1264417215">
              <w:marLeft w:val="0"/>
              <w:marRight w:val="0"/>
              <w:marTop w:val="0"/>
              <w:marBottom w:val="0"/>
              <w:divBdr>
                <w:top w:val="none" w:sz="0" w:space="0" w:color="auto"/>
                <w:left w:val="none" w:sz="0" w:space="0" w:color="auto"/>
                <w:bottom w:val="none" w:sz="0" w:space="0" w:color="auto"/>
                <w:right w:val="none" w:sz="0" w:space="0" w:color="auto"/>
              </w:divBdr>
            </w:div>
            <w:div w:id="1580796072">
              <w:marLeft w:val="0"/>
              <w:marRight w:val="0"/>
              <w:marTop w:val="0"/>
              <w:marBottom w:val="0"/>
              <w:divBdr>
                <w:top w:val="none" w:sz="0" w:space="0" w:color="auto"/>
                <w:left w:val="none" w:sz="0" w:space="0" w:color="auto"/>
                <w:bottom w:val="none" w:sz="0" w:space="0" w:color="auto"/>
                <w:right w:val="none" w:sz="0" w:space="0" w:color="auto"/>
              </w:divBdr>
            </w:div>
            <w:div w:id="1606763440">
              <w:marLeft w:val="0"/>
              <w:marRight w:val="0"/>
              <w:marTop w:val="0"/>
              <w:marBottom w:val="0"/>
              <w:divBdr>
                <w:top w:val="none" w:sz="0" w:space="0" w:color="auto"/>
                <w:left w:val="none" w:sz="0" w:space="0" w:color="auto"/>
                <w:bottom w:val="none" w:sz="0" w:space="0" w:color="auto"/>
                <w:right w:val="none" w:sz="0" w:space="0" w:color="auto"/>
              </w:divBdr>
            </w:div>
            <w:div w:id="1628320705">
              <w:marLeft w:val="0"/>
              <w:marRight w:val="0"/>
              <w:marTop w:val="0"/>
              <w:marBottom w:val="0"/>
              <w:divBdr>
                <w:top w:val="none" w:sz="0" w:space="0" w:color="auto"/>
                <w:left w:val="none" w:sz="0" w:space="0" w:color="auto"/>
                <w:bottom w:val="none" w:sz="0" w:space="0" w:color="auto"/>
                <w:right w:val="none" w:sz="0" w:space="0" w:color="auto"/>
              </w:divBdr>
            </w:div>
            <w:div w:id="1629774811">
              <w:marLeft w:val="0"/>
              <w:marRight w:val="0"/>
              <w:marTop w:val="0"/>
              <w:marBottom w:val="0"/>
              <w:divBdr>
                <w:top w:val="none" w:sz="0" w:space="0" w:color="auto"/>
                <w:left w:val="none" w:sz="0" w:space="0" w:color="auto"/>
                <w:bottom w:val="none" w:sz="0" w:space="0" w:color="auto"/>
                <w:right w:val="none" w:sz="0" w:space="0" w:color="auto"/>
              </w:divBdr>
            </w:div>
            <w:div w:id="19459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1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mailto:erika.vaivadiene@lrv.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4100</Words>
  <Characters>2338</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6426</CharactersWithSpaces>
  <SharedDoc>false</SharedDoc>
  <HLinks>
    <vt:vector size="6" baseType="variant">
      <vt:variant>
        <vt:i4>1966200</vt:i4>
      </vt:variant>
      <vt:variant>
        <vt:i4>0</vt:i4>
      </vt:variant>
      <vt:variant>
        <vt:i4>0</vt:i4>
      </vt:variant>
      <vt:variant>
        <vt:i4>5</vt:i4>
      </vt:variant>
      <vt:variant>
        <vt:lpwstr>mailto:erika.vaivadiene@lrv.lt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2018-08-22T10:37:00Z</dcterms:created>
  <dc:creator>Erika Vaivadienė</dc:creator>
  <cp:lastModifiedBy>Asseco</cp:lastModifiedBy>
  <cp:lastPrinted>2018-08-22T08:07:00Z</cp:lastPrinted>
  <dcterms:modified xsi:type="dcterms:W3CDTF">2018-08-22T10:37:00Z</dcterms:modified>
  <cp:revision>2</cp:revision>
</cp:coreProperties>
</file>