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22dc29911ce4501a9afdb891671c7c4"/>
        <w:lock w:val="sdtLocked"/>
        <w:richText/>
      </w:sdtPr>
      <w:sdtContent>
        <w:p>
          <w:pPr>
            <w:tabs>
              <w:tab w:val="left" w:pos="6663"/>
            </w:tabs>
            <w:ind w:firstLine="7920"/>
            <w:rPr>
              <w:b/>
              <w:lang w:eastAsia="lt-LT"/>
            </w:rPr>
          </w:pPr>
          <w:r>
            <w:rPr>
              <w:b/>
              <w:lang w:eastAsia="lt-LT"/>
            </w:rPr>
            <w:t>Projektas</w:t>
          </w:r>
        </w:p>
        <w:p>
          <w:pPr>
            <w:tabs>
              <w:tab w:val="left" w:pos="6663"/>
            </w:tabs>
            <w:jc w:val="right"/>
            <w:rPr>
              <w:b/>
              <w:lang w:eastAsia="lt-LT"/>
            </w:rPr>
          </w:pP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2004 M. GRUODŽIO 24 D. NUTARIMO NR. 1656 „DĖL NEDARBO SOCIALINIO DRAUDIMO IŠMOKŲ NUOSTATŲ IR DALINIO DARBO IŠMOKŲ NUOSTATŲ PATVIRTINIMO“ PAKEITIMO</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30f985adb69a438c97bc78bbf7219569"/>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b2e20b18c9c441cb9fe5f559efc2c4dd"/>
            <w:lock w:val="sdtLocked"/>
            <w:richText/>
          </w:sdtPr>
          <w:sdtContent>
            <w:p>
              <w:pPr>
                <w:spacing w:line="360" w:lineRule="atLeast"/>
                <w:ind w:firstLine="720"/>
                <w:jc w:val="both"/>
                <w:rPr>
                  <w:szCs w:val="24"/>
                  <w:lang w:eastAsia="lt-LT"/>
                </w:rPr>
              </w:pPr>
              <w:sdt>
                <w:sdtPr>
                  <w:alias w:val="Numeris"/>
                  <w:tag w:val="nr_b2e20b18c9c441cb9fe5f559efc2c4dd"/>
                  <w:lock w:val="sdtLocked"/>
                  <w:richText/>
                </w:sdtPr>
                <w:sdtContent>
                  <w:r>
                    <w:rPr>
                      <w:szCs w:val="24"/>
                      <w:lang w:eastAsia="lt-LT"/>
                    </w:rPr>
                    <w:t>1</w:t>
                  </w:r>
                </w:sdtContent>
              </w:sdt>
              <w:r>
                <w:rPr>
                  <w:szCs w:val="24"/>
                  <w:lang w:eastAsia="lt-LT"/>
                </w:rPr>
                <w:t xml:space="preserve">. Pakeisti </w:t>
              </w:r>
              <w:r>
                <w:rPr>
                  <w:szCs w:val="22"/>
                  <w:lang w:eastAsia="lt-LT"/>
                </w:rPr>
                <w:t>Nedarbo socialinio draudimo išmokų nuostatus,</w:t>
              </w:r>
              <w:r>
                <w:rPr>
                  <w:szCs w:val="24"/>
                  <w:lang w:eastAsia="lt-LT"/>
                </w:rPr>
                <w:t xml:space="preserve"> </w:t>
              </w:r>
              <w:r>
                <w:rPr>
                  <w:szCs w:val="22"/>
                  <w:lang w:eastAsia="lt-LT"/>
                </w:rPr>
                <w:t>patvirtintus</w:t>
              </w:r>
              <w:r>
                <w:rPr>
                  <w:szCs w:val="24"/>
                  <w:lang w:eastAsia="lt-LT"/>
                </w:rPr>
                <w:t xml:space="preserve"> Lietuvos Respublikos Vyriausybės 2004 m. gruodžio 24 d. nutarimu Nr. 1656 „Dėl Nedarbo socialinio draudimo išmokų nuostatų ir Dalinio darbo išmokų nuostatų patvirtinimo“:</w:t>
              </w:r>
            </w:p>
            <w:sdt>
              <w:sdtPr>
                <w:alias w:val="1.1 pp."/>
                <w:tag w:val="part_bd264f5aba23444baade2c08db35bf8f"/>
                <w:lock w:val="sdtLocked"/>
                <w:richText/>
              </w:sdtPr>
              <w:sdtContent>
                <w:p>
                  <w:pPr>
                    <w:tabs>
                      <w:tab w:val="left" w:pos="567"/>
                      <w:tab w:val="left" w:pos="1134"/>
                    </w:tabs>
                    <w:spacing w:line="360" w:lineRule="atLeast"/>
                    <w:ind w:firstLine="720"/>
                    <w:jc w:val="both"/>
                    <w:rPr>
                      <w:szCs w:val="22"/>
                      <w:lang w:eastAsia="lt-LT"/>
                    </w:rPr>
                  </w:pPr>
                  <w:sdt>
                    <w:sdtPr>
                      <w:alias w:val="Numeris"/>
                      <w:tag w:val="nr_bd264f5aba23444baade2c08db35bf8f"/>
                      <w:lock w:val="sdtLocked"/>
                      <w:richText/>
                    </w:sdtPr>
                    <w:sdtContent>
                      <w:r>
                        <w:rPr>
                          <w:szCs w:val="22"/>
                          <w:lang w:eastAsia="lt-LT"/>
                        </w:rPr>
                        <w:t>1.1</w:t>
                      </w:r>
                    </w:sdtContent>
                  </w:sdt>
                  <w:r>
                    <w:rPr>
                      <w:szCs w:val="22"/>
                      <w:lang w:eastAsia="lt-LT"/>
                    </w:rPr>
                    <w:t>.</w:t>
                    <w:tab/>
                    <w:t>Pakeisti 15 punktą ir jį išdėstyti taip:</w:t>
                  </w:r>
                </w:p>
                <w:sdt>
                  <w:sdtPr>
                    <w:alias w:val="citata"/>
                    <w:tag w:val="part_b8ad97627f5d4379acf05e2d31aa70da"/>
                    <w:lock w:val="sdtLocked"/>
                    <w:richText/>
                  </w:sdtPr>
                  <w:sdtContent>
                    <w:sdt>
                      <w:sdtPr>
                        <w:alias w:val="3 p."/>
                        <w:tag w:val="part_cd644352816a41ce9581cf633742fa1b"/>
                        <w:lock w:val="sdtLocked"/>
                        <w:richText/>
                      </w:sdtPr>
                      <w:sdtContent>
                        <w:p>
                          <w:pPr>
                            <w:tabs>
                              <w:tab w:val="left" w:pos="567"/>
                              <w:tab w:val="left" w:pos="1134"/>
                            </w:tabs>
                            <w:spacing w:line="360" w:lineRule="atLeast"/>
                            <w:ind w:firstLine="720"/>
                            <w:jc w:val="both"/>
                            <w:rPr>
                              <w:szCs w:val="24"/>
                              <w:lang w:eastAsia="lt-LT"/>
                            </w:rPr>
                          </w:pPr>
                          <w:r>
                            <w:rPr>
                              <w:szCs w:val="22"/>
                              <w:lang w:eastAsia="lt-LT"/>
                            </w:rPr>
                            <w:t>„</w:t>
                          </w:r>
                          <w:sdt>
                            <w:sdtPr>
                              <w:alias w:val="Numeris"/>
                              <w:tag w:val="nr_cd644352816a41ce9581cf633742fa1b"/>
                              <w:lock w:val="sdtLocked"/>
                              <w:richText/>
                            </w:sdtPr>
                            <w:sdtContent>
                              <w:r>
                                <w:rPr>
                                  <w:szCs w:val="22"/>
                                  <w:lang w:eastAsia="lt-LT"/>
                                </w:rPr>
                                <w:t>3</w:t>
                              </w:r>
                            </w:sdtContent>
                          </w:sdt>
                          <w:r>
                            <w:rPr>
                              <w:szCs w:val="22"/>
                              <w:lang w:eastAsia="lt-LT"/>
                            </w:rPr>
                            <w:t>.</w:t>
                          </w:r>
                          <w:r>
                            <w:rPr>
                              <w:szCs w:val="24"/>
                              <w:lang w:eastAsia="lt-LT"/>
                            </w:rPr>
                            <w:t xml:space="preserve"> </w:t>
                          </w:r>
                          <w:r>
                            <w:rPr>
                              <w:szCs w:val="22"/>
                              <w:lang w:eastAsia="lt-LT"/>
                            </w:rPr>
                            <w:t xml:space="preserve">Įstatymo 6 straipsnio 2–4 dalyse nurodytiems bedarbiams nedarbo draudimo išmoka pradedama mokėti nuo kitos dienos po to, kai išnyksta Įstatymo 6 straipsnio </w:t>
                            <w:br/>
                            <w:t>2–4 dalyse nustatytos aplinkybės. Bedarbiams, gaunantiems ligos išmoką dėl laikinojo nedarbingumo, atsiradusio jiems dirbant, kai bedarbio statusas buvo sustabdytas ar panaikintas, nedarbo draudimo išmoka mokama Įstatymo 13 straipsnio 1 dalyje nustatyta tvarka</w:t>
                          </w:r>
                          <w:r>
                            <w:rPr>
                              <w:szCs w:val="24"/>
                              <w:lang w:eastAsia="lt-LT"/>
                            </w:rPr>
                            <w:t>.“</w:t>
                          </w:r>
                        </w:p>
                      </w:sdtContent>
                    </w:sdt>
                  </w:sdtContent>
                </w:sdt>
              </w:sdtContent>
            </w:sdt>
            <w:sdt>
              <w:sdtPr>
                <w:alias w:val="1.2 pp."/>
                <w:tag w:val="part_16b0e9933a6842b3802d0232e2fb0a8c"/>
                <w:lock w:val="sdtLocked"/>
                <w:richText/>
              </w:sdtPr>
              <w:sdtContent>
                <w:p>
                  <w:pPr>
                    <w:tabs>
                      <w:tab w:val="left" w:pos="567"/>
                      <w:tab w:val="left" w:pos="1276"/>
                    </w:tabs>
                    <w:spacing w:line="360" w:lineRule="atLeast"/>
                    <w:ind w:firstLine="720"/>
                    <w:jc w:val="both"/>
                    <w:rPr>
                      <w:lang w:eastAsia="lt-LT"/>
                    </w:rPr>
                  </w:pPr>
                  <w:sdt>
                    <w:sdtPr>
                      <w:alias w:val="Numeris"/>
                      <w:tag w:val="nr_16b0e9933a6842b3802d0232e2fb0a8c"/>
                      <w:lock w:val="sdtLocked"/>
                      <w:richText/>
                    </w:sdtPr>
                    <w:sdtContent>
                      <w:r>
                        <w:rPr>
                          <w:rFonts w:eastAsia="Calibri"/>
                          <w:szCs w:val="22"/>
                          <w:lang w:eastAsia="lt-LT"/>
                        </w:rPr>
                        <w:t>1.2</w:t>
                      </w:r>
                    </w:sdtContent>
                  </w:sdt>
                  <w:r>
                    <w:rPr>
                      <w:rFonts w:eastAsia="Calibri"/>
                      <w:szCs w:val="22"/>
                      <w:lang w:eastAsia="lt-LT"/>
                    </w:rPr>
                    <w:t>.</w:t>
                    <w:tab/>
                  </w:r>
                  <w:r>
                    <w:rPr>
                      <w:lang w:eastAsia="lt-LT"/>
                    </w:rPr>
                    <w:t>Pakeisti 17 punkto 2 pastraipą ir ją išdėstyti taip:</w:t>
                  </w:r>
                </w:p>
                <w:sdt>
                  <w:sdtPr>
                    <w:alias w:val="citata"/>
                    <w:tag w:val="part_1f15a8e57cab43cdac719ff7f4584310"/>
                    <w:lock w:val="sdtLocked"/>
                    <w:richText/>
                  </w:sdtPr>
                  <w:sdtContent>
                    <w:sdt>
                      <w:sdtPr>
                        <w:alias w:val="pastraipa"/>
                        <w:tag w:val="part_42c9d4f4762e44db8a3813134dcb1687"/>
                        <w:lock w:val="sdtLocked"/>
                        <w:richText/>
                      </w:sdtPr>
                      <w:sdtContent>
                        <w:p>
                          <w:pPr>
                            <w:tabs>
                              <w:tab w:val="left" w:pos="709"/>
                            </w:tabs>
                            <w:spacing w:line="360" w:lineRule="atLeast"/>
                            <w:ind w:firstLine="720"/>
                            <w:jc w:val="both"/>
                            <w:rPr>
                              <w:b/>
                              <w:szCs w:val="24"/>
                              <w:lang w:eastAsia="lt-LT"/>
                            </w:rPr>
                          </w:pPr>
                          <w:r>
                            <w:rPr>
                              <w:szCs w:val="24"/>
                              <w:lang w:eastAsia="lt-LT"/>
                            </w:rPr>
                            <w:t>„Jeigu perskaičiavus nedarbo draudimo išmoką paaiškėja, kad turi būti mokama mažesnė nedarbo draudimo išmoka, ir jeigu dar nebaigtas jos mokėjimas, nuo kito mėnesio pirmos dienos pradedama mokėti mažesnė nedarbo draudimo išmoka, tačiau permoka iš bedarbio neišskaičiuojama. Jeigu nedarbo draudimo išmoka jau išmokėta, ji perskaičiuojama, o permokėta suma Valstybinio socialinio draudimo įstatymo 21 straipsnyje nustatyta tvarka išieškoma iš asmenų, dėl kurių kaltės ji buvo permokėta.“</w:t>
                          </w:r>
                        </w:p>
                      </w:sdtContent>
                    </w:sdt>
                  </w:sdtContent>
                </w:sdt>
              </w:sdtContent>
            </w:sdt>
            <w:sdt>
              <w:sdtPr>
                <w:alias w:val="1.3 pp."/>
                <w:tag w:val="part_2e88535b6a5d448c8c01b288d0c80c78"/>
                <w:lock w:val="sdtLocked"/>
                <w:richText/>
              </w:sdtPr>
              <w:sdtContent>
                <w:p>
                  <w:pPr>
                    <w:tabs>
                      <w:tab w:val="left" w:pos="567"/>
                      <w:tab w:val="left" w:pos="1276"/>
                    </w:tabs>
                    <w:spacing w:line="360" w:lineRule="atLeast"/>
                    <w:ind w:firstLine="720"/>
                    <w:jc w:val="both"/>
                    <w:rPr>
                      <w:lang w:eastAsia="lt-LT"/>
                    </w:rPr>
                  </w:pPr>
                  <w:sdt>
                    <w:sdtPr>
                      <w:alias w:val="Numeris"/>
                      <w:tag w:val="nr_2e88535b6a5d448c8c01b288d0c80c78"/>
                      <w:lock w:val="sdtLocked"/>
                      <w:richText/>
                    </w:sdtPr>
                    <w:sdtContent>
                      <w:r>
                        <w:rPr>
                          <w:rFonts w:eastAsia="Calibri"/>
                          <w:szCs w:val="22"/>
                          <w:lang w:eastAsia="lt-LT"/>
                        </w:rPr>
                        <w:t>1.3</w:t>
                      </w:r>
                    </w:sdtContent>
                  </w:sdt>
                  <w:r>
                    <w:rPr>
                      <w:rFonts w:eastAsia="Calibri"/>
                      <w:szCs w:val="22"/>
                      <w:lang w:eastAsia="lt-LT"/>
                    </w:rPr>
                    <w:t>.</w:t>
                    <w:tab/>
                  </w:r>
                  <w:r>
                    <w:rPr>
                      <w:lang w:eastAsia="lt-LT"/>
                    </w:rPr>
                    <w:t>Pakeisti 23 punktą ir jį išdėstyti taip:</w:t>
                  </w:r>
                </w:p>
                <w:sdt>
                  <w:sdtPr>
                    <w:alias w:val="citata"/>
                    <w:tag w:val="part_209b920a847a42389727cb8dd87394dd"/>
                    <w:lock w:val="sdtLocked"/>
                    <w:richText/>
                  </w:sdtPr>
                  <w:sdtContent>
                    <w:sdt>
                      <w:sdtPr>
                        <w:alias w:val="23 p."/>
                        <w:tag w:val="part_cb1d09209db248079ea409d9b3a05c37"/>
                        <w:lock w:val="sdtLocked"/>
                        <w:richText/>
                      </w:sdtPr>
                      <w:sdtContent>
                        <w:p>
                          <w:pPr>
                            <w:tabs>
                              <w:tab w:val="left" w:pos="567"/>
                            </w:tabs>
                            <w:spacing w:line="360" w:lineRule="atLeast"/>
                            <w:ind w:firstLine="720"/>
                            <w:jc w:val="both"/>
                            <w:rPr>
                              <w:lang w:eastAsia="lt-LT"/>
                            </w:rPr>
                          </w:pPr>
                          <w:r>
                            <w:rPr>
                              <w:lang w:eastAsia="lt-LT"/>
                            </w:rPr>
                            <w:t>„</w:t>
                          </w:r>
                          <w:sdt>
                            <w:sdtPr>
                              <w:alias w:val="Numeris"/>
                              <w:tag w:val="nr_cb1d09209db248079ea409d9b3a05c37"/>
                              <w:lock w:val="sdtLocked"/>
                              <w:richText/>
                            </w:sdtPr>
                            <w:sdtContent>
                              <w:r>
                                <w:rPr>
                                  <w:lang w:eastAsia="lt-LT"/>
                                </w:rPr>
                                <w:t>23</w:t>
                              </w:r>
                            </w:sdtContent>
                          </w:sdt>
                          <w:r>
                            <w:rPr>
                              <w:lang w:eastAsia="lt-LT"/>
                            </w:rPr>
                            <w:t xml:space="preserve">. Tais atvejais, kai asmenys dirbo ir buvo draudžiami socialiniu draudimu užsienyje, nedarbo draudimo išmoka apskaičiuojama, mokama ir kitoje valstybėje įgyti nedarbo draudimo laikotarpiai įskaitomi Europos Sąjungos socialinės apsaugos sistemų koordinavimo reglamentuose ir Lietuvos Respublikos tarptautinėse sutartyse dėl socialinės apsaugos nustatyta tvarka. </w:t>
                          </w:r>
                          <w:r>
                            <w:rPr>
                              <w:bCs/>
                              <w:color w:val="000000"/>
                              <w:lang w:eastAsia="lt-LT"/>
                            </w:rPr>
                            <w:t>Nustatant asmens teisę į nedarbo draudimo išmoką, įskaitomi laikotarpiai, kuriais asmuo buvo draudžiamas pagal Europos Sąjungos institucijų bendrą socialinės apsaugos sistemą, vadovaujantis 1968 m. vasario 29 d. Tarybos reglamentu</w:t>
                          </w:r>
                          <w:r>
                            <w:rPr>
                              <w:b/>
                              <w:bCs/>
                              <w:color w:val="000000"/>
                              <w:lang w:eastAsia="lt-LT"/>
                            </w:rPr>
                            <w:t xml:space="preserve"> </w:t>
                          </w:r>
                          <w:r>
                            <w:rPr>
                              <w:bCs/>
                              <w:color w:val="000000"/>
                              <w:lang w:eastAsia="lt-LT"/>
                            </w:rPr>
                            <w:t xml:space="preserve">(EEB, Euratomas, EAPB) Nr. 259/68, nustatančiu Europos Bendrijų pareigūnų tarnybos nuostatus ir kitų Europos Bendrijų tarnautojų įdarbinimo sąlygas bei Komisijos pareigūnams laikinai taikomas specialias priemones (Tarnybos nuostatai) (OL </w:t>
                          </w:r>
                          <w:r>
                            <w:rPr>
                              <w:bCs/>
                              <w:i/>
                              <w:iCs/>
                              <w:color w:val="000000"/>
                              <w:lang w:eastAsia="lt-LT"/>
                            </w:rPr>
                            <w:t>2004 m.</w:t>
                          </w:r>
                          <w:r>
                            <w:rPr>
                              <w:bCs/>
                              <w:color w:val="000000"/>
                              <w:lang w:eastAsia="lt-LT"/>
                            </w:rPr>
                            <w:t xml:space="preserve"> </w:t>
                          </w:r>
                          <w:r>
                            <w:rPr>
                              <w:bCs/>
                              <w:i/>
                              <w:iCs/>
                              <w:color w:val="000000"/>
                              <w:lang w:eastAsia="lt-LT"/>
                            </w:rPr>
                            <w:t>specialusis leidimas</w:t>
                          </w:r>
                          <w:r>
                            <w:rPr>
                              <w:bCs/>
                              <w:color w:val="000000"/>
                              <w:lang w:eastAsia="lt-LT"/>
                            </w:rPr>
                            <w:t>, 1 skyrius, 2 tomas, p. 5), su visais vėlesniais pakeitimais.</w:t>
                          </w:r>
                          <w:r>
                            <w:rPr>
                              <w:lang w:eastAsia="lt-LT"/>
                            </w:rPr>
                            <w:t xml:space="preserve">“ </w:t>
                          </w:r>
                        </w:p>
                      </w:sdtContent>
                    </w:sdt>
                  </w:sdtContent>
                </w:sdt>
              </w:sdtContent>
            </w:sdt>
          </w:sdtContent>
        </w:sdt>
        <w:sdt>
          <w:sdtPr>
            <w:alias w:val="2 p."/>
            <w:tag w:val="part_7abbc220d1164498beb8f9e569c00113"/>
            <w:lock w:val="sdtLocked"/>
            <w:richText/>
          </w:sdtPr>
          <w:sdtContent>
            <w:p>
              <w:pPr>
                <w:tabs>
                  <w:tab w:val="left" w:pos="567"/>
                  <w:tab w:val="left" w:pos="1134"/>
                  <w:tab w:val="left" w:pos="1276"/>
                </w:tabs>
                <w:spacing w:line="360" w:lineRule="atLeast"/>
                <w:ind w:firstLine="720"/>
                <w:jc w:val="both"/>
                <w:rPr>
                  <w:szCs w:val="24"/>
                  <w:lang w:eastAsia="lt-LT"/>
                </w:rPr>
              </w:pPr>
              <w:sdt>
                <w:sdtPr>
                  <w:alias w:val="Numeris"/>
                  <w:tag w:val="nr_7abbc220d1164498beb8f9e569c00113"/>
                  <w:lock w:val="sdtLocked"/>
                  <w:richText/>
                </w:sdtPr>
                <w:sdtContent>
                  <w:r>
                    <w:rPr>
                      <w:rFonts w:eastAsia="Calibri"/>
                      <w:szCs w:val="24"/>
                      <w:lang w:eastAsia="lt-LT"/>
                    </w:rPr>
                    <w:t>2</w:t>
                  </w:r>
                </w:sdtContent>
              </w:sdt>
              <w:r>
                <w:rPr>
                  <w:rFonts w:eastAsia="Calibri"/>
                  <w:szCs w:val="24"/>
                  <w:lang w:eastAsia="lt-LT"/>
                </w:rPr>
                <w:t>.</w:t>
                <w:tab/>
              </w:r>
              <w:r>
                <w:rPr>
                  <w:lang w:eastAsia="lt-LT"/>
                </w:rPr>
                <w:t>Pakeisti Dalinio darbo išmokų nuostatus,</w:t>
              </w:r>
              <w:r>
                <w:rPr>
                  <w:szCs w:val="24"/>
                  <w:lang w:eastAsia="lt-LT"/>
                </w:rPr>
                <w:t xml:space="preserve"> </w:t>
              </w:r>
              <w:r>
                <w:rPr>
                  <w:lang w:eastAsia="lt-LT"/>
                </w:rPr>
                <w:t>patvirtintus</w:t>
              </w:r>
              <w:r>
                <w:rPr>
                  <w:szCs w:val="24"/>
                  <w:lang w:eastAsia="lt-LT"/>
                </w:rPr>
                <w:t xml:space="preserve"> Lietuvos Respublikos Vyriausybės 2004 m. gruodžio 24 d. nutarimu Nr. 1656 „Dėl Nedarbo socialinio draudimo išmokų nuostatų ir Dalinio darbo išmokų nuostatų patvirtinimo“:</w:t>
              </w:r>
            </w:p>
            <w:sdt>
              <w:sdtPr>
                <w:alias w:val="2.1 pp."/>
                <w:tag w:val="part_f5e4746fb0cf45cc983547c01d52203e"/>
                <w:lock w:val="sdtLocked"/>
                <w:richText/>
              </w:sdtPr>
              <w:sdtContent>
                <w:p>
                  <w:pPr>
                    <w:tabs>
                      <w:tab w:val="left" w:pos="567"/>
                      <w:tab w:val="left" w:pos="1276"/>
                    </w:tabs>
                    <w:spacing w:line="360" w:lineRule="atLeast"/>
                    <w:ind w:firstLine="720"/>
                    <w:jc w:val="both"/>
                    <w:rPr>
                      <w:szCs w:val="24"/>
                      <w:lang w:eastAsia="lt-LT"/>
                    </w:rPr>
                  </w:pPr>
                  <w:sdt>
                    <w:sdtPr>
                      <w:alias w:val="Numeris"/>
                      <w:tag w:val="nr_f5e4746fb0cf45cc983547c01d52203e"/>
                      <w:lock w:val="sdtLocked"/>
                      <w:richText/>
                    </w:sdtPr>
                    <w:sdtContent>
                      <w:r>
                        <w:rPr>
                          <w:rFonts w:eastAsia="Calibri"/>
                          <w:szCs w:val="24"/>
                          <w:lang w:eastAsia="lt-LT"/>
                        </w:rPr>
                        <w:t>2.1</w:t>
                      </w:r>
                    </w:sdtContent>
                  </w:sdt>
                  <w:r>
                    <w:rPr>
                      <w:rFonts w:eastAsia="Calibri"/>
                      <w:szCs w:val="24"/>
                      <w:lang w:eastAsia="lt-LT"/>
                    </w:rPr>
                    <w:t>.</w:t>
                    <w:tab/>
                  </w:r>
                  <w:r>
                    <w:rPr>
                      <w:lang w:eastAsia="lt-LT"/>
                    </w:rPr>
                    <w:t>Pakeisti 7 punktą ir jį išdėstyti taip:</w:t>
                  </w:r>
                </w:p>
                <w:sdt>
                  <w:sdtPr>
                    <w:alias w:val="citata"/>
                    <w:tag w:val="part_7fd2b30cd0404503a1d4dbc5d63002ce"/>
                    <w:lock w:val="sdtLocked"/>
                    <w:richText/>
                  </w:sdtPr>
                  <w:sdtContent>
                    <w:sdt>
                      <w:sdtPr>
                        <w:alias w:val="7 p."/>
                        <w:tag w:val="part_b011a0fc16c94423aaa9d5a8f2d2f9e1"/>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2"/>
                              <w:lang w:eastAsia="lt-LT"/>
                            </w:rPr>
                            <w:t>„</w:t>
                          </w:r>
                          <w:sdt>
                            <w:sdtPr>
                              <w:alias w:val="Numeris"/>
                              <w:tag w:val="nr_b011a0fc16c94423aaa9d5a8f2d2f9e1"/>
                              <w:lock w:val="sdtLocked"/>
                              <w:richText/>
                            </w:sdtPr>
                            <w:sdtContent>
                              <w:r>
                                <w:rPr>
                                  <w:rFonts w:eastAsia="Calibri"/>
                                  <w:szCs w:val="22"/>
                                  <w:lang w:eastAsia="lt-LT"/>
                                </w:rPr>
                                <w:t>7</w:t>
                              </w:r>
                            </w:sdtContent>
                          </w:sdt>
                          <w:r>
                            <w:rPr>
                              <w:rFonts w:eastAsia="Calibri"/>
                              <w:szCs w:val="22"/>
                              <w:lang w:eastAsia="lt-LT"/>
                            </w:rPr>
                            <w:t>.</w:t>
                          </w:r>
                          <w:r>
                            <w:rPr>
                              <w:lang w:eastAsia="lt-LT"/>
                            </w:rPr>
                            <w:t xml:space="preserve"> Darbdavys gali, o, Fondo valdybos teritoriniam skyriui pareikalavus, privalo</w:t>
                          </w:r>
                          <w:r>
                            <w:rPr>
                              <w:b/>
                              <w:lang w:eastAsia="lt-LT"/>
                            </w:rPr>
                            <w:t xml:space="preserve"> </w:t>
                          </w:r>
                          <w:r>
                            <w:rPr>
                              <w:lang w:eastAsia="lt-LT"/>
                            </w:rPr>
                            <w:t>pateikti ir kitus papildomus dokumentus, pagrindžiančius svarbias ekonomines priežastis</w:t>
                          </w:r>
                          <w:r>
                            <w:rPr>
                              <w:rFonts w:eastAsia="Calibri"/>
                              <w:szCs w:val="22"/>
                              <w:lang w:eastAsia="lt-LT"/>
                            </w:rPr>
                            <w:t>.“</w:t>
                          </w:r>
                        </w:p>
                      </w:sdtContent>
                    </w:sdt>
                  </w:sdtContent>
                </w:sdt>
              </w:sdtContent>
            </w:sdt>
            <w:sdt>
              <w:sdtPr>
                <w:alias w:val="2.2 pp."/>
                <w:tag w:val="part_0d67a26d613445e7bd5274ffc47533e4"/>
                <w:lock w:val="sdtLocked"/>
                <w:richText/>
              </w:sdtPr>
              <w:sdtContent>
                <w:p>
                  <w:pPr>
                    <w:tabs>
                      <w:tab w:val="left" w:pos="567"/>
                      <w:tab w:val="left" w:pos="1276"/>
                    </w:tabs>
                    <w:spacing w:line="360" w:lineRule="atLeast"/>
                    <w:ind w:firstLine="720"/>
                    <w:jc w:val="both"/>
                    <w:rPr>
                      <w:szCs w:val="24"/>
                      <w:lang w:eastAsia="lt-LT"/>
                    </w:rPr>
                  </w:pPr>
                  <w:sdt>
                    <w:sdtPr>
                      <w:alias w:val="Numeris"/>
                      <w:tag w:val="nr_0d67a26d613445e7bd5274ffc47533e4"/>
                      <w:lock w:val="sdtLocked"/>
                      <w:richText/>
                    </w:sdtPr>
                    <w:sdtContent>
                      <w:r>
                        <w:rPr>
                          <w:rFonts w:eastAsia="Calibri"/>
                          <w:szCs w:val="24"/>
                          <w:lang w:eastAsia="lt-LT"/>
                        </w:rPr>
                        <w:t>2.2</w:t>
                      </w:r>
                    </w:sdtContent>
                  </w:sdt>
                  <w:r>
                    <w:rPr>
                      <w:rFonts w:eastAsia="Calibri"/>
                      <w:szCs w:val="24"/>
                      <w:lang w:eastAsia="lt-LT"/>
                    </w:rPr>
                    <w:t>.</w:t>
                    <w:tab/>
                  </w:r>
                  <w:r>
                    <w:rPr>
                      <w:lang w:eastAsia="lt-LT"/>
                    </w:rPr>
                    <w:t>Pakeisti 13 punktą ir jį išdėstyti taip:</w:t>
                  </w:r>
                </w:p>
                <w:sdt>
                  <w:sdtPr>
                    <w:alias w:val="citata"/>
                    <w:tag w:val="part_90d0deda9c9d4742b63de3198125707d"/>
                    <w:lock w:val="sdtLocked"/>
                    <w:richText/>
                  </w:sdtPr>
                  <w:sdtContent>
                    <w:sdt>
                      <w:sdtPr>
                        <w:alias w:val="13 p."/>
                        <w:tag w:val="part_7187afe7a5e84c7986d7d447e023b3d0"/>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2"/>
                              <w:lang w:eastAsia="lt-LT"/>
                            </w:rPr>
                            <w:t>„</w:t>
                          </w:r>
                          <w:sdt>
                            <w:sdtPr>
                              <w:alias w:val="Numeris"/>
                              <w:tag w:val="nr_7187afe7a5e84c7986d7d447e023b3d0"/>
                              <w:lock w:val="sdtLocked"/>
                              <w:richText/>
                            </w:sdtPr>
                            <w:sdtContent>
                              <w:r>
                                <w:rPr>
                                  <w:rFonts w:eastAsia="Calibri"/>
                                  <w:szCs w:val="22"/>
                                  <w:lang w:eastAsia="lt-LT"/>
                                </w:rPr>
                                <w:t>13</w:t>
                              </w:r>
                            </w:sdtContent>
                          </w:sdt>
                          <w:r>
                            <w:rPr>
                              <w:rFonts w:eastAsia="Calibri"/>
                              <w:szCs w:val="22"/>
                              <w:lang w:eastAsia="lt-LT"/>
                            </w:rPr>
                            <w:t xml:space="preserve">. </w:t>
                          </w:r>
                          <w:r>
                            <w:rPr>
                              <w:rFonts w:eastAsia="Calibri"/>
                              <w:bCs/>
                              <w:szCs w:val="22"/>
                              <w:lang w:eastAsia="lt-LT"/>
                            </w:rPr>
                            <w:t>Jeigu dalinio darbo išmoką gaunantis asmuo tampa laikinai nedarbingas dėl ligos ar traumos ir</w:t>
                          </w:r>
                          <w:r>
                            <w:rPr>
                              <w:rFonts w:eastAsia="Calibri"/>
                              <w:b/>
                              <w:bCs/>
                              <w:szCs w:val="22"/>
                              <w:lang w:eastAsia="lt-LT"/>
                            </w:rPr>
                            <w:t xml:space="preserve"> </w:t>
                          </w:r>
                          <w:r>
                            <w:rPr>
                              <w:rFonts w:eastAsia="Calibri"/>
                              <w:bCs/>
                              <w:szCs w:val="22"/>
                              <w:lang w:eastAsia="lt-LT"/>
                            </w:rPr>
                            <w:t xml:space="preserve">nustatoma jo teisė į ligos išmoką pagal Lietuvos Respublikos ligos ir motinystės socialinio draudimo įstatymą arba Lietuvos Respublikos nelaimingų atsitikimų darbe ar profesinių ligų socialinio draudimo įstatymą, dalinio darbo išmokos mokėjimas sustabdomas </w:t>
                          </w:r>
                          <w:r>
                            <w:rPr>
                              <w:rFonts w:eastAsia="Calibri"/>
                              <w:szCs w:val="22"/>
                              <w:lang w:eastAsia="lt-LT"/>
                            </w:rPr>
                            <w:t>nuo pirmosios laikinojo nedarbingumo dienos.“</w:t>
                          </w:r>
                        </w:p>
                      </w:sdtContent>
                    </w:sdt>
                  </w:sdtContent>
                </w:sdt>
              </w:sdtContent>
            </w:sdt>
            <w:sdt>
              <w:sdtPr>
                <w:alias w:val="2.3 pp."/>
                <w:tag w:val="part_e822cf241db04ca981d826493cde2900"/>
                <w:lock w:val="sdtLocked"/>
                <w:richText/>
              </w:sdtPr>
              <w:sdtContent>
                <w:p>
                  <w:pPr>
                    <w:tabs>
                      <w:tab w:val="left" w:pos="567"/>
                      <w:tab w:val="left" w:pos="1276"/>
                    </w:tabs>
                    <w:spacing w:line="360" w:lineRule="atLeast"/>
                    <w:ind w:firstLine="720"/>
                    <w:jc w:val="both"/>
                    <w:rPr>
                      <w:szCs w:val="24"/>
                      <w:lang w:eastAsia="lt-LT"/>
                    </w:rPr>
                  </w:pPr>
                  <w:sdt>
                    <w:sdtPr>
                      <w:alias w:val="Numeris"/>
                      <w:tag w:val="nr_e822cf241db04ca981d826493cde2900"/>
                      <w:lock w:val="sdtLocked"/>
                      <w:richText/>
                    </w:sdtPr>
                    <w:sdtContent>
                      <w:r>
                        <w:rPr>
                          <w:rFonts w:eastAsia="Calibri"/>
                          <w:szCs w:val="24"/>
                          <w:lang w:eastAsia="lt-LT"/>
                        </w:rPr>
                        <w:t>2.3</w:t>
                      </w:r>
                    </w:sdtContent>
                  </w:sdt>
                  <w:r>
                    <w:rPr>
                      <w:rFonts w:eastAsia="Calibri"/>
                      <w:szCs w:val="24"/>
                      <w:lang w:eastAsia="lt-LT"/>
                    </w:rPr>
                    <w:t>.</w:t>
                    <w:tab/>
                  </w:r>
                  <w:r>
                    <w:rPr>
                      <w:lang w:eastAsia="lt-LT"/>
                    </w:rPr>
                    <w:t>Pakeisti 14 punktą ir jį išdėstyti taip:</w:t>
                  </w:r>
                </w:p>
                <w:sdt>
                  <w:sdtPr>
                    <w:alias w:val="citata"/>
                    <w:tag w:val="part_078a6513a6454f439ea1718ce1f98e92"/>
                    <w:lock w:val="sdtLocked"/>
                    <w:richText/>
                  </w:sdtPr>
                  <w:sdtContent>
                    <w:sdt>
                      <w:sdtPr>
                        <w:alias w:val="14 p."/>
                        <w:tag w:val="part_4d6d8498d0824e0b9a26c65b8cff3e26"/>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2"/>
                              <w:lang w:eastAsia="lt-LT"/>
                            </w:rPr>
                            <w:t>„</w:t>
                          </w:r>
                          <w:sdt>
                            <w:sdtPr>
                              <w:alias w:val="Numeris"/>
                              <w:tag w:val="nr_4d6d8498d0824e0b9a26c65b8cff3e26"/>
                              <w:lock w:val="sdtLocked"/>
                              <w:richText/>
                            </w:sdtPr>
                            <w:sdtContent>
                              <w:r>
                                <w:rPr>
                                  <w:rFonts w:eastAsia="Calibri"/>
                                  <w:szCs w:val="22"/>
                                  <w:lang w:eastAsia="lt-LT"/>
                                </w:rPr>
                                <w:t>14</w:t>
                              </w:r>
                            </w:sdtContent>
                          </w:sdt>
                          <w:r>
                            <w:rPr>
                              <w:rFonts w:eastAsia="Calibri"/>
                              <w:szCs w:val="22"/>
                              <w:lang w:eastAsia="lt-LT"/>
                            </w:rPr>
                            <w:t xml:space="preserve">. </w:t>
                          </w:r>
                          <w:r>
                            <w:rPr>
                              <w:rFonts w:eastAsia="Calibri"/>
                              <w:bCs/>
                              <w:szCs w:val="22"/>
                              <w:lang w:eastAsia="lt-LT"/>
                            </w:rPr>
                            <w:t xml:space="preserve">Išnykus aplinkybėms, dėl kurių dalinio darbo išmokos mokėjimas buvo sustabdytas, dalinio darbo išmokos mokėjimas atnaujinamas, jeigu dar nepasibaigęs laikotarpis, kuriam buvo nustatytas dalinis darbas, </w:t>
                          </w:r>
                          <w:r>
                            <w:rPr>
                              <w:rFonts w:eastAsia="Calibri"/>
                              <w:szCs w:val="22"/>
                              <w:lang w:eastAsia="lt-LT"/>
                            </w:rPr>
                            <w:t>nuo kitos dienos po to, kai pasibaigė laikinasis nedarbingumas, jeigu dar nepasibaigė laikotarpis, kuriam išmoka buvo paskirta.“</w:t>
                          </w:r>
                        </w:p>
                      </w:sdtContent>
                    </w:sdt>
                  </w:sdtContent>
                </w:sdt>
              </w:sdtContent>
            </w:sdt>
            <w:sdt>
              <w:sdtPr>
                <w:alias w:val="2.4 pp."/>
                <w:tag w:val="part_67b7fec443ad4759b92e57702b38449f"/>
                <w:lock w:val="sdtLocked"/>
                <w:richText/>
              </w:sdtPr>
              <w:sdtContent>
                <w:p>
                  <w:pPr>
                    <w:tabs>
                      <w:tab w:val="left" w:pos="567"/>
                      <w:tab w:val="left" w:pos="1276"/>
                    </w:tabs>
                    <w:spacing w:line="360" w:lineRule="atLeast"/>
                    <w:ind w:firstLine="720"/>
                    <w:jc w:val="both"/>
                    <w:rPr>
                      <w:szCs w:val="24"/>
                      <w:lang w:eastAsia="lt-LT"/>
                    </w:rPr>
                  </w:pPr>
                  <w:sdt>
                    <w:sdtPr>
                      <w:alias w:val="Numeris"/>
                      <w:tag w:val="nr_67b7fec443ad4759b92e57702b38449f"/>
                      <w:lock w:val="sdtLocked"/>
                      <w:richText/>
                    </w:sdtPr>
                    <w:sdtContent>
                      <w:r>
                        <w:rPr>
                          <w:rFonts w:eastAsia="Calibri"/>
                          <w:szCs w:val="24"/>
                          <w:lang w:eastAsia="lt-LT"/>
                        </w:rPr>
                        <w:t>2.4</w:t>
                      </w:r>
                    </w:sdtContent>
                  </w:sdt>
                  <w:r>
                    <w:rPr>
                      <w:rFonts w:eastAsia="Calibri"/>
                      <w:szCs w:val="24"/>
                      <w:lang w:eastAsia="lt-LT"/>
                    </w:rPr>
                    <w:t>.</w:t>
                    <w:tab/>
                  </w:r>
                  <w:r>
                    <w:rPr>
                      <w:lang w:eastAsia="lt-LT"/>
                    </w:rPr>
                    <w:t>Papildyti 15.3 papunkčiu:</w:t>
                  </w:r>
                </w:p>
                <w:sdt>
                  <w:sdtPr>
                    <w:alias w:val="citata"/>
                    <w:tag w:val="part_166e762a8e7e499a9bb8df71c59acd09"/>
                    <w:lock w:val="sdtLocked"/>
                    <w:richText/>
                  </w:sdtPr>
                  <w:sdtContent>
                    <w:sdt>
                      <w:sdtPr>
                        <w:alias w:val="15.3 pp."/>
                        <w:tag w:val="part_69c4d91429e74138b69e8950ba99819c"/>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2"/>
                              <w:lang w:eastAsia="lt-LT"/>
                            </w:rPr>
                            <w:t>„</w:t>
                          </w:r>
                          <w:sdt>
                            <w:sdtPr>
                              <w:alias w:val="Numeris"/>
                              <w:tag w:val="nr_69c4d91429e74138b69e8950ba99819c"/>
                              <w:lock w:val="sdtLocked"/>
                              <w:richText/>
                            </w:sdtPr>
                            <w:sdtContent>
                              <w:r>
                                <w:rPr>
                                  <w:rFonts w:eastAsia="Calibri"/>
                                  <w:szCs w:val="22"/>
                                  <w:lang w:eastAsia="lt-LT"/>
                                </w:rPr>
                                <w:t>15.3</w:t>
                              </w:r>
                            </w:sdtContent>
                          </w:sdt>
                          <w:r>
                            <w:rPr>
                              <w:rFonts w:eastAsia="Calibri"/>
                              <w:szCs w:val="22"/>
                              <w:lang w:eastAsia="lt-LT"/>
                            </w:rPr>
                            <w:t>. iškėlus darbdaviui nemokumo bylą, nuo teismo nutarties iškelti darbdaviui nemokumo bylą įsiteisėjimo dienos.“</w:t>
                          </w:r>
                        </w:p>
                      </w:sdtContent>
                    </w:sdt>
                  </w:sdtContent>
                </w:sdt>
              </w:sdtContent>
            </w:sdt>
            <w:sdt>
              <w:sdtPr>
                <w:alias w:val="2.5 pp."/>
                <w:tag w:val="part_9478599cd6864336a26b09d6ac5137c1"/>
                <w:lock w:val="sdtLocked"/>
                <w:richText/>
              </w:sdtPr>
              <w:sdtContent>
                <w:p>
                  <w:pPr>
                    <w:tabs>
                      <w:tab w:val="left" w:pos="567"/>
                      <w:tab w:val="left" w:pos="1276"/>
                    </w:tabs>
                    <w:spacing w:line="360" w:lineRule="atLeast"/>
                    <w:ind w:firstLine="720"/>
                    <w:jc w:val="both"/>
                    <w:rPr>
                      <w:szCs w:val="24"/>
                      <w:lang w:eastAsia="lt-LT"/>
                    </w:rPr>
                  </w:pPr>
                  <w:sdt>
                    <w:sdtPr>
                      <w:alias w:val="Numeris"/>
                      <w:tag w:val="nr_9478599cd6864336a26b09d6ac5137c1"/>
                      <w:lock w:val="sdtLocked"/>
                      <w:richText/>
                    </w:sdtPr>
                    <w:sdtContent>
                      <w:r>
                        <w:rPr>
                          <w:rFonts w:eastAsia="Calibri"/>
                          <w:szCs w:val="24"/>
                          <w:lang w:eastAsia="lt-LT"/>
                        </w:rPr>
                        <w:t>2.5</w:t>
                      </w:r>
                    </w:sdtContent>
                  </w:sdt>
                  <w:r>
                    <w:rPr>
                      <w:rFonts w:eastAsia="Calibri"/>
                      <w:szCs w:val="24"/>
                      <w:lang w:eastAsia="lt-LT"/>
                    </w:rPr>
                    <w:t>.</w:t>
                    <w:tab/>
                  </w:r>
                  <w:r>
                    <w:rPr>
                      <w:lang w:eastAsia="lt-LT"/>
                    </w:rPr>
                    <w:t>Pakeisti 19 punktą ir jį išdėstyti taip:</w:t>
                  </w:r>
                </w:p>
                <w:sdt>
                  <w:sdtPr>
                    <w:alias w:val="citata"/>
                    <w:tag w:val="part_2dc2fc4278264519b13e6b1798d11703"/>
                    <w:lock w:val="sdtLocked"/>
                    <w:richText/>
                  </w:sdtPr>
                  <w:sdtContent>
                    <w:sdt>
                      <w:sdtPr>
                        <w:alias w:val="19 p."/>
                        <w:tag w:val="part_db196625f7454eae905fd8ace53e8304"/>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2"/>
                              <w:lang w:eastAsia="lt-LT"/>
                            </w:rPr>
                            <w:t>„</w:t>
                          </w:r>
                          <w:sdt>
                            <w:sdtPr>
                              <w:alias w:val="Numeris"/>
                              <w:tag w:val="nr_db196625f7454eae905fd8ace53e8304"/>
                              <w:lock w:val="sdtLocked"/>
                              <w:richText/>
                            </w:sdtPr>
                            <w:sdtContent>
                              <w:r>
                                <w:rPr>
                                  <w:rFonts w:eastAsia="Calibri"/>
                                  <w:szCs w:val="22"/>
                                  <w:lang w:eastAsia="lt-LT"/>
                                </w:rPr>
                                <w:t>19</w:t>
                              </w:r>
                            </w:sdtContent>
                          </w:sdt>
                          <w:r>
                            <w:rPr>
                              <w:rFonts w:eastAsia="Calibri"/>
                              <w:szCs w:val="22"/>
                              <w:lang w:eastAsia="lt-LT"/>
                            </w:rPr>
                            <w:t>.</w:t>
                          </w:r>
                          <w:r>
                            <w:rPr>
                              <w:rFonts w:eastAsia="Calibri"/>
                              <w:b/>
                              <w:szCs w:val="22"/>
                              <w:lang w:eastAsia="lt-LT"/>
                            </w:rPr>
                            <w:t xml:space="preserve"> </w:t>
                          </w:r>
                          <w:r>
                            <w:rPr>
                              <w:rFonts w:eastAsia="Calibri"/>
                              <w:szCs w:val="22"/>
                              <w:lang w:eastAsia="lt-LT"/>
                            </w:rPr>
                            <w:t>Dalinio darbo</w:t>
                          </w:r>
                          <w:r>
                            <w:rPr>
                              <w:rFonts w:eastAsia="Calibri"/>
                              <w:b/>
                              <w:szCs w:val="22"/>
                              <w:lang w:eastAsia="lt-LT"/>
                            </w:rPr>
                            <w:t xml:space="preserve"> </w:t>
                          </w:r>
                          <w:r>
                            <w:rPr>
                              <w:rFonts w:eastAsia="Calibri"/>
                              <w:szCs w:val="22"/>
                              <w:lang w:eastAsia="lt-LT"/>
                            </w:rPr>
                            <w:t xml:space="preserve">išmoka mokama už praėjusį kalendorinį mėnesį, ne rečiau kaip kartą per mėnesį. </w:t>
                          </w:r>
                          <w:r>
                            <w:rPr>
                              <w:rFonts w:eastAsia="Calibri"/>
                              <w:szCs w:val="22"/>
                            </w:rPr>
                            <w:t>Ne viso mėnesio dalinio darbo išmoka apskaičiuojama pagal kalendorines to mėnesio, už kurį ji mokama, dienas.</w:t>
                          </w:r>
                          <w:r>
                            <w:rPr>
                              <w:rFonts w:eastAsia="Calibri"/>
                              <w:szCs w:val="22"/>
                              <w:lang w:eastAsia="lt-LT"/>
                            </w:rPr>
                            <w:t>“</w:t>
                          </w:r>
                        </w:p>
                      </w:sdtContent>
                    </w:sdt>
                  </w:sdtContent>
                </w:sdt>
              </w:sdtContent>
            </w:sdt>
            <w:sdt>
              <w:sdtPr>
                <w:alias w:val="2.6 pp."/>
                <w:tag w:val="part_96dfbba93e6544d6a576b69aa54be0a2"/>
                <w:lock w:val="sdtLocked"/>
                <w:richText/>
              </w:sdtPr>
              <w:sdtContent>
                <w:p>
                  <w:pPr>
                    <w:tabs>
                      <w:tab w:val="left" w:pos="567"/>
                      <w:tab w:val="left" w:pos="1276"/>
                    </w:tabs>
                    <w:spacing w:line="360" w:lineRule="atLeast"/>
                    <w:ind w:firstLine="720"/>
                    <w:jc w:val="both"/>
                    <w:rPr>
                      <w:szCs w:val="24"/>
                      <w:lang w:eastAsia="lt-LT"/>
                    </w:rPr>
                  </w:pPr>
                  <w:sdt>
                    <w:sdtPr>
                      <w:alias w:val="Numeris"/>
                      <w:tag w:val="nr_96dfbba93e6544d6a576b69aa54be0a2"/>
                      <w:lock w:val="sdtLocked"/>
                      <w:richText/>
                    </w:sdtPr>
                    <w:sdtContent>
                      <w:r>
                        <w:rPr>
                          <w:rFonts w:eastAsia="Calibri"/>
                          <w:szCs w:val="24"/>
                          <w:lang w:eastAsia="lt-LT"/>
                        </w:rPr>
                        <w:t>2.6</w:t>
                      </w:r>
                    </w:sdtContent>
                  </w:sdt>
                  <w:r>
                    <w:rPr>
                      <w:rFonts w:eastAsia="Calibri"/>
                      <w:szCs w:val="24"/>
                      <w:lang w:eastAsia="lt-LT"/>
                    </w:rPr>
                    <w:t>.</w:t>
                    <w:tab/>
                  </w:r>
                  <w:r>
                    <w:rPr>
                      <w:szCs w:val="24"/>
                      <w:lang w:eastAsia="lt-LT"/>
                    </w:rPr>
                    <w:t>Pakeisti 21 punktą ir jį išdėstyti taip:</w:t>
                  </w:r>
                </w:p>
                <w:sdt>
                  <w:sdtPr>
                    <w:alias w:val="citata"/>
                    <w:tag w:val="part_7713bebb8ae04e00837f03f618644cf9"/>
                    <w:lock w:val="sdtLocked"/>
                    <w:richText/>
                  </w:sdtPr>
                  <w:sdtContent>
                    <w:sdt>
                      <w:sdtPr>
                        <w:alias w:val="21 p."/>
                        <w:tag w:val="part_90d86a4521bc4c2ba12399f7bd41ef06"/>
                        <w:lock w:val="sdtLocked"/>
                        <w:richText/>
                      </w:sdtPr>
                      <w:sdtContent>
                        <w:p>
                          <w:pPr>
                            <w:tabs>
                              <w:tab w:val="left" w:pos="567"/>
                              <w:tab w:val="left" w:pos="1276"/>
                            </w:tabs>
                            <w:spacing w:line="360" w:lineRule="atLeast"/>
                            <w:ind w:firstLine="720"/>
                            <w:jc w:val="both"/>
                            <w:rPr>
                              <w:rFonts w:eastAsia="Calibri"/>
                              <w:szCs w:val="24"/>
                              <w:lang w:eastAsia="lt-LT"/>
                            </w:rPr>
                          </w:pPr>
                          <w:r>
                            <w:rPr>
                              <w:rFonts w:eastAsia="Calibri"/>
                              <w:szCs w:val="24"/>
                              <w:lang w:eastAsia="lt-LT"/>
                            </w:rPr>
                            <w:t>„</w:t>
                          </w:r>
                          <w:sdt>
                            <w:sdtPr>
                              <w:alias w:val="Numeris"/>
                              <w:tag w:val="nr_90d86a4521bc4c2ba12399f7bd41ef06"/>
                              <w:lock w:val="sdtLocked"/>
                              <w:richText/>
                            </w:sdtPr>
                            <w:sdtContent>
                              <w:r>
                                <w:rPr>
                                  <w:rFonts w:eastAsia="Calibri"/>
                                  <w:szCs w:val="24"/>
                                  <w:lang w:eastAsia="lt-LT"/>
                                </w:rPr>
                                <w:t>21</w:t>
                              </w:r>
                            </w:sdtContent>
                          </w:sdt>
                          <w:r>
                            <w:rPr>
                              <w:rFonts w:eastAsia="Calibri"/>
                              <w:szCs w:val="24"/>
                              <w:lang w:eastAsia="lt-LT"/>
                            </w:rPr>
                            <w:t>. Jeigu darbdavys per Įstatymo 18 straipsnio 3 dalyje nustatytą terminą neinformuoja Fondo valdybos teritorinio skyriaus apie sprendimo dėl dalinio darbo nustatymo darbuotojui panaikinimą, permokėta dalinio darbo išmokos suma išieškoma Lietuvos Respublikos valstybinio socialinio draudimo įstatymo nustatyta tvarka.“</w:t>
                          </w:r>
                        </w:p>
                      </w:sdtContent>
                    </w:sdt>
                  </w:sdtContent>
                </w:sdt>
              </w:sdtContent>
            </w:sdt>
            <w:sdt>
              <w:sdtPr>
                <w:alias w:val="2.7 pp."/>
                <w:tag w:val="part_908c02524b424fc8afab8455544ae693"/>
                <w:lock w:val="sdtLocked"/>
                <w:richText/>
              </w:sdtPr>
              <w:sdtContent>
                <w:p>
                  <w:pPr>
                    <w:spacing w:line="360" w:lineRule="atLeast"/>
                    <w:ind w:firstLine="720"/>
                    <w:jc w:val="both"/>
                    <w:rPr>
                      <w:color w:val="000000"/>
                      <w:lang w:eastAsia="lt-LT"/>
                    </w:rPr>
                  </w:pPr>
                  <w:sdt>
                    <w:sdtPr>
                      <w:alias w:val="Numeris"/>
                      <w:tag w:val="nr_908c02524b424fc8afab8455544ae693"/>
                      <w:lock w:val="sdtLocked"/>
                      <w:richText/>
                    </w:sdtPr>
                    <w:sdtContent>
                      <w:r>
                        <w:rPr>
                          <w:rFonts w:eastAsia="Calibri"/>
                          <w:color w:val="000000"/>
                          <w:szCs w:val="22"/>
                          <w:lang w:eastAsia="lt-LT"/>
                        </w:rPr>
                        <w:t>2.7</w:t>
                      </w:r>
                    </w:sdtContent>
                  </w:sdt>
                  <w:r>
                    <w:rPr>
                      <w:rFonts w:eastAsia="Calibri"/>
                      <w:color w:val="000000"/>
                      <w:szCs w:val="22"/>
                      <w:lang w:eastAsia="lt-LT"/>
                    </w:rPr>
                    <w:t>.</w:t>
                    <w:tab/>
                  </w:r>
                  <w:r>
                    <w:rPr>
                      <w:color w:val="000000"/>
                      <w:lang w:eastAsia="lt-LT"/>
                    </w:rPr>
                    <w:t>Pripažinti netekusiu galios 23 punktą.</w:t>
                  </w:r>
                </w:p>
              </w:sdtContent>
            </w:sdt>
            <w:sdt>
              <w:sdtPr>
                <w:alias w:val="2.8 pp."/>
                <w:tag w:val="part_2e34d5f5acf9435d97720700feb584e5"/>
                <w:lock w:val="sdtLocked"/>
                <w:richText/>
              </w:sdtPr>
              <w:sdtContent>
                <w:p>
                  <w:pPr>
                    <w:spacing w:line="360" w:lineRule="atLeast"/>
                    <w:ind w:firstLine="720"/>
                    <w:jc w:val="both"/>
                    <w:rPr>
                      <w:color w:val="000000"/>
                      <w:lang w:eastAsia="lt-LT"/>
                    </w:rPr>
                  </w:pPr>
                  <w:sdt>
                    <w:sdtPr>
                      <w:alias w:val="Numeris"/>
                      <w:tag w:val="nr_2e34d5f5acf9435d97720700feb584e5"/>
                      <w:lock w:val="sdtLocked"/>
                      <w:richText/>
                    </w:sdtPr>
                    <w:sdtContent>
                      <w:r>
                        <w:rPr>
                          <w:rFonts w:eastAsia="Calibri"/>
                          <w:color w:val="000000"/>
                          <w:szCs w:val="22"/>
                          <w:lang w:eastAsia="lt-LT"/>
                        </w:rPr>
                        <w:t>2.8</w:t>
                      </w:r>
                    </w:sdtContent>
                  </w:sdt>
                  <w:r>
                    <w:rPr>
                      <w:rFonts w:eastAsia="Calibri"/>
                      <w:color w:val="000000"/>
                      <w:szCs w:val="22"/>
                      <w:lang w:eastAsia="lt-LT"/>
                    </w:rPr>
                    <w:t>.</w:t>
                    <w:tab/>
                  </w:r>
                  <w:r>
                    <w:rPr>
                      <w:color w:val="000000"/>
                      <w:lang w:eastAsia="lt-LT"/>
                    </w:rPr>
                    <w:t>Pripažinti netekusiu galios 24 punktą.</w:t>
                  </w:r>
                </w:p>
                <w:p>
                  <w:pPr>
                    <w:ind w:hanging="371"/>
                    <w:jc w:val="both"/>
                    <w:rPr>
                      <w:lang w:eastAsia="lt-LT"/>
                    </w:rPr>
                  </w:pPr>
                </w:p>
                <w:p>
                  <w:pPr>
                    <w:jc w:val="both"/>
                    <w:rPr>
                      <w:lang w:eastAsia="lt-LT"/>
                    </w:rPr>
                  </w:pPr>
                </w:p>
                <w:p>
                  <w:pPr>
                    <w:jc w:val="both"/>
                    <w:rPr>
                      <w:lang w:eastAsia="lt-LT"/>
                    </w:rPr>
                  </w:pPr>
                </w:p>
              </w:sdtContent>
            </w:sdt>
          </w:sdtContent>
        </w:sdt>
        <w:sdt>
          <w:sdtPr>
            <w:alias w:val="signatura"/>
            <w:tag w:val="part_d1e92727006349b1916b4ce4da76fbe0"/>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Socialinės apsaugos ir darbo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commentsExtended.xml><?xml version="1.0" encoding="utf-8"?>
<w15:commentsEx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57679594">
      <w:bodyDiv w:val="1"/>
      <w:marLeft w:val="0"/>
      <w:marRight w:val="0"/>
      <w:marTop w:val="0"/>
      <w:marBottom w:val="0"/>
      <w:divBdr>
        <w:top w:val="none" w:sz="0" w:space="0" w:color="auto"/>
        <w:left w:val="none" w:sz="0" w:space="0" w:color="auto"/>
        <w:bottom w:val="none" w:sz="0" w:space="0" w:color="auto"/>
        <w:right w:val="none" w:sz="0" w:space="0" w:color="auto"/>
      </w:divBdr>
    </w:div>
    <w:div w:id="85199143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5697753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8" Target="people.xml"
                 Type="http://schemas.microsoft.com/office/2011/relationships/people"/>
   <Relationship Id="rId19" Target="commentsExtended.xml"
                 Type="http://schemas.microsoft.com/office/2011/relationships/commentsExtended"/>
   <Relationship Id="rId2" Target="styles.xml"
                 Type="http://schemas.openxmlformats.org/officeDocument/2006/relationships/styles"/>
   <Relationship Id="rId20"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566f74a9239d4e32aa0c2a1024508373" PartId="422dc29911ce4501a9afdb891671c7c4">
    <Part Type="preambule" DocPartId="1159d06f6a4049cc972b5599cfb08610" PartId="30f985adb69a438c97bc78bbf7219569"/>
    <Part Type="punktas" Nr="1" Abbr="1 p." DocPartId="a1380eaecde3452a9322dcc541b71517" PartId="b2e20b18c9c441cb9fe5f559efc2c4dd">
      <Part Type="papunktis" Nr="1.1" Abbr="1.1 pp." DocPartId="16b0fdd9868f41c6b14533a8edf9d2ee" PartId="bd264f5aba23444baade2c08db35bf8f">
        <Part Type="citata" DocPartId="c08bc0536d1f4ebe97749f6a3bfb7f81" PartId="b8ad97627f5d4379acf05e2d31aa70da">
          <Part Type="punktas" Nr="3" Abbr="3 p." DocPartId="4199da0ab34a4252added703728b02fa" PartId="cd644352816a41ce9581cf633742fa1b"/>
        </Part>
      </Part>
      <Part Type="papunktis" Nr="1.2" Abbr="1.2 pp." DocPartId="e23f3a73d30b4c98890d22eb43553a8a" PartId="16b0e9933a6842b3802d0232e2fb0a8c">
        <Part Type="citata" DocPartId="39a0e981a99d4a4aa2861df03ba589dc" PartId="1f15a8e57cab43cdac719ff7f4584310">
          <Part Type="pastraipa" DocPartId="6a6a4cecc3f241ee903e5d3cfa1b7261" PartId="42c9d4f4762e44db8a3813134dcb1687"/>
        </Part>
      </Part>
      <Part Type="papunktis" Nr="1.3" Abbr="1.3 pp." DocPartId="1fa4c9ffdec142c19382922566952866" PartId="2e88535b6a5d448c8c01b288d0c80c78">
        <Part Type="citata" DocPartId="0f3e3f77fc5a4b1cb251c3cc8ef0dd41" PartId="209b920a847a42389727cb8dd87394dd">
          <Part Type="punktas" Nr="23" Abbr="23 p." DocPartId="6cbac7fe93504cc6bc46e02269b7ad05" PartId="cb1d09209db248079ea409d9b3a05c37"/>
        </Part>
      </Part>
    </Part>
    <Part Type="punktas" Nr="2" Abbr="2 p." DocPartId="dbcc338830db40bfb69f04f21673ddcc" PartId="7abbc220d1164498beb8f9e569c00113">
      <Part Type="papunktis" Nr="2.1" Abbr="2.1 pp." DocPartId="6d04e1e5765e43c9a8385a18284a0db5" PartId="f5e4746fb0cf45cc983547c01d52203e">
        <Part Type="citata" DocPartId="a0196023b4884ffca5fa29ae60ef34c4" PartId="7fd2b30cd0404503a1d4dbc5d63002ce">
          <Part Type="punktas" Nr="7" Abbr="7 p." DocPartId="c86dc602df09410aa7ffb126af499358" PartId="b011a0fc16c94423aaa9d5a8f2d2f9e1"/>
        </Part>
      </Part>
      <Part Type="papunktis" Nr="2.2" Abbr="2.2 pp." DocPartId="cf44fb0676a84cfe8b0aa2db463ee20e" PartId="0d67a26d613445e7bd5274ffc47533e4">
        <Part Type="citata" DocPartId="e3ffacdfcaf54dbdafbc7f8b71551dfb" PartId="90d0deda9c9d4742b63de3198125707d">
          <Part Type="punktas" Nr="13" Abbr="13 p." DocPartId="b060f4b3dca84892b449f554e063eafe" PartId="7187afe7a5e84c7986d7d447e023b3d0"/>
        </Part>
      </Part>
      <Part Type="papunktis" Nr="2.3" Abbr="2.3 pp." DocPartId="800eaf6d550f439aab3110a294674f4b" PartId="e822cf241db04ca981d826493cde2900">
        <Part Type="citata" DocPartId="e2ad5ffb47b3448296bc62ca99c4c012" PartId="078a6513a6454f439ea1718ce1f98e92">
          <Part Type="punktas" Nr="14" Abbr="14 p." DocPartId="506c0f51e9b84990899adedf8dbbc5f6" PartId="4d6d8498d0824e0b9a26c65b8cff3e26"/>
        </Part>
      </Part>
      <Part Type="papunktis" Nr="2.4" Abbr="2.4 pp." DocPartId="48acde3edfae4ca4ac24063c3de56a3e" PartId="67b7fec443ad4759b92e57702b38449f">
        <Part Type="citata" DocPartId="78bdbdab4acb459399a1d4cd6a51131c" PartId="166e762a8e7e499a9bb8df71c59acd09">
          <Part Type="papunktis" Nr="15.3" Abbr="15.3 pp." DocPartId="2e1d4049901a495faf92eb7a0c6c4838" PartId="69c4d91429e74138b69e8950ba99819c"/>
        </Part>
      </Part>
      <Part Type="papunktis" Nr="2.5" Abbr="2.5 pp." DocPartId="ff318fc855974a6ca029ec5b02861675" PartId="9478599cd6864336a26b09d6ac5137c1">
        <Part Type="citata" DocPartId="2eb05643cfbe4d688dc364747b2587b3" PartId="2dc2fc4278264519b13e6b1798d11703">
          <Part Type="punktas" Nr="19" Abbr="19 p." DocPartId="8c07c8135bf44dd48ea0c525e0e85f44" PartId="db196625f7454eae905fd8ace53e8304"/>
        </Part>
      </Part>
      <Part Type="papunktis" Nr="2.6" Abbr="2.6 pp." DocPartId="c783e8b55e0e4322b1e1016b5595befa" PartId="96dfbba93e6544d6a576b69aa54be0a2">
        <Part Type="citata" DocPartId="fde31f7146aa47c4b9e4823aee65fc31" PartId="7713bebb8ae04e00837f03f618644cf9">
          <Part Type="punktas" Nr="21" Abbr="21 p." DocPartId="aadb00830e274c21b210069bee90bc8b" PartId="90d86a4521bc4c2ba12399f7bd41ef06"/>
        </Part>
      </Part>
      <Part Type="papunktis" Nr="2.7" Abbr="2.7 pp." DocPartId="5ab3d966a3b441de9c7b841d72a449fd" PartId="908c02524b424fc8afab8455544ae693"/>
      <Part Type="papunktis" Nr="2.8" Abbr="2.8 pp." DocPartId="ac561e9c566f41c79d0b01c917c5bdf9" PartId="2e34d5f5acf9435d97720700feb584e5"/>
    </Part>
    <Part Type="signatura" DocPartId="faf8da2efeca469ea45f5ed4699278af" PartId="d1e92727006349b1916b4ce4da76fbe0"/>
  </Part>
</Parts>
</file>

<file path=customXml/itemProps1.xml><?xml version="1.0" encoding="utf-8"?>
<ds:datastoreItem xmlns:ds="http://schemas.openxmlformats.org/officeDocument/2006/customXml" ds:itemID="{D6DC1F33-91D9-4BFC-847C-0C03D4B05916}">
  <ds:schemaRefs>
    <ds:schemaRef ds:uri="http://schemas.openxmlformats.org/officeDocument/2006/bibliography"/>
  </ds:schemaRefs>
</ds:datastoreItem>
</file>

<file path=customXml/itemProps2.xml><?xml version="1.0" encoding="utf-8"?>
<ds:datastoreItem xmlns:ds="http://schemas.openxmlformats.org/officeDocument/2006/customXml" ds:itemID="{293411DA-1894-47BD-813D-AED947B6276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4105</Characters>
  <Application>Microsoft Office Word</Application>
  <DocSecurity>4</DocSecurity>
  <Lines>77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4693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2020-01-30T08:24:00Z</dcterms:created>
  <dc:creator>lrvk</dc:creator>
  <cp:lastModifiedBy>Asseco</cp:lastModifiedBy>
  <cp:lastPrinted>2018-08-02T06:42:00Z</cp:lastPrinted>
  <dcterms:modified xsi:type="dcterms:W3CDTF">2020-01-30T08:24:00Z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-85588360</vt:i4>
  </property>
  <property fmtid="{D5CDD505-2E9C-101B-9397-08002B2CF9AE}" pid="4" name="_EmailSubject">
    <vt:lpwstr>NSDI ir DDI nuostatų pakeitimas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-99756107</vt:i4>
  </property>
  <property fmtid="{D5CDD505-2E9C-101B-9397-08002B2CF9AE}" pid="8" name="_ReviewingToolsShownOnce">
    <vt:lpwstr/>
  </property>
</Properties>
</file>