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B7B30" w14:textId="77777777" w:rsidR="0091193D" w:rsidRDefault="0091193D">
      <w:pPr>
        <w:tabs>
          <w:tab w:val="center" w:pos="4819"/>
          <w:tab w:val="right" w:pos="9638"/>
        </w:tabs>
      </w:pPr>
    </w:p>
    <w:p w14:paraId="01DB7B32" w14:textId="77777777" w:rsidR="0091193D" w:rsidRDefault="009A4EAB">
      <w:pPr>
        <w:jc w:val="center"/>
        <w:rPr>
          <w:b/>
          <w:bCs/>
          <w:szCs w:val="24"/>
        </w:rPr>
      </w:pPr>
      <w:r>
        <w:rPr>
          <w:b/>
          <w:bCs/>
          <w:noProof/>
          <w:szCs w:val="24"/>
          <w:lang w:eastAsia="lt-LT"/>
        </w:rPr>
        <w:drawing>
          <wp:inline distT="0" distB="0" distL="0" distR="0" wp14:anchorId="01DB7B69" wp14:editId="01DB7B6A">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1DB7B33" w14:textId="77777777" w:rsidR="0091193D" w:rsidRDefault="0091193D">
      <w:pPr>
        <w:rPr>
          <w:sz w:val="2"/>
          <w:szCs w:val="2"/>
        </w:rPr>
      </w:pPr>
    </w:p>
    <w:p w14:paraId="01DB7B34" w14:textId="77777777" w:rsidR="0091193D" w:rsidRDefault="0091193D">
      <w:pPr>
        <w:ind w:firstLine="29"/>
        <w:jc w:val="center"/>
        <w:rPr>
          <w:b/>
          <w:bCs/>
          <w:szCs w:val="24"/>
        </w:rPr>
      </w:pPr>
    </w:p>
    <w:p w14:paraId="01DB7B35" w14:textId="77777777" w:rsidR="0091193D" w:rsidRDefault="0091193D">
      <w:pPr>
        <w:rPr>
          <w:sz w:val="2"/>
          <w:szCs w:val="2"/>
        </w:rPr>
      </w:pPr>
    </w:p>
    <w:p w14:paraId="01DB7B36" w14:textId="77777777" w:rsidR="0091193D" w:rsidRDefault="009A4EAB">
      <w:pPr>
        <w:jc w:val="center"/>
        <w:rPr>
          <w:sz w:val="28"/>
          <w:szCs w:val="28"/>
        </w:rPr>
      </w:pPr>
      <w:r>
        <w:rPr>
          <w:b/>
          <w:bCs/>
          <w:sz w:val="28"/>
          <w:szCs w:val="28"/>
        </w:rPr>
        <w:t>LIETUVOS RESPUBLIKOS ŠVIETIMO IR MOKSLO MINISTRAS</w:t>
      </w:r>
    </w:p>
    <w:p w14:paraId="01DB7B37" w14:textId="77777777" w:rsidR="0091193D" w:rsidRDefault="0091193D">
      <w:pPr>
        <w:rPr>
          <w:sz w:val="2"/>
          <w:szCs w:val="2"/>
        </w:rPr>
      </w:pPr>
    </w:p>
    <w:p w14:paraId="01DB7B38" w14:textId="77777777" w:rsidR="0091193D" w:rsidRDefault="0091193D">
      <w:pPr>
        <w:overflowPunct w:val="0"/>
        <w:jc w:val="center"/>
        <w:textAlignment w:val="baseline"/>
      </w:pPr>
    </w:p>
    <w:p w14:paraId="01DB7B39" w14:textId="77777777" w:rsidR="0091193D" w:rsidRDefault="0091193D">
      <w:pPr>
        <w:rPr>
          <w:sz w:val="2"/>
          <w:szCs w:val="2"/>
        </w:rPr>
      </w:pPr>
    </w:p>
    <w:p w14:paraId="01DB7B3A" w14:textId="77777777" w:rsidR="0091193D" w:rsidRDefault="009A4EAB">
      <w:pPr>
        <w:keepNext/>
        <w:overflowPunct w:val="0"/>
        <w:ind w:right="-1"/>
        <w:jc w:val="center"/>
        <w:textAlignment w:val="baseline"/>
        <w:outlineLvl w:val="2"/>
        <w:rPr>
          <w:b/>
        </w:rPr>
      </w:pPr>
      <w:r>
        <w:rPr>
          <w:b/>
        </w:rPr>
        <w:t xml:space="preserve">ĮSAKYMAS </w:t>
      </w:r>
    </w:p>
    <w:p w14:paraId="01DB7B3B" w14:textId="77777777" w:rsidR="0091193D" w:rsidRDefault="009A4EAB">
      <w:pPr>
        <w:keepNext/>
        <w:overflowPunct w:val="0"/>
        <w:ind w:right="-1"/>
        <w:jc w:val="center"/>
        <w:textAlignment w:val="baseline"/>
        <w:outlineLvl w:val="2"/>
        <w:rPr>
          <w:b/>
          <w:bCs/>
        </w:rPr>
      </w:pPr>
      <w:r>
        <w:rPr>
          <w:b/>
        </w:rPr>
        <w:t>DĖL ŠVIETIMO IR MOKSLO MINISTRO 2018 M. BIRŽELIO 19 D. ĮSAKYMO NR. V-582 „</w:t>
      </w:r>
      <w:r>
        <w:rPr>
          <w:b/>
          <w:bCs/>
        </w:rPr>
        <w:t xml:space="preserve">DĖL </w:t>
      </w:r>
      <w:r>
        <w:rPr>
          <w:b/>
        </w:rPr>
        <w:t xml:space="preserve">MOKYKLŲ, KURIOMS 2018 METAIS GELTONIEJI AUTOBUSAI SKIRIAMI ĮGYVENDINANT IŠ EUROPOS SĄJUNGOS STRUKTŪRINIŲ FONDŲ LĖŠŲ BENDRAI FINANSUOJAMĄ PROJEKTĄ „TIKSLINIŲ TRANSPORTO PRIEMONIŲ (GELTONŲJŲ AUTOBUSŲ) ĮSIGIJIMAS“ NR. 09.1.3-CPVA-V704-01-0002, SĄRAŠŲ </w:t>
      </w:r>
      <w:r>
        <w:rPr>
          <w:b/>
          <w:bCs/>
        </w:rPr>
        <w:t>PATVIRTINIMO“ PAKEITIMO</w:t>
      </w:r>
    </w:p>
    <w:p w14:paraId="01DB7B3C" w14:textId="77777777" w:rsidR="0091193D" w:rsidRDefault="0091193D">
      <w:pPr>
        <w:rPr>
          <w:sz w:val="2"/>
          <w:szCs w:val="2"/>
        </w:rPr>
      </w:pPr>
    </w:p>
    <w:p w14:paraId="01DB7B3D" w14:textId="77777777" w:rsidR="0091193D" w:rsidRDefault="0091193D">
      <w:pPr>
        <w:overflowPunct w:val="0"/>
        <w:jc w:val="center"/>
        <w:textAlignment w:val="baseline"/>
        <w:rPr>
          <w:b/>
          <w:bCs/>
          <w:caps/>
        </w:rPr>
      </w:pPr>
    </w:p>
    <w:p w14:paraId="01DB7B3E" w14:textId="77777777" w:rsidR="0091193D" w:rsidRDefault="0091193D">
      <w:pPr>
        <w:rPr>
          <w:sz w:val="2"/>
          <w:szCs w:val="2"/>
        </w:rPr>
      </w:pPr>
    </w:p>
    <w:p w14:paraId="01DB7B40" w14:textId="77777777" w:rsidR="0091193D" w:rsidRDefault="0091193D">
      <w:pPr>
        <w:rPr>
          <w:sz w:val="2"/>
          <w:szCs w:val="2"/>
        </w:rPr>
      </w:pPr>
    </w:p>
    <w:p w14:paraId="01DB7B41" w14:textId="4D7FB9A4" w:rsidR="0091193D" w:rsidRDefault="009A4EAB">
      <w:pPr>
        <w:keepNext/>
        <w:overflowPunct w:val="0"/>
        <w:ind w:right="-1"/>
        <w:jc w:val="center"/>
        <w:textAlignment w:val="baseline"/>
        <w:outlineLvl w:val="2"/>
      </w:pPr>
      <w:bookmarkStart w:id="0" w:name="_GoBack"/>
      <w:r>
        <w:t>2018 m. gruodžio 27 d. Nr. V-1064</w:t>
      </w:r>
    </w:p>
    <w:bookmarkEnd w:id="0"/>
    <w:p w14:paraId="01DB7B42" w14:textId="77777777" w:rsidR="0091193D" w:rsidRDefault="0091193D">
      <w:pPr>
        <w:rPr>
          <w:sz w:val="2"/>
          <w:szCs w:val="2"/>
        </w:rPr>
      </w:pPr>
    </w:p>
    <w:p w14:paraId="01DB7B43" w14:textId="77777777" w:rsidR="0091193D" w:rsidRDefault="009A4EAB">
      <w:pPr>
        <w:keepNext/>
        <w:overflowPunct w:val="0"/>
        <w:ind w:right="-1"/>
        <w:jc w:val="center"/>
        <w:textAlignment w:val="baseline"/>
        <w:outlineLvl w:val="2"/>
      </w:pPr>
      <w:r>
        <w:t>Vilnius</w:t>
      </w:r>
    </w:p>
    <w:p w14:paraId="01DB7B44" w14:textId="77777777" w:rsidR="0091193D" w:rsidRDefault="0091193D">
      <w:pPr>
        <w:rPr>
          <w:sz w:val="2"/>
          <w:szCs w:val="2"/>
        </w:rPr>
      </w:pPr>
    </w:p>
    <w:p w14:paraId="01DB7B45" w14:textId="77777777" w:rsidR="0091193D" w:rsidRDefault="0091193D">
      <w:pPr>
        <w:rPr>
          <w:sz w:val="2"/>
          <w:szCs w:val="2"/>
        </w:rPr>
      </w:pPr>
    </w:p>
    <w:p w14:paraId="01DB7B46" w14:textId="77777777" w:rsidR="0091193D" w:rsidRDefault="0091193D">
      <w:pPr>
        <w:rPr>
          <w:sz w:val="2"/>
          <w:szCs w:val="2"/>
        </w:rPr>
      </w:pPr>
    </w:p>
    <w:p w14:paraId="01DB7B47" w14:textId="77777777" w:rsidR="0091193D" w:rsidRDefault="0091193D">
      <w:pPr>
        <w:overflowPunct w:val="0"/>
        <w:jc w:val="both"/>
        <w:textAlignment w:val="baseline"/>
      </w:pPr>
    </w:p>
    <w:p w14:paraId="38019A1A" w14:textId="77777777" w:rsidR="009A4EAB" w:rsidRDefault="009A4EAB">
      <w:pPr>
        <w:overflowPunct w:val="0"/>
        <w:jc w:val="both"/>
        <w:textAlignment w:val="baseline"/>
      </w:pPr>
    </w:p>
    <w:p w14:paraId="01DB7B48" w14:textId="77777777" w:rsidR="0091193D" w:rsidRDefault="0091193D">
      <w:pPr>
        <w:rPr>
          <w:sz w:val="2"/>
          <w:szCs w:val="2"/>
        </w:rPr>
      </w:pPr>
    </w:p>
    <w:p w14:paraId="01DB7B49" w14:textId="77777777" w:rsidR="0091193D" w:rsidRDefault="0091193D">
      <w:pPr>
        <w:rPr>
          <w:sz w:val="2"/>
          <w:szCs w:val="2"/>
        </w:rPr>
      </w:pPr>
    </w:p>
    <w:p w14:paraId="01DB7B4A" w14:textId="77777777" w:rsidR="0091193D" w:rsidRDefault="009A4EAB">
      <w:pPr>
        <w:overflowPunct w:val="0"/>
        <w:ind w:firstLine="567"/>
        <w:jc w:val="both"/>
        <w:textAlignment w:val="baseline"/>
      </w:pPr>
      <w:r>
        <w:t>Atsižvelgdamas į Geltonųjų autobusų skirstymo organizavimo komisijos 2018 m. gruodžio 21 d. posėdžio protokolą Nr. 5:</w:t>
      </w:r>
    </w:p>
    <w:p w14:paraId="01DB7B4B" w14:textId="77777777" w:rsidR="0091193D" w:rsidRDefault="0091193D">
      <w:pPr>
        <w:rPr>
          <w:sz w:val="2"/>
          <w:szCs w:val="2"/>
        </w:rPr>
      </w:pPr>
    </w:p>
    <w:p w14:paraId="01DB7B4C" w14:textId="77777777" w:rsidR="0091193D" w:rsidRDefault="009A4EAB">
      <w:pPr>
        <w:overflowPunct w:val="0"/>
        <w:ind w:firstLine="567"/>
        <w:jc w:val="both"/>
        <w:textAlignment w:val="baseline"/>
        <w:rPr>
          <w:bCs/>
        </w:rPr>
      </w:pPr>
      <w:r>
        <w:t>P a k e i č i u  Lietuvos Respublikos švietimo ir mokslo ministro 2018 m. birželio 19 d. įsakymą Nr. V-582 „D</w:t>
      </w:r>
      <w:r>
        <w:rPr>
          <w:bCs/>
        </w:rPr>
        <w:t xml:space="preserve">ėl </w:t>
      </w:r>
      <w:r>
        <w:t xml:space="preserve">mokyklų, kurioms 2018 metais geltonieji autobusai skiriami įgyvendinant iš Europos Sąjungos struktūrinių fondų lėšų bendrai finansuojamą projektą „Tikslinių transporto priemonių (geltonųjų autobusų) įsigijimas“ Nr. 09.1.3-CPVA-V704-01-0002, sąrašų </w:t>
      </w:r>
      <w:r>
        <w:rPr>
          <w:bCs/>
        </w:rPr>
        <w:t>patvirtinimo“:</w:t>
      </w:r>
    </w:p>
    <w:p w14:paraId="01DB7B4D" w14:textId="77777777" w:rsidR="0091193D" w:rsidRDefault="0091193D">
      <w:pPr>
        <w:rPr>
          <w:sz w:val="2"/>
          <w:szCs w:val="2"/>
        </w:rPr>
      </w:pPr>
    </w:p>
    <w:p w14:paraId="01DB7B4E" w14:textId="77777777" w:rsidR="0091193D" w:rsidRDefault="009A4EAB">
      <w:pPr>
        <w:overflowPunct w:val="0"/>
        <w:ind w:firstLine="567"/>
        <w:jc w:val="both"/>
        <w:textAlignment w:val="baseline"/>
        <w:rPr>
          <w:szCs w:val="24"/>
        </w:rPr>
      </w:pPr>
      <w:r>
        <w:rPr>
          <w:szCs w:val="24"/>
        </w:rPr>
        <w:t>1.</w:t>
      </w:r>
      <w:r>
        <w:rPr>
          <w:szCs w:val="24"/>
        </w:rPr>
        <w:tab/>
      </w:r>
      <w:r>
        <w:rPr>
          <w:bCs/>
        </w:rPr>
        <w:t xml:space="preserve">Pakeičiu antraštę ir ją išdėstau taip: </w:t>
      </w:r>
    </w:p>
    <w:p w14:paraId="01DB7B4F" w14:textId="77777777" w:rsidR="0091193D" w:rsidRDefault="009A4EAB">
      <w:pPr>
        <w:overflowPunct w:val="0"/>
        <w:ind w:firstLine="567"/>
        <w:jc w:val="both"/>
        <w:textAlignment w:val="baseline"/>
        <w:rPr>
          <w:b/>
          <w:bCs/>
        </w:rPr>
      </w:pPr>
      <w:r>
        <w:rPr>
          <w:b/>
          <w:bCs/>
        </w:rPr>
        <w:t>„</w:t>
      </w:r>
      <w:r>
        <w:rPr>
          <w:b/>
        </w:rPr>
        <w:t>D</w:t>
      </w:r>
      <w:r>
        <w:rPr>
          <w:b/>
          <w:bCs/>
        </w:rPr>
        <w:t xml:space="preserve">ĖL </w:t>
      </w:r>
      <w:r>
        <w:rPr>
          <w:b/>
        </w:rPr>
        <w:t xml:space="preserve">MOKYKLŲ, KURIOMS 2018 METAIS GELTONIEJI AUTOBUSAI SKIRIAMI ĮGYVENDINANT IŠ EUROPOS SĄJUNGOS STRUKTŪRINIŲ FONDŲ LĖŠŲ BENDRAI FINANSUOJAMĄ PROJEKTĄ „TIKSLINIŲ TRANSPORTO PRIEMONIŲ (GELTONŲJŲ AUTOBUSŲ) ĮSIGIJIMAS“ NR. 09.1.3-CPVA-V-704-01-0002, SĄRAŠŲ </w:t>
      </w:r>
      <w:r>
        <w:rPr>
          <w:b/>
          <w:bCs/>
        </w:rPr>
        <w:t>PATVIRTINIMO“.</w:t>
      </w:r>
    </w:p>
    <w:p w14:paraId="01DB7B50" w14:textId="77777777" w:rsidR="0091193D" w:rsidRDefault="009A4EAB">
      <w:pPr>
        <w:tabs>
          <w:tab w:val="left" w:pos="851"/>
        </w:tabs>
        <w:overflowPunct w:val="0"/>
        <w:ind w:firstLine="567"/>
        <w:jc w:val="both"/>
        <w:textAlignment w:val="baseline"/>
        <w:rPr>
          <w:szCs w:val="24"/>
        </w:rPr>
      </w:pPr>
      <w:r>
        <w:rPr>
          <w:szCs w:val="24"/>
        </w:rPr>
        <w:t>2.</w:t>
      </w:r>
      <w:r>
        <w:rPr>
          <w:szCs w:val="24"/>
        </w:rPr>
        <w:tab/>
      </w:r>
      <w:r>
        <w:rPr>
          <w:bCs/>
        </w:rPr>
        <w:t>Pakeičiu</w:t>
      </w:r>
      <w:r>
        <w:rPr>
          <w:b/>
          <w:bCs/>
        </w:rPr>
        <w:t xml:space="preserve"> </w:t>
      </w:r>
      <w:r>
        <w:rPr>
          <w:bCs/>
        </w:rPr>
        <w:t>nurodytu įsakymu patvirtintą</w:t>
      </w:r>
      <w:r>
        <w:rPr>
          <w:b/>
          <w:bCs/>
        </w:rPr>
        <w:t xml:space="preserve"> </w:t>
      </w:r>
      <w:r>
        <w:rPr>
          <w:szCs w:val="24"/>
        </w:rPr>
        <w:t>Mokyklų, kurioms 2018 metais geltonieji autobusai skiriami vežioti kitais būdais vežiojamus kaimuose ir miesteliuose toliau kaip trys kilometrai nuo mokyklos gyvenančius pagal priešmokyklinio ir bendrojo ugdymo programas besimokančius mokinius, siekiant pagerinti jų vežiojimo sąlygas ir saugumą, sąrašą ir papildau 75–81 punktais:</w:t>
      </w:r>
    </w:p>
    <w:p w14:paraId="01DB7B51" w14:textId="77777777" w:rsidR="0091193D" w:rsidRDefault="009A4EAB">
      <w:pPr>
        <w:overflowPunct w:val="0"/>
        <w:ind w:firstLine="567"/>
        <w:jc w:val="both"/>
        <w:textAlignment w:val="baseline"/>
        <w:rPr>
          <w:szCs w:val="24"/>
        </w:rPr>
      </w:pPr>
      <w:r>
        <w:rPr>
          <w:szCs w:val="24"/>
        </w:rPr>
        <w:t>„75. Kauno r. Garliavos Jonučių progimnazija</w:t>
      </w:r>
    </w:p>
    <w:p w14:paraId="01DB7B52" w14:textId="77777777" w:rsidR="0091193D" w:rsidRDefault="0091193D">
      <w:pPr>
        <w:rPr>
          <w:sz w:val="2"/>
          <w:szCs w:val="2"/>
        </w:rPr>
      </w:pPr>
    </w:p>
    <w:p w14:paraId="01DB7B53" w14:textId="77777777" w:rsidR="0091193D" w:rsidRDefault="009A4EAB">
      <w:pPr>
        <w:overflowPunct w:val="0"/>
        <w:ind w:firstLine="567"/>
        <w:jc w:val="both"/>
        <w:textAlignment w:val="baseline"/>
        <w:rPr>
          <w:szCs w:val="24"/>
        </w:rPr>
      </w:pPr>
      <w:r>
        <w:rPr>
          <w:szCs w:val="24"/>
        </w:rPr>
        <w:t xml:space="preserve">76. Klaipėdos r. </w:t>
      </w:r>
      <w:proofErr w:type="spellStart"/>
      <w:r>
        <w:rPr>
          <w:szCs w:val="24"/>
        </w:rPr>
        <w:t>Veiviržėnų</w:t>
      </w:r>
      <w:proofErr w:type="spellEnd"/>
      <w:r>
        <w:rPr>
          <w:szCs w:val="24"/>
        </w:rPr>
        <w:t xml:space="preserve"> Jurgio Šaulio gimnazija </w:t>
      </w:r>
    </w:p>
    <w:p w14:paraId="01DB7B54" w14:textId="77777777" w:rsidR="0091193D" w:rsidRDefault="0091193D">
      <w:pPr>
        <w:rPr>
          <w:sz w:val="2"/>
          <w:szCs w:val="2"/>
        </w:rPr>
      </w:pPr>
    </w:p>
    <w:p w14:paraId="01DB7B55" w14:textId="77777777" w:rsidR="0091193D" w:rsidRDefault="009A4EAB">
      <w:pPr>
        <w:overflowPunct w:val="0"/>
        <w:ind w:firstLine="567"/>
        <w:jc w:val="both"/>
        <w:textAlignment w:val="baseline"/>
        <w:rPr>
          <w:szCs w:val="24"/>
        </w:rPr>
      </w:pPr>
      <w:r>
        <w:rPr>
          <w:szCs w:val="24"/>
        </w:rPr>
        <w:t>77. Mažeikių rajono Viekšnių gimnazija</w:t>
      </w:r>
    </w:p>
    <w:p w14:paraId="01DB7B56" w14:textId="77777777" w:rsidR="0091193D" w:rsidRDefault="0091193D">
      <w:pPr>
        <w:rPr>
          <w:sz w:val="2"/>
          <w:szCs w:val="2"/>
        </w:rPr>
      </w:pPr>
    </w:p>
    <w:p w14:paraId="01DB7B57" w14:textId="77777777" w:rsidR="0091193D" w:rsidRDefault="009A4EAB">
      <w:pPr>
        <w:overflowPunct w:val="0"/>
        <w:ind w:firstLine="567"/>
        <w:jc w:val="both"/>
        <w:textAlignment w:val="baseline"/>
        <w:rPr>
          <w:szCs w:val="24"/>
        </w:rPr>
      </w:pPr>
      <w:r>
        <w:rPr>
          <w:szCs w:val="24"/>
        </w:rPr>
        <w:t xml:space="preserve">78. Pasvalio </w:t>
      </w:r>
      <w:proofErr w:type="spellStart"/>
      <w:r>
        <w:rPr>
          <w:szCs w:val="24"/>
        </w:rPr>
        <w:t>Lėvens</w:t>
      </w:r>
      <w:proofErr w:type="spellEnd"/>
      <w:r>
        <w:rPr>
          <w:szCs w:val="24"/>
        </w:rPr>
        <w:t xml:space="preserve"> pagrindinė mokykla</w:t>
      </w:r>
    </w:p>
    <w:p w14:paraId="01DB7B58" w14:textId="77777777" w:rsidR="0091193D" w:rsidRDefault="0091193D">
      <w:pPr>
        <w:rPr>
          <w:sz w:val="2"/>
          <w:szCs w:val="2"/>
        </w:rPr>
      </w:pPr>
    </w:p>
    <w:p w14:paraId="01DB7B59" w14:textId="77777777" w:rsidR="0091193D" w:rsidRDefault="009A4EAB">
      <w:pPr>
        <w:overflowPunct w:val="0"/>
        <w:ind w:firstLine="567"/>
        <w:jc w:val="both"/>
        <w:textAlignment w:val="baseline"/>
        <w:rPr>
          <w:szCs w:val="24"/>
        </w:rPr>
      </w:pPr>
      <w:r>
        <w:rPr>
          <w:szCs w:val="24"/>
        </w:rPr>
        <w:t>79. Šilalės Dariaus ir Girėno progimnazija</w:t>
      </w:r>
    </w:p>
    <w:p w14:paraId="01DB7B5A" w14:textId="77777777" w:rsidR="0091193D" w:rsidRDefault="0091193D">
      <w:pPr>
        <w:rPr>
          <w:sz w:val="2"/>
          <w:szCs w:val="2"/>
        </w:rPr>
      </w:pPr>
    </w:p>
    <w:p w14:paraId="01DB7B5B" w14:textId="77777777" w:rsidR="0091193D" w:rsidRDefault="009A4EAB">
      <w:pPr>
        <w:overflowPunct w:val="0"/>
        <w:ind w:firstLine="567"/>
        <w:jc w:val="both"/>
        <w:textAlignment w:val="baseline"/>
        <w:rPr>
          <w:szCs w:val="24"/>
        </w:rPr>
      </w:pPr>
      <w:r>
        <w:rPr>
          <w:szCs w:val="24"/>
        </w:rPr>
        <w:t>80. Varėnos „Ryto“ progimnazija</w:t>
      </w:r>
    </w:p>
    <w:p w14:paraId="01DB7B5C" w14:textId="77777777" w:rsidR="0091193D" w:rsidRDefault="0091193D">
      <w:pPr>
        <w:rPr>
          <w:sz w:val="2"/>
          <w:szCs w:val="2"/>
        </w:rPr>
      </w:pPr>
    </w:p>
    <w:p w14:paraId="01DB7B63" w14:textId="4B367DD1" w:rsidR="0091193D" w:rsidRDefault="009A4EAB" w:rsidP="009A4EAB">
      <w:pPr>
        <w:overflowPunct w:val="0"/>
        <w:ind w:firstLine="567"/>
        <w:jc w:val="both"/>
        <w:textAlignment w:val="baseline"/>
        <w:rPr>
          <w:sz w:val="2"/>
          <w:szCs w:val="2"/>
        </w:rPr>
      </w:pPr>
      <w:r>
        <w:rPr>
          <w:szCs w:val="24"/>
        </w:rPr>
        <w:t>81. Vilkaviškio r. Gražiškių gimnazija“.</w:t>
      </w:r>
    </w:p>
    <w:p w14:paraId="4350C1BD" w14:textId="77777777" w:rsidR="009A4EAB" w:rsidRDefault="009A4EAB">
      <w:pPr>
        <w:jc w:val="both"/>
      </w:pPr>
    </w:p>
    <w:p w14:paraId="0DFFFF7C" w14:textId="77777777" w:rsidR="009A4EAB" w:rsidRDefault="009A4EAB">
      <w:pPr>
        <w:jc w:val="both"/>
      </w:pPr>
    </w:p>
    <w:p w14:paraId="30F8F590" w14:textId="77777777" w:rsidR="009A4EAB" w:rsidRDefault="009A4EAB">
      <w:pPr>
        <w:jc w:val="both"/>
      </w:pPr>
    </w:p>
    <w:p w14:paraId="01DB7B64" w14:textId="646E8063" w:rsidR="0091193D" w:rsidRDefault="009A4EAB" w:rsidP="009A4EAB">
      <w:pPr>
        <w:tabs>
          <w:tab w:val="left" w:pos="7938"/>
        </w:tabs>
        <w:jc w:val="both"/>
      </w:pPr>
      <w:r>
        <w:t>Susisiekimo ministras,</w:t>
      </w:r>
      <w:r>
        <w:tab/>
        <w:t>Rokas Masiulis</w:t>
      </w:r>
    </w:p>
    <w:p w14:paraId="01DB7B65" w14:textId="77777777" w:rsidR="0091193D" w:rsidRDefault="0091193D">
      <w:pPr>
        <w:rPr>
          <w:sz w:val="2"/>
          <w:szCs w:val="2"/>
        </w:rPr>
      </w:pPr>
    </w:p>
    <w:p w14:paraId="01DB7B66" w14:textId="77777777" w:rsidR="0091193D" w:rsidRDefault="009A4EAB">
      <w:pPr>
        <w:jc w:val="both"/>
      </w:pPr>
      <w:r>
        <w:t>laikinai einantis švietimo ir mokslo</w:t>
      </w:r>
    </w:p>
    <w:p w14:paraId="01DB7B67" w14:textId="77777777" w:rsidR="0091193D" w:rsidRDefault="0091193D">
      <w:pPr>
        <w:rPr>
          <w:sz w:val="2"/>
          <w:szCs w:val="2"/>
        </w:rPr>
      </w:pPr>
    </w:p>
    <w:p w14:paraId="01DB7B68" w14:textId="089F5D7A" w:rsidR="0091193D" w:rsidRPr="009A4EAB" w:rsidRDefault="009A4EAB">
      <w:pPr>
        <w:jc w:val="both"/>
        <w:rPr>
          <w:szCs w:val="24"/>
        </w:rPr>
      </w:pPr>
      <w:r w:rsidRPr="009A4EAB">
        <w:rPr>
          <w:szCs w:val="24"/>
        </w:rPr>
        <w:t>ministro pareigas</w:t>
      </w:r>
    </w:p>
    <w:sectPr w:rsidR="0091193D" w:rsidRPr="009A4EA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D60CF" w14:textId="77777777" w:rsidR="00F87682" w:rsidRDefault="00F8768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C793B16" w14:textId="77777777" w:rsidR="00F87682" w:rsidRDefault="00F8768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altName w:val="Segoe UI"/>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72" w14:textId="77777777" w:rsidR="0091193D" w:rsidRDefault="0091193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73" w14:textId="77777777" w:rsidR="0091193D" w:rsidRDefault="0091193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75" w14:textId="77777777" w:rsidR="0091193D" w:rsidRDefault="0091193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DA8BC" w14:textId="77777777" w:rsidR="00F87682" w:rsidRDefault="00F8768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643F6AE" w14:textId="77777777" w:rsidR="00F87682" w:rsidRDefault="00F8768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6F" w14:textId="77777777" w:rsidR="0091193D" w:rsidRDefault="0091193D">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70" w14:textId="77777777" w:rsidR="0091193D" w:rsidRDefault="009A4EAB">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01DB7B71" w14:textId="77777777" w:rsidR="0091193D" w:rsidRDefault="0091193D">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7B74" w14:textId="77777777" w:rsidR="0091193D" w:rsidRDefault="0091193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ED"/>
    <w:rsid w:val="004C49BA"/>
    <w:rsid w:val="0091193D"/>
    <w:rsid w:val="009A4EAB"/>
    <w:rsid w:val="00D662ED"/>
    <w:rsid w:val="00F87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B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C49BA"/>
    <w:rPr>
      <w:rFonts w:ascii="Tahoma" w:hAnsi="Tahoma" w:cs="Tahoma"/>
      <w:sz w:val="16"/>
      <w:szCs w:val="16"/>
    </w:rPr>
  </w:style>
  <w:style w:type="character" w:customStyle="1" w:styleId="DebesliotekstasDiagrama">
    <w:name w:val="Debesėlio tekstas Diagrama"/>
    <w:basedOn w:val="Numatytasispastraiposriftas"/>
    <w:link w:val="Debesliotekstas"/>
    <w:rsid w:val="004C4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C49BA"/>
    <w:rPr>
      <w:rFonts w:ascii="Tahoma" w:hAnsi="Tahoma" w:cs="Tahoma"/>
      <w:sz w:val="16"/>
      <w:szCs w:val="16"/>
    </w:rPr>
  </w:style>
  <w:style w:type="character" w:customStyle="1" w:styleId="DebesliotekstasDiagrama">
    <w:name w:val="Debesėlio tekstas Diagrama"/>
    <w:basedOn w:val="Numatytasispastraiposriftas"/>
    <w:link w:val="Debesliotekstas"/>
    <w:rsid w:val="004C4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8541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059D753-1DD3-4BE6-AFED-BDAF74D298AF}"/>
</file>

<file path=customXml/itemProps2.xml><?xml version="1.0" encoding="utf-8"?>
<ds:datastoreItem xmlns:ds="http://schemas.openxmlformats.org/officeDocument/2006/customXml" ds:itemID="{F5F3029B-3BC1-493E-8E1B-73804DB512F4}">
  <ds:schemaRefs>
    <ds:schemaRef ds:uri="http://schemas.microsoft.com/office/2006/metadata/properties"/>
  </ds:schemaRefs>
</ds:datastoreItem>
</file>

<file path=customXml/itemProps3.xml><?xml version="1.0" encoding="utf-8"?>
<ds:datastoreItem xmlns:ds="http://schemas.openxmlformats.org/officeDocument/2006/customXml" ds:itemID="{DED3FAEE-1937-400D-8F51-2AB08663CFE3}">
  <ds:schemaRefs>
    <ds:schemaRef ds:uri="http://schemas.microsoft.com/sharepoint/v3/contenttype/forms"/>
  </ds:schemaRefs>
</ds:datastoreItem>
</file>

<file path=customXml/itemProps4.xml><?xml version="1.0" encoding="utf-8"?>
<ds:datastoreItem xmlns:ds="http://schemas.openxmlformats.org/officeDocument/2006/customXml" ds:itemID="{47394896-8F28-4CD9-B428-85B4DFF7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1305</Words>
  <Characters>744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87fb5467-498e-4f04-a029-9e046d1a2f1d</vt:lpstr>
      <vt:lpstr/>
    </vt:vector>
  </TitlesOfParts>
  <Company>VKS</Company>
  <LinksUpToDate>false</LinksUpToDate>
  <CharactersWithSpaces>2045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aab4f1e0-d660-4c3e-872d-991548f074ad</dc:title>
  <dc:creator>Vaitiekėnas Arvydas</dc:creator>
  <cp:lastModifiedBy>Vartotojas</cp:lastModifiedBy>
  <cp:revision>2</cp:revision>
  <cp:lastPrinted>2017-04-12T11:19:00Z</cp:lastPrinted>
  <dcterms:created xsi:type="dcterms:W3CDTF">2018-12-28T07:01:00Z</dcterms:created>
  <dcterms:modified xsi:type="dcterms:W3CDTF">2018-12-28T07:01:00Z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