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56164" w14:textId="77777777" w:rsidR="0050345C" w:rsidRPr="007E01BA" w:rsidRDefault="0050345C" w:rsidP="00405EE6">
      <w:pPr>
        <w:pStyle w:val="Antrat5"/>
        <w:spacing w:before="0" w:line="240" w:lineRule="auto"/>
        <w:ind w:firstLine="4820"/>
        <w:rPr>
          <w:rFonts w:ascii="Times New Roman" w:eastAsia="Times New Roman" w:hAnsi="Times New Roman" w:cs="Times New Roman"/>
          <w:b/>
          <w:color w:val="auto"/>
          <w:sz w:val="24"/>
          <w:szCs w:val="24"/>
        </w:rPr>
      </w:pPr>
      <w:r w:rsidRPr="007E01BA">
        <w:rPr>
          <w:rFonts w:ascii="Times New Roman" w:eastAsia="Times New Roman" w:hAnsi="Times New Roman" w:cs="Times New Roman"/>
          <w:sz w:val="24"/>
          <w:szCs w:val="24"/>
        </w:rPr>
        <w:tab/>
      </w:r>
      <w:r w:rsidRPr="007E01BA">
        <w:rPr>
          <w:rFonts w:ascii="Times New Roman" w:eastAsia="Times New Roman" w:hAnsi="Times New Roman" w:cs="Times New Roman"/>
          <w:b/>
          <w:color w:val="auto"/>
          <w:sz w:val="24"/>
          <w:szCs w:val="24"/>
        </w:rPr>
        <w:t xml:space="preserve">                                    Projekto</w:t>
      </w:r>
    </w:p>
    <w:p w14:paraId="4DC56165" w14:textId="77777777" w:rsidR="0050345C" w:rsidRPr="007E01BA" w:rsidRDefault="0050345C" w:rsidP="00405EE6">
      <w:pPr>
        <w:keepNext/>
        <w:tabs>
          <w:tab w:val="left" w:pos="5245"/>
          <w:tab w:val="left" w:pos="7513"/>
        </w:tabs>
        <w:spacing w:after="0" w:line="240" w:lineRule="auto"/>
        <w:ind w:firstLine="7371"/>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lyginamasis variantas</w:t>
      </w:r>
    </w:p>
    <w:p w14:paraId="4DC56166"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bookmarkStart w:id="0" w:name="_GoBack"/>
      <w:bookmarkEnd w:id="0"/>
    </w:p>
    <w:p w14:paraId="4DC56167"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LIETUVOS RESPUBLIKOS</w:t>
      </w:r>
    </w:p>
    <w:p w14:paraId="4DC56168" w14:textId="77777777" w:rsidR="00E327CA"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 xml:space="preserve">Valstybės ir savivaldybių įstaigų darbuotojų </w:t>
      </w:r>
      <w:r w:rsidR="005D63B4" w:rsidRPr="007E01BA">
        <w:rPr>
          <w:rFonts w:ascii="Times New Roman" w:eastAsia="Times New Roman" w:hAnsi="Times New Roman" w:cs="Times New Roman"/>
          <w:b/>
          <w:caps/>
          <w:sz w:val="24"/>
          <w:szCs w:val="24"/>
        </w:rPr>
        <w:t xml:space="preserve">darbo apmokėjimo </w:t>
      </w:r>
      <w:r w:rsidRPr="007E01BA">
        <w:rPr>
          <w:rFonts w:ascii="Times New Roman" w:eastAsia="Times New Roman" w:hAnsi="Times New Roman" w:cs="Times New Roman"/>
          <w:b/>
          <w:caps/>
          <w:sz w:val="24"/>
          <w:szCs w:val="24"/>
        </w:rPr>
        <w:t xml:space="preserve">ir komisijų narių </w:t>
      </w:r>
      <w:r w:rsidR="005D63B4" w:rsidRPr="007E01BA">
        <w:rPr>
          <w:rFonts w:ascii="Times New Roman" w:eastAsia="Times New Roman" w:hAnsi="Times New Roman" w:cs="Times New Roman"/>
          <w:b/>
          <w:caps/>
          <w:sz w:val="24"/>
          <w:szCs w:val="24"/>
        </w:rPr>
        <w:t>atlygio už</w:t>
      </w:r>
      <w:r w:rsidRPr="007E01BA">
        <w:rPr>
          <w:rFonts w:ascii="Times New Roman" w:eastAsia="Times New Roman" w:hAnsi="Times New Roman" w:cs="Times New Roman"/>
          <w:b/>
          <w:caps/>
          <w:sz w:val="24"/>
          <w:szCs w:val="24"/>
        </w:rPr>
        <w:t xml:space="preserve"> </w:t>
      </w:r>
      <w:r w:rsidR="005D63B4" w:rsidRPr="007E01BA">
        <w:rPr>
          <w:rFonts w:ascii="Times New Roman" w:eastAsia="Times New Roman" w:hAnsi="Times New Roman" w:cs="Times New Roman"/>
          <w:b/>
          <w:caps/>
          <w:sz w:val="24"/>
          <w:szCs w:val="24"/>
        </w:rPr>
        <w:t xml:space="preserve">darbą </w:t>
      </w:r>
      <w:r w:rsidRPr="007E01BA">
        <w:rPr>
          <w:rFonts w:ascii="Times New Roman" w:eastAsia="Times New Roman" w:hAnsi="Times New Roman" w:cs="Times New Roman"/>
          <w:b/>
          <w:caps/>
          <w:sz w:val="24"/>
          <w:szCs w:val="24"/>
        </w:rPr>
        <w:t xml:space="preserve">įstatymo nr. xiii-198 </w:t>
      </w:r>
      <w:r w:rsidR="00253190" w:rsidRPr="007E01BA">
        <w:rPr>
          <w:rFonts w:ascii="Times New Roman" w:eastAsia="Times New Roman" w:hAnsi="Times New Roman" w:cs="Times New Roman"/>
          <w:b/>
          <w:caps/>
          <w:sz w:val="24"/>
          <w:szCs w:val="24"/>
        </w:rPr>
        <w:t xml:space="preserve">5, </w:t>
      </w:r>
      <w:r w:rsidR="00601031" w:rsidRPr="007E01BA">
        <w:rPr>
          <w:rFonts w:ascii="Times New Roman" w:eastAsia="Times New Roman" w:hAnsi="Times New Roman" w:cs="Times New Roman"/>
          <w:b/>
          <w:caps/>
          <w:sz w:val="24"/>
          <w:szCs w:val="24"/>
        </w:rPr>
        <w:t>9</w:t>
      </w:r>
      <w:r w:rsidR="00252C08" w:rsidRPr="007E01BA">
        <w:rPr>
          <w:rFonts w:ascii="Times New Roman" w:eastAsia="Times New Roman" w:hAnsi="Times New Roman" w:cs="Times New Roman"/>
          <w:b/>
          <w:caps/>
          <w:sz w:val="24"/>
          <w:szCs w:val="24"/>
        </w:rPr>
        <w:t>,</w:t>
      </w:r>
      <w:r w:rsidR="00601031" w:rsidRPr="007E01BA">
        <w:rPr>
          <w:rFonts w:ascii="Times New Roman" w:eastAsia="Times New Roman" w:hAnsi="Times New Roman" w:cs="Times New Roman"/>
          <w:b/>
          <w:caps/>
          <w:sz w:val="24"/>
          <w:szCs w:val="24"/>
        </w:rPr>
        <w:t xml:space="preserve"> </w:t>
      </w:r>
      <w:r w:rsidR="00A939F9" w:rsidRPr="007E01BA">
        <w:rPr>
          <w:rFonts w:ascii="Times New Roman" w:eastAsia="Times New Roman" w:hAnsi="Times New Roman" w:cs="Times New Roman"/>
          <w:b/>
          <w:caps/>
          <w:sz w:val="24"/>
          <w:szCs w:val="24"/>
        </w:rPr>
        <w:t>10, 11, 12,</w:t>
      </w:r>
      <w:r w:rsidR="00253190" w:rsidRPr="007E01BA">
        <w:rPr>
          <w:rFonts w:ascii="Times New Roman" w:eastAsia="Times New Roman" w:hAnsi="Times New Roman" w:cs="Times New Roman"/>
          <w:b/>
          <w:caps/>
          <w:sz w:val="24"/>
          <w:szCs w:val="24"/>
        </w:rPr>
        <w:t xml:space="preserve"> </w:t>
      </w:r>
      <w:r w:rsidR="00A939F9" w:rsidRPr="007E01BA">
        <w:rPr>
          <w:rFonts w:ascii="Times New Roman" w:eastAsia="Times New Roman" w:hAnsi="Times New Roman" w:cs="Times New Roman"/>
          <w:b/>
          <w:caps/>
          <w:sz w:val="24"/>
          <w:szCs w:val="24"/>
        </w:rPr>
        <w:t>16</w:t>
      </w:r>
      <w:r w:rsidR="00B81AEE" w:rsidRPr="007E01BA">
        <w:rPr>
          <w:rFonts w:ascii="Times New Roman" w:eastAsia="Times New Roman" w:hAnsi="Times New Roman" w:cs="Times New Roman"/>
          <w:b/>
          <w:caps/>
          <w:sz w:val="24"/>
          <w:szCs w:val="24"/>
        </w:rPr>
        <w:t xml:space="preserve"> STRAIPSNIŲ IR 1, 2, 3, </w:t>
      </w:r>
      <w:r w:rsidRPr="007E01BA">
        <w:rPr>
          <w:rFonts w:ascii="Times New Roman" w:eastAsia="Times New Roman" w:hAnsi="Times New Roman" w:cs="Times New Roman"/>
          <w:b/>
          <w:caps/>
          <w:sz w:val="24"/>
          <w:szCs w:val="24"/>
        </w:rPr>
        <w:t xml:space="preserve">4 </w:t>
      </w:r>
      <w:r w:rsidR="00B81AEE" w:rsidRPr="007E01BA">
        <w:rPr>
          <w:rFonts w:ascii="Times New Roman" w:eastAsia="Times New Roman" w:hAnsi="Times New Roman" w:cs="Times New Roman"/>
          <w:b/>
          <w:caps/>
          <w:sz w:val="24"/>
          <w:szCs w:val="24"/>
        </w:rPr>
        <w:t xml:space="preserve">IR 5 </w:t>
      </w:r>
      <w:r w:rsidRPr="007E01BA">
        <w:rPr>
          <w:rFonts w:ascii="Times New Roman" w:eastAsia="Times New Roman" w:hAnsi="Times New Roman" w:cs="Times New Roman"/>
          <w:b/>
          <w:caps/>
          <w:sz w:val="24"/>
          <w:szCs w:val="24"/>
        </w:rPr>
        <w:t>priedų PAKEITIMO</w:t>
      </w:r>
    </w:p>
    <w:p w14:paraId="4DC56169" w14:textId="77777777" w:rsidR="0050345C" w:rsidRPr="007E01BA" w:rsidRDefault="0050345C" w:rsidP="00405EE6">
      <w:pPr>
        <w:keepNext/>
        <w:spacing w:after="0" w:line="240" w:lineRule="auto"/>
        <w:jc w:val="center"/>
        <w:rPr>
          <w:rFonts w:ascii="Times New Roman" w:eastAsia="Times New Roman" w:hAnsi="Times New Roman" w:cs="Times New Roman"/>
          <w:b/>
          <w:caps/>
          <w:sz w:val="24"/>
          <w:szCs w:val="24"/>
        </w:rPr>
      </w:pPr>
      <w:r w:rsidRPr="007E01BA">
        <w:rPr>
          <w:rFonts w:ascii="Times New Roman" w:eastAsia="Times New Roman" w:hAnsi="Times New Roman" w:cs="Times New Roman"/>
          <w:b/>
          <w:caps/>
          <w:sz w:val="24"/>
          <w:szCs w:val="24"/>
        </w:rPr>
        <w:t xml:space="preserve"> ĮSTATYMAS</w:t>
      </w:r>
    </w:p>
    <w:p w14:paraId="4DC5616A"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p>
    <w:p w14:paraId="4DC5616B" w14:textId="77777777" w:rsidR="0050345C" w:rsidRPr="007E01BA" w:rsidRDefault="00120ED6" w:rsidP="00405EE6">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2020 m.                  d. </w:t>
      </w:r>
      <w:r w:rsidR="0050345C" w:rsidRPr="007E01BA">
        <w:rPr>
          <w:rFonts w:ascii="Times New Roman" w:eastAsia="Times New Roman" w:hAnsi="Times New Roman" w:cs="Times New Roman"/>
          <w:sz w:val="24"/>
          <w:szCs w:val="24"/>
        </w:rPr>
        <w:t>Nr.</w:t>
      </w:r>
    </w:p>
    <w:p w14:paraId="4DC5616C"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Vilnius</w:t>
      </w:r>
    </w:p>
    <w:p w14:paraId="4DC5616D" w14:textId="77777777" w:rsidR="0050345C" w:rsidRPr="007E01BA" w:rsidRDefault="0050345C" w:rsidP="00405EE6">
      <w:pPr>
        <w:spacing w:after="0" w:line="240" w:lineRule="auto"/>
        <w:jc w:val="center"/>
        <w:rPr>
          <w:rFonts w:ascii="Times New Roman" w:eastAsia="Times New Roman" w:hAnsi="Times New Roman" w:cs="Times New Roman"/>
          <w:sz w:val="24"/>
          <w:szCs w:val="24"/>
        </w:rPr>
      </w:pPr>
    </w:p>
    <w:p w14:paraId="4DC5616E" w14:textId="77777777" w:rsidR="004A23A8" w:rsidRPr="007E01BA" w:rsidRDefault="004A23A8" w:rsidP="004A23A8">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 xml:space="preserve">1 straipsnis. 5 straipsnio pakeitimas </w:t>
      </w:r>
    </w:p>
    <w:p w14:paraId="4DC5616F" w14:textId="77777777" w:rsidR="004A23A8" w:rsidRPr="007E01BA" w:rsidRDefault="004A23A8" w:rsidP="004A23A8">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sz w:val="24"/>
          <w:szCs w:val="24"/>
        </w:rPr>
        <w:t>1. Pakeisti 5 straipsnį ir j</w:t>
      </w:r>
      <w:r w:rsidR="00446FD8" w:rsidRPr="007E01BA">
        <w:rPr>
          <w:rFonts w:ascii="Times New Roman" w:eastAsia="Times New Roman" w:hAnsi="Times New Roman" w:cs="Times New Roman"/>
          <w:sz w:val="24"/>
          <w:szCs w:val="24"/>
        </w:rPr>
        <w:t>į</w:t>
      </w:r>
      <w:r w:rsidRPr="007E01BA">
        <w:rPr>
          <w:rFonts w:ascii="Times New Roman" w:eastAsia="Times New Roman" w:hAnsi="Times New Roman" w:cs="Times New Roman"/>
          <w:sz w:val="24"/>
          <w:szCs w:val="24"/>
        </w:rPr>
        <w:t xml:space="preserve"> išdėstyti taip:</w:t>
      </w:r>
    </w:p>
    <w:p w14:paraId="4DC56170" w14:textId="77777777" w:rsidR="00446FD8" w:rsidRPr="007E01BA" w:rsidRDefault="004A23A8" w:rsidP="004A23A8">
      <w:pPr>
        <w:spacing w:after="0" w:line="240" w:lineRule="auto"/>
        <w:ind w:firstLine="720"/>
        <w:jc w:val="both"/>
        <w:rPr>
          <w:rFonts w:ascii="Times New Roman" w:hAnsi="Times New Roman" w:cs="Times New Roman"/>
          <w:bCs/>
          <w:sz w:val="24"/>
          <w:szCs w:val="24"/>
        </w:rPr>
      </w:pPr>
      <w:r w:rsidRPr="007E01BA">
        <w:rPr>
          <w:rFonts w:ascii="Times New Roman" w:hAnsi="Times New Roman" w:cs="Times New Roman"/>
          <w:bCs/>
          <w:sz w:val="24"/>
          <w:szCs w:val="24"/>
        </w:rPr>
        <w:t>„</w:t>
      </w:r>
      <w:r w:rsidR="00446FD8" w:rsidRPr="007E01BA">
        <w:rPr>
          <w:rFonts w:ascii="Times New Roman" w:hAnsi="Times New Roman" w:cs="Times New Roman"/>
          <w:bCs/>
          <w:sz w:val="24"/>
          <w:szCs w:val="24"/>
        </w:rPr>
        <w:t>5 straipsnis. Darbo užmokestis ir darbo apmokėjimo sistema</w:t>
      </w:r>
    </w:p>
    <w:p w14:paraId="4DC56171"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1. Biudžetinių įstaigų darbuotojų darbo užmokestį sudaro:</w:t>
      </w:r>
    </w:p>
    <w:p w14:paraId="4DC56172"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1) pareiginė alga (pastovioji ir kintamoji dalys arba tik pastovioji dalis, jeigu šio įstatymo nustatyta tvarka kintamoji dalis nenustatyta);</w:t>
      </w:r>
    </w:p>
    <w:p w14:paraId="4DC56173"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2) priemokos;</w:t>
      </w:r>
    </w:p>
    <w:p w14:paraId="4DC56174"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3) mokėjimas už darbą poilsio ir švenčių dienomis, nakties ir viršvalandinį darbą, budėjimą </w:t>
      </w:r>
      <w:r w:rsidRPr="007E01BA">
        <w:rPr>
          <w:rFonts w:ascii="Times New Roman" w:hAnsi="Times New Roman" w:cs="Times New Roman"/>
          <w:strike/>
          <w:sz w:val="24"/>
          <w:szCs w:val="24"/>
        </w:rPr>
        <w:t>ir darbą, esant nukrypimų nuo normalių darbo sąlygų</w:t>
      </w:r>
      <w:r w:rsidRPr="007E01BA">
        <w:rPr>
          <w:rFonts w:ascii="Times New Roman" w:hAnsi="Times New Roman" w:cs="Times New Roman"/>
          <w:sz w:val="24"/>
          <w:szCs w:val="24"/>
        </w:rPr>
        <w:t>;</w:t>
      </w:r>
    </w:p>
    <w:p w14:paraId="4DC56175" w14:textId="77777777" w:rsidR="004A23A8" w:rsidRPr="007E01BA" w:rsidRDefault="004A23A8" w:rsidP="004A23A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 premijos.</w:t>
      </w:r>
    </w:p>
    <w:p w14:paraId="4DC56176" w14:textId="77777777" w:rsidR="00446FD8" w:rsidRPr="007E01BA" w:rsidRDefault="00446FD8" w:rsidP="004A23A8">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Darbo apmokėjimo sistema nustatoma kolektyvinėje sutartyje. Jeigu kolektyvinės sutarties nėra, darbdavys privalo nustatyti darbo apmokėjimo sistemą ir padaryti ją prieinamą visiems darbuotojams susipažinti. Savininko teises ir pareigas įgyvendinanti institucija nustato jos valdymo sričiai priskirtų biudžetinių įstaigų vadovų darbo apmokėjimo sistemą. Prieš nustatant ar keičiant darbo apmokėjimo sistemą, turi būti įvykdytos darbuotojų informavimo ir konsultavimo procedūros Lietuvos Respublikos darbo kodekso nustatyta tvarka (prieš nustatant ar keičiant biudžetinių įstaigų vadovų darbo apmokėjimo sistemą, savininko teises ir pareigas įgyvendinanti institucija informuoja apie tai jos valdymo sričiai priskirtų biudžetinių įstaigų vadovus).</w:t>
      </w:r>
    </w:p>
    <w:p w14:paraId="4DC56177" w14:textId="77777777" w:rsidR="00120ED6" w:rsidRPr="007E01BA" w:rsidRDefault="004A23A8" w:rsidP="00446FD8">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 Darbo apmokėjimo sistemoje, atsižvelgiant į šio įstatymo nuostatas, detalizuojami biudžetinės įstaigos darbuotojų pareigybių sąraše esančių pareigybių pareiginės algos pastoviosios dalies nustatymo kriterijai (išsilavinimas, profesinio ir (ar) vadovaujamo darbo patirtis, veiklos sudėtingumas, darbo krūvis, atsakomybės lygis, papildomų įgūdžių ar žinių, svarbių einamoms pareigoms, turėjimas ir pan.) ir pagal kiekvieną kriterijų nustatyti konkretūs pareiginės algos pastoviosios dalies koeficientų dydžiai, šio įstatymo 7 straipsnio 6 ir 7</w:t>
      </w:r>
      <w:r w:rsidRPr="007E01BA">
        <w:rPr>
          <w:rFonts w:ascii="Times New Roman" w:hAnsi="Times New Roman" w:cs="Times New Roman"/>
          <w:sz w:val="24"/>
          <w:szCs w:val="24"/>
          <w:vertAlign w:val="superscript"/>
        </w:rPr>
        <w:t xml:space="preserve"> </w:t>
      </w:r>
      <w:r w:rsidRPr="007E01BA">
        <w:rPr>
          <w:rFonts w:ascii="Times New Roman" w:hAnsi="Times New Roman" w:cs="Times New Roman"/>
          <w:sz w:val="24"/>
          <w:szCs w:val="24"/>
        </w:rPr>
        <w:t xml:space="preserve">dalyse nustatytais pagrindais padidintos pareiginės algos pastoviosios dalies koeficientų dydžiai, 7 straipsnio 8 dalyje nustatyti pareiginės algos pastoviosios dalies koeficiento didinimo iki 100 procentų kriterijai ir jų dydžiai, 9 ir 14 straipsniuose nurodytos pareiginės algos kintamosios dalies nustatymo tvarka ir procentiniai dydžiai, 10 ir 12 straipsniuose nustatyta priemokų ir premijų skyrimo </w:t>
      </w:r>
      <w:r w:rsidRPr="007E01BA">
        <w:rPr>
          <w:rFonts w:ascii="Times New Roman" w:hAnsi="Times New Roman" w:cs="Times New Roman"/>
          <w:strike/>
          <w:sz w:val="24"/>
          <w:szCs w:val="24"/>
        </w:rPr>
        <w:t>tvarka</w:t>
      </w:r>
      <w:r w:rsidRPr="007E01BA">
        <w:rPr>
          <w:rFonts w:ascii="Times New Roman" w:hAnsi="Times New Roman" w:cs="Times New Roman"/>
          <w:sz w:val="24"/>
          <w:szCs w:val="24"/>
        </w:rPr>
        <w:t>, 11 straipsnyje numatyto m</w:t>
      </w:r>
      <w:r w:rsidRPr="007E01BA">
        <w:rPr>
          <w:rFonts w:ascii="Times New Roman" w:hAnsi="Times New Roman" w:cs="Times New Roman"/>
          <w:bCs/>
          <w:sz w:val="24"/>
          <w:szCs w:val="24"/>
        </w:rPr>
        <w:t xml:space="preserve">okėjimo už darbą poilsio ir švenčių dienomis, nakties ir viršvalandinį darbą, budėjimą </w:t>
      </w:r>
      <w:r w:rsidRPr="007E01BA">
        <w:rPr>
          <w:rFonts w:ascii="Times New Roman" w:hAnsi="Times New Roman" w:cs="Times New Roman"/>
          <w:bCs/>
          <w:strike/>
          <w:sz w:val="24"/>
          <w:szCs w:val="24"/>
        </w:rPr>
        <w:t>ir darbą, esant nukrypimų nuo normalių darbo sąlygų,</w:t>
      </w:r>
      <w:r w:rsidRPr="007E01BA">
        <w:rPr>
          <w:rFonts w:ascii="Times New Roman" w:hAnsi="Times New Roman" w:cs="Times New Roman"/>
          <w:bCs/>
          <w:sz w:val="24"/>
          <w:szCs w:val="24"/>
        </w:rPr>
        <w:t xml:space="preserve"> tvarka ir dydžiai</w:t>
      </w:r>
      <w:r w:rsidRPr="007E01BA">
        <w:rPr>
          <w:rFonts w:ascii="Times New Roman" w:hAnsi="Times New Roman" w:cs="Times New Roman"/>
          <w:sz w:val="24"/>
          <w:szCs w:val="24"/>
        </w:rPr>
        <w:t>.</w:t>
      </w:r>
      <w:r w:rsidR="00A11687" w:rsidRPr="007E01BA">
        <w:rPr>
          <w:rFonts w:ascii="Times New Roman" w:hAnsi="Times New Roman" w:cs="Times New Roman"/>
          <w:sz w:val="24"/>
          <w:szCs w:val="24"/>
        </w:rPr>
        <w:t>“</w:t>
      </w:r>
    </w:p>
    <w:p w14:paraId="4DC56178" w14:textId="77777777" w:rsidR="0076515D" w:rsidRPr="007E01BA" w:rsidRDefault="0076515D" w:rsidP="004A23A8">
      <w:pPr>
        <w:spacing w:after="0" w:line="240" w:lineRule="auto"/>
        <w:ind w:firstLine="720"/>
        <w:jc w:val="both"/>
        <w:rPr>
          <w:rFonts w:ascii="Times New Roman" w:eastAsia="Times New Roman" w:hAnsi="Times New Roman" w:cs="Times New Roman"/>
          <w:b/>
          <w:sz w:val="24"/>
          <w:szCs w:val="24"/>
        </w:rPr>
      </w:pPr>
    </w:p>
    <w:p w14:paraId="4DC56179" w14:textId="77777777" w:rsidR="000267B8" w:rsidRPr="007E01BA" w:rsidRDefault="00253190" w:rsidP="004A23A8">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2</w:t>
      </w:r>
      <w:r w:rsidR="008E32E3" w:rsidRPr="007E01BA">
        <w:rPr>
          <w:rFonts w:ascii="Times New Roman" w:eastAsia="Times New Roman" w:hAnsi="Times New Roman" w:cs="Times New Roman"/>
          <w:b/>
          <w:sz w:val="24"/>
          <w:szCs w:val="24"/>
        </w:rPr>
        <w:t xml:space="preserve"> straipsnis. 9</w:t>
      </w:r>
      <w:r w:rsidR="0050345C" w:rsidRPr="007E01BA">
        <w:rPr>
          <w:rFonts w:ascii="Times New Roman" w:eastAsia="Times New Roman" w:hAnsi="Times New Roman" w:cs="Times New Roman"/>
          <w:b/>
          <w:sz w:val="24"/>
          <w:szCs w:val="24"/>
        </w:rPr>
        <w:t xml:space="preserve"> straipsnio pakeitimas</w:t>
      </w:r>
    </w:p>
    <w:p w14:paraId="4DC5617A" w14:textId="77777777" w:rsidR="0050345C" w:rsidRPr="007E01BA" w:rsidRDefault="00000DC7" w:rsidP="00405EE6">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Pakeisti 9 straipsnio 2</w:t>
      </w:r>
      <w:r w:rsidR="0050345C" w:rsidRPr="007E01BA">
        <w:rPr>
          <w:rFonts w:ascii="Times New Roman" w:eastAsia="Times New Roman" w:hAnsi="Times New Roman" w:cs="Times New Roman"/>
          <w:sz w:val="24"/>
          <w:szCs w:val="24"/>
        </w:rPr>
        <w:t xml:space="preserve"> dalį ir ją išdėstyti taip:</w:t>
      </w:r>
    </w:p>
    <w:p w14:paraId="4DC5617B" w14:textId="63CC68C8" w:rsidR="008E32E3" w:rsidRPr="007E01BA" w:rsidRDefault="0017094E" w:rsidP="00405EE6">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w:t>
      </w:r>
      <w:r w:rsidR="008E32E3" w:rsidRPr="007E01BA">
        <w:rPr>
          <w:rFonts w:ascii="Times New Roman" w:hAnsi="Times New Roman" w:cs="Times New Roman"/>
          <w:sz w:val="24"/>
          <w:szCs w:val="24"/>
        </w:rPr>
        <w:t>2. Pareiginės algos kintamoji dalis, atsižvelgiant į praėjusių metų veiklos vertinimą, nustatoma iki kito biudžetinės įstaigos darbuotojų kasmetinio veiklos vertinimo, ir gali siekti iki 40 procentų pareiginės algos pastoviosios dalies</w:t>
      </w:r>
      <w:r w:rsidR="008E32E3" w:rsidRPr="007E01BA">
        <w:rPr>
          <w:rFonts w:ascii="Times New Roman" w:hAnsi="Times New Roman" w:cs="Times New Roman"/>
          <w:strike/>
          <w:sz w:val="24"/>
          <w:szCs w:val="24"/>
        </w:rPr>
        <w:t xml:space="preserve"> (įskaitant ir pareiginės algos pastoviąją dalį, padidintą pagal šio įstatymo 7 straipsnio 6, 7 ir 8 dalis)</w:t>
      </w:r>
      <w:r w:rsidR="008E32E3" w:rsidRPr="007E01BA">
        <w:rPr>
          <w:rFonts w:ascii="Times New Roman" w:hAnsi="Times New Roman" w:cs="Times New Roman"/>
          <w:sz w:val="24"/>
          <w:szCs w:val="24"/>
        </w:rPr>
        <w:t xml:space="preserve">, išskyrus šio straipsnio 4 dalyje nurodytą </w:t>
      </w:r>
      <w:r w:rsidR="008E32E3" w:rsidRPr="007E01BA">
        <w:rPr>
          <w:rFonts w:ascii="Times New Roman" w:hAnsi="Times New Roman" w:cs="Times New Roman"/>
          <w:sz w:val="24"/>
          <w:szCs w:val="24"/>
        </w:rPr>
        <w:lastRenderedPageBreak/>
        <w:t xml:space="preserve">atvejį. </w:t>
      </w:r>
      <w:r w:rsidR="008E32E3" w:rsidRPr="007E01BA">
        <w:rPr>
          <w:rFonts w:ascii="Times New Roman" w:hAnsi="Times New Roman" w:cs="Times New Roman"/>
          <w:b/>
          <w:sz w:val="24"/>
          <w:szCs w:val="24"/>
        </w:rPr>
        <w:t>Jeigu pareiginės algos pastovioji dalis padidinta pagal šio įstatymo 7 straipsnio 6, 7 ir 8 dalis, kintamoji dalis skaičiuojama nuo padidinto pastoviosios dalies koeficiento.</w:t>
      </w:r>
      <w:r w:rsidRPr="007E01BA">
        <w:rPr>
          <w:rFonts w:ascii="Times New Roman" w:hAnsi="Times New Roman" w:cs="Times New Roman"/>
          <w:b/>
          <w:sz w:val="24"/>
          <w:szCs w:val="24"/>
        </w:rPr>
        <w:t>“</w:t>
      </w:r>
    </w:p>
    <w:p w14:paraId="4DC5617C" w14:textId="77777777" w:rsidR="00000DC7" w:rsidRPr="007E01BA" w:rsidRDefault="00000DC7" w:rsidP="00405EE6">
      <w:pPr>
        <w:spacing w:after="0" w:line="240" w:lineRule="auto"/>
        <w:ind w:firstLine="709"/>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Pakeisti 9 straipsnio 3 dalį ir ją išdėstyti taip:</w:t>
      </w:r>
    </w:p>
    <w:p w14:paraId="4DC5617D" w14:textId="77777777" w:rsidR="008E32E3" w:rsidRPr="007E01BA" w:rsidRDefault="00000DC7" w:rsidP="00405EE6">
      <w:pPr>
        <w:spacing w:after="0" w:line="240" w:lineRule="auto"/>
        <w:ind w:firstLine="709"/>
        <w:jc w:val="both"/>
        <w:rPr>
          <w:rFonts w:ascii="Times New Roman" w:hAnsi="Times New Roman" w:cs="Times New Roman"/>
          <w:sz w:val="24"/>
          <w:szCs w:val="24"/>
        </w:rPr>
      </w:pPr>
      <w:r w:rsidRPr="007E01BA">
        <w:rPr>
          <w:rFonts w:ascii="Times New Roman" w:eastAsia="Times New Roman" w:hAnsi="Times New Roman" w:cs="Times New Roman"/>
          <w:sz w:val="24"/>
          <w:szCs w:val="24"/>
        </w:rPr>
        <w:t>„</w:t>
      </w:r>
      <w:r w:rsidRPr="007E01BA">
        <w:rPr>
          <w:rFonts w:ascii="Times New Roman" w:hAnsi="Times New Roman" w:cs="Times New Roman"/>
          <w:sz w:val="24"/>
          <w:szCs w:val="24"/>
        </w:rPr>
        <w:t xml:space="preserve">3. Biudžetinės įstaigos darbuotojo pareiginės algos kintamoji dalis gali būti nustatyta priėmimo į darbą metu, </w:t>
      </w:r>
      <w:r w:rsidRPr="007E01BA">
        <w:rPr>
          <w:rFonts w:ascii="Times New Roman" w:hAnsi="Times New Roman" w:cs="Times New Roman"/>
          <w:b/>
          <w:sz w:val="24"/>
          <w:szCs w:val="24"/>
        </w:rPr>
        <w:t>po išbandymo laikotarpio</w:t>
      </w:r>
      <w:r w:rsidRPr="007E01BA">
        <w:rPr>
          <w:rFonts w:ascii="Times New Roman" w:hAnsi="Times New Roman" w:cs="Times New Roman"/>
          <w:sz w:val="24"/>
          <w:szCs w:val="24"/>
        </w:rPr>
        <w:t>, taip pat darbuotojui grįžus iš vaiko priežiūros atostogų, atsižvelgiant į darbuotojo profesinę kvalifikaciją ir jam keliamus uždavinius, tačiau ji negali būti didesnė kaip 20 procentų pareiginės algos pastoviosios dalies ir negali būti mokama ilgiau kaip iki to darbuotojo kito kasmetinio veiklos vertinimo.“</w:t>
      </w:r>
    </w:p>
    <w:p w14:paraId="4DC5617E" w14:textId="77777777" w:rsidR="003568D8" w:rsidRPr="007E01BA" w:rsidRDefault="003568D8" w:rsidP="00405EE6">
      <w:pPr>
        <w:spacing w:after="0" w:line="240" w:lineRule="auto"/>
        <w:ind w:firstLine="709"/>
        <w:rPr>
          <w:rFonts w:ascii="Times New Roman" w:eastAsia="Times New Roman" w:hAnsi="Times New Roman" w:cs="Times New Roman"/>
          <w:b/>
          <w:sz w:val="24"/>
          <w:szCs w:val="24"/>
        </w:rPr>
      </w:pPr>
    </w:p>
    <w:p w14:paraId="4DC5617F" w14:textId="77777777" w:rsidR="00F10F1B" w:rsidRPr="007E01BA" w:rsidRDefault="00253190"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3</w:t>
      </w:r>
      <w:r w:rsidR="00F10F1B" w:rsidRPr="007E01BA">
        <w:rPr>
          <w:rFonts w:ascii="Times New Roman" w:eastAsia="Times New Roman" w:hAnsi="Times New Roman" w:cs="Times New Roman"/>
          <w:b/>
          <w:sz w:val="24"/>
          <w:szCs w:val="24"/>
        </w:rPr>
        <w:t xml:space="preserve"> straipsnis. 10 straipsnio pakeitimas</w:t>
      </w:r>
    </w:p>
    <w:p w14:paraId="4DC56180" w14:textId="77777777" w:rsidR="00F10F1B" w:rsidRPr="007E01BA" w:rsidRDefault="00F10F1B" w:rsidP="00F10F1B">
      <w:pPr>
        <w:spacing w:after="0" w:line="240" w:lineRule="auto"/>
        <w:ind w:firstLine="72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10 straipsnį ir jį išdėstyti taip:</w:t>
      </w:r>
    </w:p>
    <w:p w14:paraId="4DC56181" w14:textId="77777777" w:rsidR="009F72CE"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w:t>
      </w:r>
      <w:r w:rsidR="009F72CE" w:rsidRPr="007E01BA">
        <w:rPr>
          <w:rFonts w:ascii="Times New Roman" w:eastAsia="Times New Roman" w:hAnsi="Times New Roman" w:cs="Times New Roman"/>
          <w:sz w:val="24"/>
          <w:szCs w:val="24"/>
        </w:rPr>
        <w:t xml:space="preserve">10 straipsnis. </w:t>
      </w:r>
      <w:r w:rsidR="009F72CE" w:rsidRPr="007E01BA">
        <w:rPr>
          <w:rFonts w:ascii="Times New Roman" w:hAnsi="Times New Roman" w:cs="Times New Roman"/>
          <w:bCs/>
          <w:color w:val="000000"/>
          <w:sz w:val="24"/>
          <w:szCs w:val="24"/>
        </w:rPr>
        <w:t>Priemokos</w:t>
      </w:r>
    </w:p>
    <w:p w14:paraId="4DC56182" w14:textId="77777777" w:rsidR="00F275BA" w:rsidRPr="007E01BA" w:rsidRDefault="00F275BA" w:rsidP="00F10F1B">
      <w:pPr>
        <w:spacing w:after="0" w:line="240" w:lineRule="auto"/>
        <w:ind w:firstLine="720"/>
        <w:jc w:val="both"/>
        <w:rPr>
          <w:rFonts w:ascii="Times New Roman" w:eastAsia="Times New Roman" w:hAnsi="Times New Roman" w:cs="Times New Roman"/>
          <w:strike/>
          <w:sz w:val="24"/>
          <w:szCs w:val="24"/>
        </w:rPr>
      </w:pPr>
      <w:r w:rsidRPr="007E01BA">
        <w:rPr>
          <w:rFonts w:ascii="Times New Roman" w:eastAsia="Times New Roman" w:hAnsi="Times New Roman" w:cs="Times New Roman"/>
          <w:strike/>
          <w:sz w:val="24"/>
          <w:szCs w:val="24"/>
        </w:rPr>
        <w:t>Priemokos už papildomą darbo krūvį, kai yra padidėjęs darbų mastas, atliekant pareigybės aprašyme nustatytas funkcijas, bet neviršijama nustatyta darbo laiko trukmė, už pavadavimą, kai raštu pavedama laikinai atlikti kito darbuotojo funkcijas ar už papildomų pareigų ar užduočių, nenustatytų pareigybės aprašyme ir suformuluotų raštu, vykdymą gali siekti iki 30 procentų pareiginės algos pastoviosios dalies dydžio. Priemokų ir pareiginės algos kintamosios dalies suma negali viršyti 60 procentų nustatytos pareiginės algos pastoviosios dalies dydžio. Nacionalinių ir valstybinių kultūros ir meno įstaigų vadovams ir atlikėjams priemokų ir pareiginės algos kintamosios dalies suma negali viršyti 160 procentų nustatytos pareiginės algos pastoviosios dalies dydžio.</w:t>
      </w:r>
    </w:p>
    <w:p w14:paraId="4DC56183" w14:textId="77777777" w:rsidR="00F10F1B"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 xml:space="preserve">1. Biudžetinės įstaigos darbuotojui, </w:t>
      </w:r>
      <w:r w:rsidRPr="007E01BA">
        <w:rPr>
          <w:rFonts w:ascii="Times New Roman" w:hAnsi="Times New Roman" w:cs="Times New Roman"/>
          <w:b/>
          <w:color w:val="000000"/>
          <w:spacing w:val="2"/>
          <w:sz w:val="24"/>
          <w:szCs w:val="24"/>
        </w:rPr>
        <w:t xml:space="preserve">atsižvelgiant į atliekamų funkcijų </w:t>
      </w:r>
      <w:r w:rsidR="00AD23FD" w:rsidRPr="007E01BA">
        <w:rPr>
          <w:rFonts w:ascii="Times New Roman" w:hAnsi="Times New Roman" w:cs="Times New Roman"/>
          <w:b/>
          <w:color w:val="000000"/>
          <w:spacing w:val="2"/>
          <w:sz w:val="24"/>
          <w:szCs w:val="24"/>
        </w:rPr>
        <w:t>a</w:t>
      </w:r>
      <w:r w:rsidRPr="007E01BA">
        <w:rPr>
          <w:rFonts w:ascii="Times New Roman" w:hAnsi="Times New Roman" w:cs="Times New Roman"/>
          <w:b/>
          <w:color w:val="000000"/>
          <w:spacing w:val="2"/>
          <w:sz w:val="24"/>
          <w:szCs w:val="24"/>
        </w:rPr>
        <w:t xml:space="preserve">r užduočių </w:t>
      </w:r>
      <w:r w:rsidRPr="007E01BA">
        <w:rPr>
          <w:rFonts w:ascii="Times New Roman" w:hAnsi="Times New Roman" w:cs="Times New Roman"/>
          <w:b/>
          <w:spacing w:val="2"/>
          <w:sz w:val="24"/>
          <w:szCs w:val="24"/>
        </w:rPr>
        <w:t>sudėtingumą, m</w:t>
      </w:r>
      <w:r w:rsidR="003C103E" w:rsidRPr="007E01BA">
        <w:rPr>
          <w:rFonts w:ascii="Times New Roman" w:hAnsi="Times New Roman" w:cs="Times New Roman"/>
          <w:b/>
          <w:spacing w:val="2"/>
          <w:sz w:val="24"/>
          <w:szCs w:val="24"/>
        </w:rPr>
        <w:t>a</w:t>
      </w:r>
      <w:r w:rsidRPr="007E01BA">
        <w:rPr>
          <w:rFonts w:ascii="Times New Roman" w:hAnsi="Times New Roman" w:cs="Times New Roman"/>
          <w:b/>
          <w:spacing w:val="2"/>
          <w:sz w:val="24"/>
          <w:szCs w:val="24"/>
        </w:rPr>
        <w:t>stą ir pobūdį, gali būti skiriamos šios priemokos</w:t>
      </w:r>
      <w:r w:rsidRPr="007E01BA">
        <w:rPr>
          <w:rFonts w:ascii="Times New Roman" w:eastAsia="Times New Roman" w:hAnsi="Times New Roman" w:cs="Times New Roman"/>
          <w:b/>
          <w:sz w:val="24"/>
          <w:szCs w:val="24"/>
        </w:rPr>
        <w:t>:</w:t>
      </w:r>
    </w:p>
    <w:p w14:paraId="4DC56184"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eastAsia="Times New Roman" w:hAnsi="Times New Roman" w:cs="Times New Roman"/>
          <w:b/>
          <w:sz w:val="24"/>
          <w:szCs w:val="24"/>
        </w:rPr>
        <w:t xml:space="preserve">1) </w:t>
      </w:r>
      <w:r w:rsidRPr="007E01BA">
        <w:rPr>
          <w:rFonts w:ascii="Times New Roman" w:hAnsi="Times New Roman" w:cs="Times New Roman"/>
          <w:b/>
          <w:bCs/>
          <w:sz w:val="24"/>
          <w:szCs w:val="24"/>
        </w:rPr>
        <w:t>už papildomą darbo krūvį, kai yra padidėjęs darbų mastas, atliekant pareigybės aprašyme nustatytas funkcijas, bet neviršijama nustatyta darbo laiko trukmė;</w:t>
      </w:r>
    </w:p>
    <w:p w14:paraId="4DC56185"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hAnsi="Times New Roman" w:cs="Times New Roman"/>
          <w:b/>
          <w:bCs/>
          <w:sz w:val="24"/>
          <w:szCs w:val="24"/>
        </w:rPr>
        <w:t xml:space="preserve">2) už pavadavimą, kai raštu pavedama laikinai atlikti kito darbuotojo </w:t>
      </w:r>
      <w:r w:rsidR="0042406B" w:rsidRPr="007E01BA">
        <w:rPr>
          <w:rFonts w:ascii="Times New Roman" w:hAnsi="Times New Roman" w:cs="Times New Roman"/>
          <w:b/>
          <w:bCs/>
          <w:sz w:val="24"/>
          <w:szCs w:val="24"/>
        </w:rPr>
        <w:t xml:space="preserve">pareigybei nustatytas </w:t>
      </w:r>
      <w:r w:rsidRPr="007E01BA">
        <w:rPr>
          <w:rFonts w:ascii="Times New Roman" w:hAnsi="Times New Roman" w:cs="Times New Roman"/>
          <w:b/>
          <w:bCs/>
          <w:sz w:val="24"/>
          <w:szCs w:val="24"/>
        </w:rPr>
        <w:t>funkcijas;</w:t>
      </w:r>
    </w:p>
    <w:p w14:paraId="4DC56186" w14:textId="77777777" w:rsidR="00F10F1B" w:rsidRPr="007E01BA" w:rsidRDefault="00F10F1B" w:rsidP="00F10F1B">
      <w:pPr>
        <w:spacing w:after="0" w:line="240" w:lineRule="auto"/>
        <w:ind w:firstLine="720"/>
        <w:jc w:val="both"/>
        <w:rPr>
          <w:rFonts w:ascii="Times New Roman" w:hAnsi="Times New Roman" w:cs="Times New Roman"/>
          <w:b/>
          <w:bCs/>
          <w:sz w:val="24"/>
          <w:szCs w:val="24"/>
        </w:rPr>
      </w:pPr>
      <w:r w:rsidRPr="007E01BA">
        <w:rPr>
          <w:rFonts w:ascii="Times New Roman" w:eastAsia="Times New Roman" w:hAnsi="Times New Roman" w:cs="Times New Roman"/>
          <w:b/>
          <w:sz w:val="24"/>
          <w:szCs w:val="24"/>
        </w:rPr>
        <w:t xml:space="preserve">3) </w:t>
      </w:r>
      <w:r w:rsidRPr="007E01BA">
        <w:rPr>
          <w:rFonts w:ascii="Times New Roman" w:hAnsi="Times New Roman" w:cs="Times New Roman"/>
          <w:b/>
          <w:bCs/>
          <w:sz w:val="24"/>
          <w:szCs w:val="24"/>
        </w:rPr>
        <w:t xml:space="preserve">už papildomų </w:t>
      </w:r>
      <w:r w:rsidR="00853AB3" w:rsidRPr="007E01BA">
        <w:rPr>
          <w:rFonts w:ascii="Times New Roman" w:hAnsi="Times New Roman" w:cs="Times New Roman"/>
          <w:b/>
          <w:bCs/>
          <w:sz w:val="24"/>
          <w:szCs w:val="24"/>
        </w:rPr>
        <w:t xml:space="preserve">funkcijų </w:t>
      </w:r>
      <w:r w:rsidRPr="007E01BA">
        <w:rPr>
          <w:rFonts w:ascii="Times New Roman" w:hAnsi="Times New Roman" w:cs="Times New Roman"/>
          <w:b/>
          <w:bCs/>
          <w:sz w:val="24"/>
          <w:szCs w:val="24"/>
        </w:rPr>
        <w:t>ar užduočių, nenustatytų pareigybės aprašyme ir suformuluotų raštu, vykdymą;</w:t>
      </w:r>
    </w:p>
    <w:p w14:paraId="4DC56187" w14:textId="77777777" w:rsidR="00F10F1B"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hAnsi="Times New Roman" w:cs="Times New Roman"/>
          <w:b/>
          <w:bCs/>
          <w:sz w:val="24"/>
          <w:szCs w:val="24"/>
        </w:rPr>
        <w:t>4) už darbą, esant nukrypimų nuo normalių darbo sąlygų</w:t>
      </w:r>
      <w:r w:rsidR="001D7ADD" w:rsidRPr="007E01BA">
        <w:rPr>
          <w:rFonts w:ascii="Times New Roman" w:hAnsi="Times New Roman" w:cs="Times New Roman"/>
          <w:b/>
          <w:bCs/>
          <w:sz w:val="24"/>
          <w:szCs w:val="24"/>
        </w:rPr>
        <w:t>.</w:t>
      </w:r>
    </w:p>
    <w:p w14:paraId="4DC56188" w14:textId="0BD9E9AC" w:rsidR="00F10F1B" w:rsidRPr="007E01BA" w:rsidRDefault="00F10F1B"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hAnsi="Times New Roman" w:cs="Times New Roman"/>
          <w:b/>
          <w:color w:val="000000"/>
          <w:spacing w:val="2"/>
          <w:sz w:val="24"/>
          <w:szCs w:val="24"/>
        </w:rPr>
        <w:t>2. Šio straipsnio 1 dal</w:t>
      </w:r>
      <w:r w:rsidR="00E51C28" w:rsidRPr="007E01BA">
        <w:rPr>
          <w:rFonts w:ascii="Times New Roman" w:hAnsi="Times New Roman" w:cs="Times New Roman"/>
          <w:b/>
          <w:color w:val="000000"/>
          <w:spacing w:val="2"/>
          <w:sz w:val="24"/>
          <w:szCs w:val="24"/>
        </w:rPr>
        <w:t>ies 1</w:t>
      </w:r>
      <w:r w:rsidR="008A67A4" w:rsidRPr="007E01BA">
        <w:rPr>
          <w:rFonts w:ascii="Times New Roman" w:hAnsi="Times New Roman" w:cs="Times New Roman"/>
          <w:b/>
          <w:spacing w:val="2"/>
          <w:sz w:val="24"/>
          <w:szCs w:val="24"/>
        </w:rPr>
        <w:t>–</w:t>
      </w:r>
      <w:r w:rsidR="00E51C28" w:rsidRPr="007E01BA">
        <w:rPr>
          <w:rFonts w:ascii="Times New Roman" w:hAnsi="Times New Roman" w:cs="Times New Roman"/>
          <w:b/>
          <w:color w:val="000000"/>
          <w:spacing w:val="2"/>
          <w:sz w:val="24"/>
          <w:szCs w:val="24"/>
        </w:rPr>
        <w:t xml:space="preserve">3 punktuose </w:t>
      </w:r>
      <w:r w:rsidRPr="007E01BA">
        <w:rPr>
          <w:rFonts w:ascii="Times New Roman" w:hAnsi="Times New Roman" w:cs="Times New Roman"/>
          <w:b/>
          <w:color w:val="000000"/>
          <w:spacing w:val="2"/>
          <w:sz w:val="24"/>
          <w:szCs w:val="24"/>
        </w:rPr>
        <w:t>nustatytos priemokos gali siekti iki 30</w:t>
      </w:r>
      <w:r w:rsidR="001D7ADD" w:rsidRPr="007E01BA">
        <w:rPr>
          <w:rFonts w:ascii="Times New Roman" w:hAnsi="Times New Roman" w:cs="Times New Roman"/>
          <w:b/>
          <w:color w:val="000000"/>
          <w:spacing w:val="2"/>
          <w:sz w:val="24"/>
          <w:szCs w:val="24"/>
        </w:rPr>
        <w:t> </w:t>
      </w:r>
      <w:r w:rsidRPr="007E01BA">
        <w:rPr>
          <w:rFonts w:ascii="Times New Roman" w:hAnsi="Times New Roman" w:cs="Times New Roman"/>
          <w:b/>
          <w:color w:val="000000"/>
          <w:spacing w:val="2"/>
          <w:sz w:val="24"/>
          <w:szCs w:val="24"/>
        </w:rPr>
        <w:t>procentų pareiginės algos pastoviosios dalies dydžio</w:t>
      </w:r>
      <w:r w:rsidR="00803A2C" w:rsidRPr="007E01BA">
        <w:rPr>
          <w:rFonts w:ascii="Times New Roman" w:hAnsi="Times New Roman" w:cs="Times New Roman"/>
          <w:spacing w:val="2"/>
          <w:sz w:val="24"/>
          <w:szCs w:val="24"/>
        </w:rPr>
        <w:t xml:space="preserve"> </w:t>
      </w:r>
      <w:r w:rsidR="00803A2C" w:rsidRPr="007E01BA">
        <w:rPr>
          <w:rFonts w:ascii="Times New Roman" w:hAnsi="Times New Roman" w:cs="Times New Roman"/>
          <w:b/>
          <w:spacing w:val="2"/>
          <w:sz w:val="24"/>
          <w:szCs w:val="24"/>
        </w:rPr>
        <w:t>ir gali būti skiriamos ne ilgiau kaip iki kalendorinių metų pabaigos</w:t>
      </w:r>
      <w:r w:rsidRPr="007E01BA">
        <w:rPr>
          <w:rFonts w:ascii="Times New Roman" w:hAnsi="Times New Roman" w:cs="Times New Roman"/>
          <w:b/>
          <w:color w:val="000000"/>
          <w:spacing w:val="2"/>
          <w:sz w:val="24"/>
          <w:szCs w:val="24"/>
        </w:rPr>
        <w:t xml:space="preserve">. </w:t>
      </w:r>
      <w:r w:rsidR="00E51C28" w:rsidRPr="007E01BA">
        <w:rPr>
          <w:rFonts w:ascii="Times New Roman" w:hAnsi="Times New Roman" w:cs="Times New Roman"/>
          <w:b/>
          <w:color w:val="000000"/>
          <w:spacing w:val="2"/>
          <w:sz w:val="24"/>
          <w:szCs w:val="24"/>
        </w:rPr>
        <w:t xml:space="preserve">Šių </w:t>
      </w:r>
      <w:r w:rsidR="00E51C28" w:rsidRPr="007E01BA">
        <w:rPr>
          <w:rFonts w:ascii="Times New Roman" w:hAnsi="Times New Roman" w:cs="Times New Roman"/>
          <w:b/>
          <w:bCs/>
          <w:sz w:val="24"/>
          <w:szCs w:val="24"/>
        </w:rPr>
        <w:t xml:space="preserve">priemokų </w:t>
      </w:r>
      <w:r w:rsidRPr="007E01BA">
        <w:rPr>
          <w:rFonts w:ascii="Times New Roman" w:hAnsi="Times New Roman" w:cs="Times New Roman"/>
          <w:b/>
          <w:bCs/>
          <w:sz w:val="24"/>
          <w:szCs w:val="24"/>
        </w:rPr>
        <w:t xml:space="preserve">ir pareiginės algos kintamosios dalies suma negali viršyti 60 procentų nustatytos pareiginės algos pastoviosios dalies dydžio. </w:t>
      </w:r>
      <w:r w:rsidR="00E51C28" w:rsidRPr="007E01BA">
        <w:rPr>
          <w:rFonts w:ascii="Times New Roman" w:hAnsi="Times New Roman" w:cs="Times New Roman"/>
          <w:b/>
          <w:bCs/>
          <w:sz w:val="24"/>
          <w:szCs w:val="24"/>
        </w:rPr>
        <w:t>Šio straipsnio 1 dalies 4 punkte nustatyta priemoka gali siekti iki 20 procentų pareiginės algos pastoviosios dalies dydžio</w:t>
      </w:r>
      <w:r w:rsidR="008E2763" w:rsidRPr="007E01BA">
        <w:rPr>
          <w:rFonts w:ascii="Times New Roman" w:hAnsi="Times New Roman" w:cs="Times New Roman"/>
          <w:bCs/>
          <w:sz w:val="24"/>
          <w:szCs w:val="24"/>
        </w:rPr>
        <w:t xml:space="preserve"> </w:t>
      </w:r>
      <w:r w:rsidR="008E2763" w:rsidRPr="007E01BA">
        <w:rPr>
          <w:rFonts w:ascii="Times New Roman" w:hAnsi="Times New Roman" w:cs="Times New Roman"/>
          <w:b/>
          <w:bCs/>
          <w:sz w:val="24"/>
          <w:szCs w:val="24"/>
        </w:rPr>
        <w:t>ir gali būti skiriama  iki darbo, esant nukrypimų nuo normalių darbo sąlyg</w:t>
      </w:r>
      <w:r w:rsidR="00DF4F2A" w:rsidRPr="007E01BA">
        <w:rPr>
          <w:rFonts w:ascii="Times New Roman" w:hAnsi="Times New Roman" w:cs="Times New Roman"/>
          <w:b/>
          <w:bCs/>
          <w:sz w:val="24"/>
          <w:szCs w:val="24"/>
        </w:rPr>
        <w:t>ų</w:t>
      </w:r>
      <w:r w:rsidR="008E2763" w:rsidRPr="007E01BA">
        <w:rPr>
          <w:rFonts w:ascii="Times New Roman" w:hAnsi="Times New Roman" w:cs="Times New Roman"/>
          <w:b/>
          <w:bCs/>
          <w:sz w:val="24"/>
          <w:szCs w:val="24"/>
        </w:rPr>
        <w:t>, pabaigos</w:t>
      </w:r>
      <w:r w:rsidR="00E51C28" w:rsidRPr="007E01BA">
        <w:rPr>
          <w:rFonts w:ascii="Times New Roman" w:hAnsi="Times New Roman" w:cs="Times New Roman"/>
          <w:b/>
          <w:bCs/>
          <w:sz w:val="24"/>
          <w:szCs w:val="24"/>
        </w:rPr>
        <w:t xml:space="preserve">. </w:t>
      </w:r>
      <w:r w:rsidRPr="007E01BA">
        <w:rPr>
          <w:rFonts w:ascii="Times New Roman" w:hAnsi="Times New Roman" w:cs="Times New Roman"/>
          <w:b/>
          <w:bCs/>
          <w:sz w:val="24"/>
          <w:szCs w:val="24"/>
        </w:rPr>
        <w:t>Nacionalinių ir valstybinių kultūros ir meno įstaigų vadovams ir atlikėjams priemokų ir pareiginės algos kintamosios dalies suma negali viršyti 160 procentų nustatytos pareiginės algos pastoviosios dalies dydžio</w:t>
      </w:r>
      <w:r w:rsidR="008E2763" w:rsidRPr="007E01BA">
        <w:rPr>
          <w:rFonts w:ascii="Times New Roman" w:hAnsi="Times New Roman" w:cs="Times New Roman"/>
          <w:b/>
          <w:bCs/>
          <w:sz w:val="24"/>
          <w:szCs w:val="24"/>
        </w:rPr>
        <w:t>,</w:t>
      </w:r>
      <w:r w:rsidR="008827A4" w:rsidRPr="007E01BA">
        <w:rPr>
          <w:rFonts w:ascii="Times New Roman" w:hAnsi="Times New Roman" w:cs="Times New Roman"/>
          <w:b/>
          <w:bCs/>
          <w:sz w:val="24"/>
          <w:szCs w:val="24"/>
        </w:rPr>
        <w:t xml:space="preserve"> ne</w:t>
      </w:r>
      <w:r w:rsidR="00CA18F4" w:rsidRPr="007E01BA">
        <w:rPr>
          <w:rFonts w:ascii="Times New Roman" w:hAnsi="Times New Roman" w:cs="Times New Roman"/>
          <w:b/>
          <w:bCs/>
          <w:sz w:val="24"/>
          <w:szCs w:val="24"/>
        </w:rPr>
        <w:t>į</w:t>
      </w:r>
      <w:r w:rsidR="008827A4" w:rsidRPr="007E01BA">
        <w:rPr>
          <w:rFonts w:ascii="Times New Roman" w:hAnsi="Times New Roman" w:cs="Times New Roman"/>
          <w:b/>
          <w:bCs/>
          <w:sz w:val="24"/>
          <w:szCs w:val="24"/>
        </w:rPr>
        <w:t>skaičiuoja</w:t>
      </w:r>
      <w:r w:rsidR="008E2763" w:rsidRPr="007E01BA">
        <w:rPr>
          <w:rFonts w:ascii="Times New Roman" w:hAnsi="Times New Roman" w:cs="Times New Roman"/>
          <w:b/>
          <w:bCs/>
          <w:sz w:val="24"/>
          <w:szCs w:val="24"/>
        </w:rPr>
        <w:t>nt</w:t>
      </w:r>
      <w:r w:rsidR="008827A4" w:rsidRPr="007E01BA">
        <w:rPr>
          <w:rFonts w:ascii="Times New Roman" w:hAnsi="Times New Roman" w:cs="Times New Roman"/>
          <w:b/>
          <w:bCs/>
          <w:sz w:val="24"/>
          <w:szCs w:val="24"/>
        </w:rPr>
        <w:t xml:space="preserve"> priemok</w:t>
      </w:r>
      <w:r w:rsidR="008E2763" w:rsidRPr="007E01BA">
        <w:rPr>
          <w:rFonts w:ascii="Times New Roman" w:hAnsi="Times New Roman" w:cs="Times New Roman"/>
          <w:b/>
          <w:bCs/>
          <w:sz w:val="24"/>
          <w:szCs w:val="24"/>
        </w:rPr>
        <w:t>os</w:t>
      </w:r>
      <w:r w:rsidR="008827A4" w:rsidRPr="007E01BA">
        <w:rPr>
          <w:rFonts w:ascii="Times New Roman" w:hAnsi="Times New Roman" w:cs="Times New Roman"/>
          <w:b/>
          <w:bCs/>
          <w:sz w:val="24"/>
          <w:szCs w:val="24"/>
        </w:rPr>
        <w:t xml:space="preserve"> už darbą</w:t>
      </w:r>
      <w:r w:rsidR="008E2763" w:rsidRPr="007E01BA">
        <w:rPr>
          <w:rFonts w:ascii="Times New Roman" w:hAnsi="Times New Roman" w:cs="Times New Roman"/>
          <w:b/>
          <w:bCs/>
          <w:sz w:val="24"/>
          <w:szCs w:val="24"/>
        </w:rPr>
        <w:t>,</w:t>
      </w:r>
      <w:r w:rsidR="008827A4" w:rsidRPr="007E01BA">
        <w:rPr>
          <w:rFonts w:ascii="Times New Roman" w:hAnsi="Times New Roman" w:cs="Times New Roman"/>
          <w:b/>
          <w:bCs/>
          <w:sz w:val="24"/>
          <w:szCs w:val="24"/>
        </w:rPr>
        <w:t xml:space="preserve"> esant nukrypimų nuo normalių darbo sąlygų.</w:t>
      </w:r>
      <w:r w:rsidRPr="007E01BA">
        <w:rPr>
          <w:rFonts w:ascii="Times New Roman" w:eastAsia="Times New Roman" w:hAnsi="Times New Roman" w:cs="Times New Roman"/>
          <w:b/>
          <w:sz w:val="24"/>
          <w:szCs w:val="24"/>
        </w:rPr>
        <w:t>“</w:t>
      </w:r>
    </w:p>
    <w:p w14:paraId="4DC56189" w14:textId="77777777" w:rsidR="00F10F1B" w:rsidRPr="007E01BA" w:rsidRDefault="00F10F1B" w:rsidP="00405EE6">
      <w:pPr>
        <w:spacing w:after="0" w:line="240" w:lineRule="auto"/>
        <w:ind w:firstLine="709"/>
        <w:rPr>
          <w:rFonts w:ascii="Times New Roman" w:eastAsia="Times New Roman" w:hAnsi="Times New Roman" w:cs="Times New Roman"/>
          <w:b/>
          <w:sz w:val="24"/>
          <w:szCs w:val="24"/>
        </w:rPr>
      </w:pPr>
    </w:p>
    <w:p w14:paraId="4DC5618A" w14:textId="77777777" w:rsidR="00F10F1B" w:rsidRPr="007E01BA" w:rsidRDefault="00253190" w:rsidP="00F10F1B">
      <w:pPr>
        <w:spacing w:after="0" w:line="240" w:lineRule="auto"/>
        <w:ind w:firstLine="720"/>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4</w:t>
      </w:r>
      <w:r w:rsidR="00F10F1B" w:rsidRPr="007E01BA">
        <w:rPr>
          <w:rFonts w:ascii="Times New Roman" w:eastAsia="Times New Roman" w:hAnsi="Times New Roman" w:cs="Times New Roman"/>
          <w:b/>
          <w:sz w:val="24"/>
          <w:szCs w:val="24"/>
        </w:rPr>
        <w:t xml:space="preserve"> straipsnis. 11 straipsnio pakeitimas</w:t>
      </w:r>
    </w:p>
    <w:p w14:paraId="4DC5618B" w14:textId="77777777" w:rsidR="007435F8" w:rsidRPr="007E01BA" w:rsidRDefault="007435F8" w:rsidP="007435F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 Pakeisti 11</w:t>
      </w:r>
      <w:r w:rsidR="00F10F1B" w:rsidRPr="007E01BA">
        <w:rPr>
          <w:rFonts w:ascii="Times New Roman" w:eastAsia="Times New Roman" w:hAnsi="Times New Roman" w:cs="Times New Roman"/>
          <w:sz w:val="24"/>
          <w:szCs w:val="24"/>
        </w:rPr>
        <w:t xml:space="preserve"> straipsn</w:t>
      </w:r>
      <w:r w:rsidR="00E8347D" w:rsidRPr="007E01BA">
        <w:rPr>
          <w:rFonts w:ascii="Times New Roman" w:eastAsia="Times New Roman" w:hAnsi="Times New Roman" w:cs="Times New Roman"/>
          <w:sz w:val="24"/>
          <w:szCs w:val="24"/>
        </w:rPr>
        <w:t>į i</w:t>
      </w:r>
      <w:r w:rsidRPr="007E01BA">
        <w:rPr>
          <w:rFonts w:ascii="Times New Roman" w:eastAsia="Times New Roman" w:hAnsi="Times New Roman" w:cs="Times New Roman"/>
          <w:sz w:val="24"/>
          <w:szCs w:val="24"/>
        </w:rPr>
        <w:t>r jį išdėstyti taip:</w:t>
      </w:r>
    </w:p>
    <w:p w14:paraId="4DC5618C" w14:textId="77777777" w:rsidR="007435F8" w:rsidRPr="007E01BA" w:rsidRDefault="00461414" w:rsidP="007435F8">
      <w:pPr>
        <w:spacing w:after="0" w:line="240" w:lineRule="auto"/>
        <w:ind w:left="2268" w:hanging="1548"/>
        <w:jc w:val="both"/>
        <w:rPr>
          <w:rFonts w:ascii="Times New Roman" w:eastAsia="Times New Roman" w:hAnsi="Times New Roman" w:cs="Times New Roman"/>
          <w:sz w:val="24"/>
          <w:szCs w:val="24"/>
        </w:rPr>
      </w:pPr>
      <w:r w:rsidRPr="007E01BA">
        <w:rPr>
          <w:rFonts w:ascii="Times New Roman" w:hAnsi="Times New Roman" w:cs="Times New Roman"/>
          <w:b/>
          <w:bCs/>
          <w:sz w:val="24"/>
          <w:szCs w:val="24"/>
        </w:rPr>
        <w:t>„</w:t>
      </w:r>
      <w:r w:rsidR="007435F8" w:rsidRPr="007E01BA">
        <w:rPr>
          <w:rFonts w:ascii="Times New Roman" w:hAnsi="Times New Roman" w:cs="Times New Roman"/>
          <w:bCs/>
          <w:sz w:val="24"/>
          <w:szCs w:val="24"/>
        </w:rPr>
        <w:t xml:space="preserve">11 straipsnis. Mokėjimas už darbą poilsio ir švenčių dienomis, nakties ir viršvalandinį darbą, budėjimą </w:t>
      </w:r>
      <w:r w:rsidR="007435F8" w:rsidRPr="007E01BA">
        <w:rPr>
          <w:rFonts w:ascii="Times New Roman" w:hAnsi="Times New Roman" w:cs="Times New Roman"/>
          <w:bCs/>
          <w:strike/>
          <w:sz w:val="24"/>
          <w:szCs w:val="24"/>
        </w:rPr>
        <w:t>ir darbą, esant nukr</w:t>
      </w:r>
      <w:r w:rsidR="00E8347D" w:rsidRPr="007E01BA">
        <w:rPr>
          <w:rFonts w:ascii="Times New Roman" w:hAnsi="Times New Roman" w:cs="Times New Roman"/>
          <w:bCs/>
          <w:strike/>
          <w:sz w:val="24"/>
          <w:szCs w:val="24"/>
        </w:rPr>
        <w:t>ypimų nuo normalių darbo sąlygų</w:t>
      </w:r>
    </w:p>
    <w:p w14:paraId="4DC5618D" w14:textId="77777777" w:rsidR="009C2A8D" w:rsidRPr="007E01BA" w:rsidRDefault="009C2A8D" w:rsidP="0073476E">
      <w:pPr>
        <w:spacing w:after="0" w:line="240" w:lineRule="auto"/>
        <w:ind w:firstLine="709"/>
        <w:jc w:val="both"/>
        <w:rPr>
          <w:rFonts w:ascii="Times New Roman" w:eastAsia="Times New Roman" w:hAnsi="Times New Roman" w:cs="Times New Roman"/>
          <w:strike/>
          <w:sz w:val="24"/>
          <w:szCs w:val="24"/>
        </w:rPr>
      </w:pPr>
      <w:r w:rsidRPr="007E01BA">
        <w:rPr>
          <w:rFonts w:ascii="Times New Roman" w:eastAsia="Times New Roman" w:hAnsi="Times New Roman" w:cs="Times New Roman"/>
          <w:strike/>
          <w:sz w:val="24"/>
          <w:szCs w:val="24"/>
        </w:rPr>
        <w:t>Už darbą poilsio ir švenčių dienomis, nakties ir viršvalandinį darbą, budėjimą ir darbą, esant nukrypimų nuo normalių darbo sąlygų, biudžetinių įstaigų darbuotojams mokama Darbo kodekso nustatyta tvarka, konkrečius dydžius ir mokėjimo tvarką nustatant darbo apmokėjimo sistemoje.</w:t>
      </w:r>
    </w:p>
    <w:p w14:paraId="4DC5618E" w14:textId="77777777" w:rsidR="00B53A65" w:rsidRPr="007E01BA" w:rsidRDefault="00E51C28" w:rsidP="0073476E">
      <w:pPr>
        <w:spacing w:after="0" w:line="240" w:lineRule="auto"/>
        <w:ind w:firstLine="709"/>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 xml:space="preserve">1. Už darbą poilsio dieną, kuri nenustatyta pagal darbo (pamainos) grafiką, </w:t>
      </w:r>
      <w:r w:rsidR="00B53A65" w:rsidRPr="007E01BA">
        <w:rPr>
          <w:rFonts w:ascii="Times New Roman" w:eastAsia="Times New Roman" w:hAnsi="Times New Roman" w:cs="Times New Roman"/>
          <w:b/>
          <w:sz w:val="24"/>
          <w:szCs w:val="24"/>
        </w:rPr>
        <w:t xml:space="preserve">švenčių dieną mokamas dvigubas darbuotojo darbo užmokestis. </w:t>
      </w:r>
    </w:p>
    <w:p w14:paraId="4DC5618F" w14:textId="270D0CAD" w:rsidR="00E51C28" w:rsidRPr="007E01BA" w:rsidRDefault="00461414" w:rsidP="00F071EC">
      <w:pPr>
        <w:spacing w:after="0" w:line="240" w:lineRule="auto"/>
        <w:ind w:firstLine="709"/>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lastRenderedPageBreak/>
        <w:t>2</w:t>
      </w:r>
      <w:r w:rsidR="00E51C28" w:rsidRPr="007E01BA">
        <w:rPr>
          <w:rFonts w:ascii="Times New Roman" w:eastAsia="Times New Roman" w:hAnsi="Times New Roman" w:cs="Times New Roman"/>
          <w:b/>
          <w:sz w:val="24"/>
          <w:szCs w:val="24"/>
        </w:rPr>
        <w:t xml:space="preserve">. Už </w:t>
      </w:r>
      <w:r w:rsidR="0073476E" w:rsidRPr="007E01BA">
        <w:rPr>
          <w:rFonts w:ascii="Times New Roman" w:eastAsia="Times New Roman" w:hAnsi="Times New Roman" w:cs="Times New Roman"/>
          <w:b/>
          <w:sz w:val="24"/>
          <w:szCs w:val="24"/>
        </w:rPr>
        <w:t xml:space="preserve">darbą naktį ir </w:t>
      </w:r>
      <w:r w:rsidR="00E51C28" w:rsidRPr="007E01BA">
        <w:rPr>
          <w:rFonts w:ascii="Times New Roman" w:eastAsia="Times New Roman" w:hAnsi="Times New Roman" w:cs="Times New Roman"/>
          <w:b/>
          <w:sz w:val="24"/>
          <w:szCs w:val="24"/>
        </w:rPr>
        <w:t>viršvalandinį darbą mokamas pusantro darbuotojo darbo užmokesčio dydžio užmokestis. Už viršvalandinį darbą poilsio dieną, kuri nenustatyta pagal darbo (pamainos) grafiką, ar viršvalandinį darbą naktį mokamas dvigubas darbuotojo darbo užmokestis, o už viršvalandinį darbą švenčių dieną –</w:t>
      </w:r>
      <w:r w:rsidR="00DF4F2A" w:rsidRPr="007E01BA">
        <w:rPr>
          <w:rFonts w:ascii="Times New Roman" w:eastAsia="Times New Roman" w:hAnsi="Times New Roman" w:cs="Times New Roman"/>
          <w:b/>
          <w:sz w:val="24"/>
          <w:szCs w:val="24"/>
        </w:rPr>
        <w:t xml:space="preserve"> dviejų su puse</w:t>
      </w:r>
      <w:r w:rsidR="00DF4F2A" w:rsidRPr="007E01BA">
        <w:rPr>
          <w:rFonts w:ascii="Times New Roman" w:eastAsia="Times New Roman" w:hAnsi="Times New Roman" w:cs="Times New Roman"/>
          <w:sz w:val="24"/>
          <w:szCs w:val="24"/>
        </w:rPr>
        <w:t xml:space="preserve"> </w:t>
      </w:r>
      <w:r w:rsidR="00E51C28" w:rsidRPr="007E01BA">
        <w:rPr>
          <w:rFonts w:ascii="Times New Roman" w:eastAsia="Times New Roman" w:hAnsi="Times New Roman" w:cs="Times New Roman"/>
          <w:b/>
          <w:sz w:val="24"/>
          <w:szCs w:val="24"/>
        </w:rPr>
        <w:t>darbuotojo darbo užmokesčio dydži</w:t>
      </w:r>
      <w:r w:rsidR="00DF4F2A" w:rsidRPr="007E01BA">
        <w:rPr>
          <w:rFonts w:ascii="Times New Roman" w:eastAsia="Times New Roman" w:hAnsi="Times New Roman" w:cs="Times New Roman"/>
          <w:b/>
          <w:sz w:val="24"/>
          <w:szCs w:val="24"/>
        </w:rPr>
        <w:t>ų</w:t>
      </w:r>
      <w:r w:rsidR="00E51C28" w:rsidRPr="007E01BA">
        <w:rPr>
          <w:rFonts w:ascii="Times New Roman" w:eastAsia="Times New Roman" w:hAnsi="Times New Roman" w:cs="Times New Roman"/>
          <w:b/>
          <w:sz w:val="24"/>
          <w:szCs w:val="24"/>
        </w:rPr>
        <w:t xml:space="preserve"> užmokestis.</w:t>
      </w:r>
    </w:p>
    <w:p w14:paraId="4DC56190" w14:textId="7537D416" w:rsidR="00E51C28" w:rsidRPr="007E01BA" w:rsidRDefault="00461414" w:rsidP="0073476E">
      <w:pPr>
        <w:spacing w:after="0" w:line="240" w:lineRule="auto"/>
        <w:ind w:firstLine="709"/>
        <w:jc w:val="both"/>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3</w:t>
      </w:r>
      <w:r w:rsidR="00E51C28" w:rsidRPr="007E01BA">
        <w:rPr>
          <w:rFonts w:ascii="Times New Roman" w:eastAsia="Times New Roman" w:hAnsi="Times New Roman" w:cs="Times New Roman"/>
          <w:b/>
          <w:sz w:val="24"/>
          <w:szCs w:val="24"/>
        </w:rPr>
        <w:t>. Darbuotojo prašymu darbo poilsio ar švenčių dienomis laikas ar viršvalandinio darbo laikas, padaugint</w:t>
      </w:r>
      <w:r w:rsidR="00DF4F2A" w:rsidRPr="007E01BA">
        <w:rPr>
          <w:rFonts w:ascii="Times New Roman" w:eastAsia="Times New Roman" w:hAnsi="Times New Roman" w:cs="Times New Roman"/>
          <w:b/>
          <w:sz w:val="24"/>
          <w:szCs w:val="24"/>
        </w:rPr>
        <w:t>as</w:t>
      </w:r>
      <w:r w:rsidR="00E51C28" w:rsidRPr="007E01BA">
        <w:rPr>
          <w:rFonts w:ascii="Times New Roman" w:eastAsia="Times New Roman" w:hAnsi="Times New Roman" w:cs="Times New Roman"/>
          <w:b/>
          <w:sz w:val="24"/>
          <w:szCs w:val="24"/>
        </w:rPr>
        <w:t xml:space="preserve"> iš šio straipsnio 1–</w:t>
      </w:r>
      <w:r w:rsidR="0073476E" w:rsidRPr="007E01BA">
        <w:rPr>
          <w:rFonts w:ascii="Times New Roman" w:eastAsia="Times New Roman" w:hAnsi="Times New Roman" w:cs="Times New Roman"/>
          <w:b/>
          <w:sz w:val="24"/>
          <w:szCs w:val="24"/>
        </w:rPr>
        <w:t>2</w:t>
      </w:r>
      <w:r w:rsidR="00E51C28" w:rsidRPr="007E01BA">
        <w:rPr>
          <w:rFonts w:ascii="Times New Roman" w:eastAsia="Times New Roman" w:hAnsi="Times New Roman" w:cs="Times New Roman"/>
          <w:b/>
          <w:sz w:val="24"/>
          <w:szCs w:val="24"/>
        </w:rPr>
        <w:t xml:space="preserve"> dalyse nustatyto atitinkamo dydžio, gali būti pridedam</w:t>
      </w:r>
      <w:r w:rsidR="00DF4F2A" w:rsidRPr="007E01BA">
        <w:rPr>
          <w:rFonts w:ascii="Times New Roman" w:eastAsia="Times New Roman" w:hAnsi="Times New Roman" w:cs="Times New Roman"/>
          <w:b/>
          <w:sz w:val="24"/>
          <w:szCs w:val="24"/>
        </w:rPr>
        <w:t>as</w:t>
      </w:r>
      <w:r w:rsidR="00E51C28" w:rsidRPr="007E01BA">
        <w:rPr>
          <w:rFonts w:ascii="Times New Roman" w:eastAsia="Times New Roman" w:hAnsi="Times New Roman" w:cs="Times New Roman"/>
          <w:b/>
          <w:sz w:val="24"/>
          <w:szCs w:val="24"/>
        </w:rPr>
        <w:t xml:space="preserve"> prie kasmetinių atostogų laiko.</w:t>
      </w:r>
    </w:p>
    <w:p w14:paraId="4DC56191" w14:textId="77777777" w:rsidR="00461414" w:rsidRPr="007E01BA" w:rsidRDefault="00461414" w:rsidP="00940BCD">
      <w:pPr>
        <w:spacing w:after="0" w:line="240" w:lineRule="auto"/>
        <w:ind w:firstLine="709"/>
        <w:jc w:val="both"/>
        <w:rPr>
          <w:rFonts w:ascii="Times New Roman" w:hAnsi="Times New Roman" w:cs="Times New Roman"/>
          <w:sz w:val="24"/>
          <w:szCs w:val="24"/>
        </w:rPr>
      </w:pPr>
      <w:r w:rsidRPr="007E01BA">
        <w:rPr>
          <w:rFonts w:ascii="Times New Roman" w:eastAsia="Times New Roman" w:hAnsi="Times New Roman" w:cs="Times New Roman"/>
          <w:b/>
          <w:sz w:val="24"/>
          <w:szCs w:val="24"/>
        </w:rPr>
        <w:t>4</w:t>
      </w:r>
      <w:r w:rsidR="00EB609B" w:rsidRPr="007E01BA">
        <w:rPr>
          <w:rFonts w:ascii="Times New Roman" w:eastAsia="Times New Roman" w:hAnsi="Times New Roman" w:cs="Times New Roman"/>
          <w:b/>
          <w:sz w:val="24"/>
          <w:szCs w:val="24"/>
        </w:rPr>
        <w:t xml:space="preserve">. </w:t>
      </w:r>
      <w:r w:rsidR="0073476E" w:rsidRPr="007E01BA">
        <w:rPr>
          <w:rFonts w:ascii="Times New Roman" w:eastAsia="Times New Roman" w:hAnsi="Times New Roman" w:cs="Times New Roman"/>
          <w:b/>
          <w:sz w:val="24"/>
          <w:szCs w:val="24"/>
        </w:rPr>
        <w:t xml:space="preserve">Biudžetinių įstaigų vadovams, jų pavaduotojams, struktūrinių padalinių vadovams ir jų pavaduotojams už </w:t>
      </w:r>
      <w:r w:rsidR="0073476E" w:rsidRPr="007E01BA">
        <w:rPr>
          <w:rFonts w:ascii="Times New Roman" w:eastAsia="Times New Roman" w:hAnsi="Times New Roman" w:cs="Times New Roman"/>
          <w:b/>
          <w:bCs/>
          <w:sz w:val="24"/>
          <w:szCs w:val="24"/>
        </w:rPr>
        <w:t>darbą poilsio dieną, švenčių dieną, naktį, taip pat už viršvalandžius mokama</w:t>
      </w:r>
      <w:r w:rsidR="00EB609B" w:rsidRPr="007E01BA">
        <w:rPr>
          <w:rFonts w:ascii="Times New Roman" w:eastAsia="Times New Roman" w:hAnsi="Times New Roman" w:cs="Times New Roman"/>
          <w:b/>
          <w:bCs/>
          <w:sz w:val="24"/>
          <w:szCs w:val="24"/>
        </w:rPr>
        <w:t xml:space="preserve"> šio straipsnio nustatyta tvarka.</w:t>
      </w:r>
      <w:r w:rsidRPr="007E01BA">
        <w:rPr>
          <w:rFonts w:ascii="Times New Roman" w:hAnsi="Times New Roman" w:cs="Times New Roman"/>
          <w:sz w:val="24"/>
          <w:szCs w:val="24"/>
        </w:rPr>
        <w:t>“</w:t>
      </w:r>
    </w:p>
    <w:p w14:paraId="4DC56192" w14:textId="77777777" w:rsidR="00EB609B" w:rsidRPr="007E01BA" w:rsidRDefault="00EB609B" w:rsidP="005B3CD3">
      <w:pPr>
        <w:spacing w:after="0" w:line="240" w:lineRule="auto"/>
        <w:ind w:firstLine="709"/>
        <w:rPr>
          <w:rFonts w:ascii="Times New Roman" w:eastAsia="Times New Roman" w:hAnsi="Times New Roman" w:cs="Times New Roman"/>
          <w:b/>
          <w:sz w:val="24"/>
          <w:szCs w:val="24"/>
        </w:rPr>
      </w:pPr>
    </w:p>
    <w:p w14:paraId="4DC56193" w14:textId="77777777" w:rsidR="005B3CD3" w:rsidRPr="007E01BA" w:rsidRDefault="00253190" w:rsidP="005B3CD3">
      <w:pPr>
        <w:spacing w:after="0" w:line="240" w:lineRule="auto"/>
        <w:ind w:firstLine="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5</w:t>
      </w:r>
      <w:r w:rsidR="005B3CD3" w:rsidRPr="007E01BA">
        <w:rPr>
          <w:rFonts w:ascii="Times New Roman" w:eastAsia="Times New Roman" w:hAnsi="Times New Roman" w:cs="Times New Roman"/>
          <w:b/>
          <w:sz w:val="24"/>
          <w:szCs w:val="24"/>
        </w:rPr>
        <w:t xml:space="preserve"> straipsnis. 12 straipsnio pakeitimas</w:t>
      </w:r>
    </w:p>
    <w:p w14:paraId="4DC56194" w14:textId="77777777" w:rsidR="00457CDE" w:rsidRPr="007E01BA" w:rsidRDefault="00457CDE" w:rsidP="005B3CD3">
      <w:pPr>
        <w:spacing w:after="0" w:line="240" w:lineRule="auto"/>
        <w:ind w:firstLine="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12 straipsnio 2 dalį ir ją išdėstyti taip:</w:t>
      </w:r>
    </w:p>
    <w:p w14:paraId="4DC56195" w14:textId="45655992" w:rsidR="00457CDE" w:rsidRPr="007E01BA" w:rsidRDefault="00457CDE" w:rsidP="00A4441E">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„2. Kiekvienu atveju, nurodytu šio straipsnio 1 dalyje, nurodyta premija gali būti skiriama ne daugiau kaip kartą per metus, išskyrus nacionalinių ir valstybinių kultūros ir meno įstaigų atlikėjus. Premija negali viršyti darbuotojui nustatytos pareiginės algos pastoviosios dalies dydžio. </w:t>
      </w:r>
      <w:r w:rsidRPr="007E01BA">
        <w:rPr>
          <w:rFonts w:ascii="Times New Roman" w:hAnsi="Times New Roman" w:cs="Times New Roman"/>
          <w:b/>
          <w:sz w:val="24"/>
          <w:szCs w:val="24"/>
        </w:rPr>
        <w:t xml:space="preserve">Darbdavio ir darbovietės lygmens kolektyvinėje sutartyje galima numatyti kitus </w:t>
      </w:r>
      <w:r w:rsidR="00B87A03" w:rsidRPr="007E01BA">
        <w:rPr>
          <w:rFonts w:ascii="Times New Roman" w:hAnsi="Times New Roman" w:cs="Times New Roman"/>
          <w:b/>
          <w:sz w:val="24"/>
          <w:szCs w:val="24"/>
        </w:rPr>
        <w:t>atvejus</w:t>
      </w:r>
      <w:r w:rsidR="00DF4F2A" w:rsidRPr="007E01BA">
        <w:rPr>
          <w:rFonts w:ascii="Times New Roman" w:hAnsi="Times New Roman" w:cs="Times New Roman"/>
          <w:b/>
          <w:sz w:val="24"/>
          <w:szCs w:val="24"/>
        </w:rPr>
        <w:t>,</w:t>
      </w:r>
      <w:r w:rsidRPr="007E01BA">
        <w:rPr>
          <w:rFonts w:ascii="Times New Roman" w:hAnsi="Times New Roman" w:cs="Times New Roman"/>
          <w:b/>
          <w:sz w:val="24"/>
          <w:szCs w:val="24"/>
        </w:rPr>
        <w:t xml:space="preserve"> nei numatyta šio straipsnio 1 dalyje</w:t>
      </w:r>
      <w:r w:rsidR="00DF4F2A" w:rsidRPr="007E01BA">
        <w:rPr>
          <w:rFonts w:ascii="Times New Roman" w:hAnsi="Times New Roman" w:cs="Times New Roman"/>
          <w:b/>
          <w:sz w:val="24"/>
          <w:szCs w:val="24"/>
        </w:rPr>
        <w:t>,</w:t>
      </w:r>
      <w:r w:rsidR="00DF4F2A" w:rsidRPr="007E01BA">
        <w:rPr>
          <w:rFonts w:ascii="Times New Roman" w:hAnsi="Times New Roman" w:cs="Times New Roman"/>
          <w:sz w:val="24"/>
          <w:szCs w:val="24"/>
        </w:rPr>
        <w:t xml:space="preserve"> </w:t>
      </w:r>
      <w:r w:rsidR="00DF4F2A" w:rsidRPr="007E01BA">
        <w:rPr>
          <w:rFonts w:ascii="Times New Roman" w:hAnsi="Times New Roman" w:cs="Times New Roman"/>
          <w:b/>
          <w:sz w:val="24"/>
          <w:szCs w:val="24"/>
        </w:rPr>
        <w:t>kuriais skiriama premija</w:t>
      </w:r>
      <w:r w:rsidRPr="007E01BA">
        <w:rPr>
          <w:rFonts w:ascii="Times New Roman" w:hAnsi="Times New Roman" w:cs="Times New Roman"/>
          <w:b/>
          <w:sz w:val="24"/>
          <w:szCs w:val="24"/>
        </w:rPr>
        <w:t>.</w:t>
      </w:r>
      <w:r w:rsidRPr="007E01BA">
        <w:rPr>
          <w:rFonts w:ascii="Times New Roman" w:hAnsi="Times New Roman" w:cs="Times New Roman"/>
          <w:sz w:val="24"/>
          <w:szCs w:val="24"/>
        </w:rPr>
        <w:t>“</w:t>
      </w:r>
    </w:p>
    <w:p w14:paraId="4DC56196" w14:textId="77777777" w:rsidR="00523E69" w:rsidRPr="007E01BA" w:rsidRDefault="00523E69" w:rsidP="00670E50">
      <w:pPr>
        <w:spacing w:after="0" w:line="240" w:lineRule="auto"/>
        <w:ind w:firstLine="709"/>
        <w:jc w:val="both"/>
        <w:rPr>
          <w:rFonts w:ascii="Times New Roman" w:hAnsi="Times New Roman" w:cs="Times New Roman"/>
          <w:b/>
          <w:sz w:val="24"/>
          <w:szCs w:val="24"/>
        </w:rPr>
      </w:pPr>
    </w:p>
    <w:p w14:paraId="4DC56197" w14:textId="77777777" w:rsidR="00A4441E" w:rsidRPr="007E01BA" w:rsidRDefault="008C06E0" w:rsidP="00A4441E">
      <w:pPr>
        <w:spacing w:after="0" w:line="240" w:lineRule="auto"/>
        <w:ind w:firstLine="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w:t>
      </w:r>
      <w:r w:rsidR="00A4441E" w:rsidRPr="007E01BA">
        <w:rPr>
          <w:rFonts w:ascii="Times New Roman" w:eastAsia="Times New Roman" w:hAnsi="Times New Roman" w:cs="Times New Roman"/>
          <w:b/>
          <w:sz w:val="24"/>
          <w:szCs w:val="24"/>
        </w:rPr>
        <w:t xml:space="preserve"> straipsnis. 16 straipsnio pakeitimas</w:t>
      </w:r>
    </w:p>
    <w:p w14:paraId="4DC56198" w14:textId="77777777" w:rsidR="00A4441E" w:rsidRPr="007E01BA" w:rsidRDefault="00A4441E" w:rsidP="00523E69">
      <w:pPr>
        <w:spacing w:after="0" w:line="240" w:lineRule="auto"/>
        <w:ind w:firstLine="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16 straipsnį ir jį išdėstyti taip:</w:t>
      </w:r>
    </w:p>
    <w:p w14:paraId="4DC56199" w14:textId="77777777" w:rsidR="00523E69" w:rsidRPr="007E01BA" w:rsidRDefault="00A4441E" w:rsidP="002A6F30">
      <w:pPr>
        <w:spacing w:after="0" w:line="240" w:lineRule="auto"/>
        <w:ind w:firstLine="709"/>
        <w:jc w:val="both"/>
        <w:rPr>
          <w:rFonts w:ascii="Times New Roman" w:hAnsi="Times New Roman" w:cs="Times New Roman"/>
          <w:sz w:val="24"/>
          <w:szCs w:val="24"/>
        </w:rPr>
      </w:pPr>
      <w:r w:rsidRPr="007E01BA">
        <w:rPr>
          <w:rFonts w:ascii="Times New Roman" w:hAnsi="Times New Roman" w:cs="Times New Roman"/>
          <w:sz w:val="24"/>
          <w:szCs w:val="24"/>
        </w:rPr>
        <w:t>„</w:t>
      </w:r>
      <w:r w:rsidR="00523E69" w:rsidRPr="007E01BA">
        <w:rPr>
          <w:rFonts w:ascii="Times New Roman" w:hAnsi="Times New Roman" w:cs="Times New Roman"/>
          <w:sz w:val="24"/>
          <w:szCs w:val="24"/>
        </w:rPr>
        <w:t>16 straipsnis. Kolektyvinių sutarčių nuostatų taikymas</w:t>
      </w:r>
    </w:p>
    <w:p w14:paraId="4DC5619A" w14:textId="7A28E4FA" w:rsidR="00A4441E" w:rsidRPr="007E01BA" w:rsidRDefault="00A4441E" w:rsidP="002A6F30">
      <w:pPr>
        <w:spacing w:after="0" w:line="240" w:lineRule="auto"/>
        <w:ind w:firstLine="709"/>
        <w:jc w:val="both"/>
        <w:rPr>
          <w:rFonts w:ascii="Times New Roman" w:hAnsi="Times New Roman" w:cs="Times New Roman"/>
          <w:sz w:val="24"/>
          <w:szCs w:val="24"/>
        </w:rPr>
      </w:pPr>
      <w:r w:rsidRPr="007E01BA">
        <w:rPr>
          <w:rFonts w:ascii="Times New Roman" w:hAnsi="Times New Roman" w:cs="Times New Roman"/>
          <w:sz w:val="24"/>
          <w:szCs w:val="24"/>
        </w:rPr>
        <w:t>Darbdavio ir darbovietės lygmens kolektyvinėse sutartyse negali būti nustatyta palankesnių darbo apmokėjimo sąlygų, susijusių su papildomu valstybės biudžeto, savivaldybių biudžetų ir Valstybinio socialinio draudimo fondo biudžeto bei kitų valstybės įsteigtų pinigų fondų lėšų poreikiu</w:t>
      </w:r>
      <w:r w:rsidR="00025485" w:rsidRPr="007E01BA">
        <w:rPr>
          <w:rFonts w:ascii="Times New Roman" w:hAnsi="Times New Roman" w:cs="Times New Roman"/>
          <w:b/>
          <w:sz w:val="24"/>
          <w:szCs w:val="24"/>
        </w:rPr>
        <w:t xml:space="preserve">, išskyrus </w:t>
      </w:r>
      <w:r w:rsidR="00F9113D" w:rsidRPr="007E01BA">
        <w:rPr>
          <w:rFonts w:ascii="Times New Roman" w:hAnsi="Times New Roman" w:cs="Times New Roman"/>
          <w:b/>
          <w:sz w:val="24"/>
          <w:szCs w:val="24"/>
        </w:rPr>
        <w:t>darbdavio ir darbovietės lygmens kolektyvinėje sutartyje numatyt</w:t>
      </w:r>
      <w:r w:rsidR="00BA2EF7" w:rsidRPr="007E01BA">
        <w:rPr>
          <w:rFonts w:ascii="Times New Roman" w:hAnsi="Times New Roman" w:cs="Times New Roman"/>
          <w:b/>
          <w:sz w:val="24"/>
          <w:szCs w:val="24"/>
        </w:rPr>
        <w:t>us</w:t>
      </w:r>
      <w:r w:rsidR="00F9113D" w:rsidRPr="007E01BA">
        <w:rPr>
          <w:rFonts w:ascii="Times New Roman" w:hAnsi="Times New Roman" w:cs="Times New Roman"/>
          <w:b/>
          <w:sz w:val="24"/>
          <w:szCs w:val="24"/>
        </w:rPr>
        <w:t xml:space="preserve"> kitus atvejus</w:t>
      </w:r>
      <w:r w:rsidR="00BA2EF7" w:rsidRPr="007E01BA">
        <w:rPr>
          <w:rFonts w:ascii="Times New Roman" w:hAnsi="Times New Roman" w:cs="Times New Roman"/>
          <w:b/>
          <w:sz w:val="24"/>
          <w:szCs w:val="24"/>
        </w:rPr>
        <w:t>,</w:t>
      </w:r>
      <w:r w:rsidR="00F9113D" w:rsidRPr="007E01BA">
        <w:rPr>
          <w:rFonts w:ascii="Times New Roman" w:hAnsi="Times New Roman" w:cs="Times New Roman"/>
          <w:b/>
          <w:sz w:val="24"/>
          <w:szCs w:val="24"/>
        </w:rPr>
        <w:t xml:space="preserve"> </w:t>
      </w:r>
      <w:r w:rsidR="00BA2EF7" w:rsidRPr="007E01BA">
        <w:rPr>
          <w:rFonts w:ascii="Times New Roman" w:hAnsi="Times New Roman" w:cs="Times New Roman"/>
          <w:b/>
          <w:sz w:val="24"/>
          <w:szCs w:val="24"/>
        </w:rPr>
        <w:t xml:space="preserve">nei numatyta šio įstatymo 12 straipsnio 1 dalyje, </w:t>
      </w:r>
      <w:r w:rsidR="00DF4F2A" w:rsidRPr="007E01BA">
        <w:rPr>
          <w:rFonts w:ascii="Times New Roman" w:hAnsi="Times New Roman" w:cs="Times New Roman"/>
          <w:b/>
          <w:sz w:val="24"/>
          <w:szCs w:val="24"/>
        </w:rPr>
        <w:t xml:space="preserve">kuriais </w:t>
      </w:r>
      <w:r w:rsidR="00F9113D" w:rsidRPr="007E01BA">
        <w:rPr>
          <w:rFonts w:ascii="Times New Roman" w:hAnsi="Times New Roman" w:cs="Times New Roman"/>
          <w:b/>
          <w:sz w:val="24"/>
          <w:szCs w:val="24"/>
        </w:rPr>
        <w:t>skiri</w:t>
      </w:r>
      <w:r w:rsidR="00DF4F2A" w:rsidRPr="007E01BA">
        <w:rPr>
          <w:rFonts w:ascii="Times New Roman" w:hAnsi="Times New Roman" w:cs="Times New Roman"/>
          <w:b/>
          <w:sz w:val="24"/>
          <w:szCs w:val="24"/>
        </w:rPr>
        <w:t>ama</w:t>
      </w:r>
      <w:r w:rsidR="00F9113D" w:rsidRPr="007E01BA">
        <w:rPr>
          <w:rFonts w:ascii="Times New Roman" w:hAnsi="Times New Roman" w:cs="Times New Roman"/>
          <w:b/>
          <w:sz w:val="24"/>
          <w:szCs w:val="24"/>
        </w:rPr>
        <w:t xml:space="preserve"> premij</w:t>
      </w:r>
      <w:r w:rsidR="00DF4F2A" w:rsidRPr="007E01BA">
        <w:rPr>
          <w:rFonts w:ascii="Times New Roman" w:hAnsi="Times New Roman" w:cs="Times New Roman"/>
          <w:b/>
          <w:sz w:val="24"/>
          <w:szCs w:val="24"/>
        </w:rPr>
        <w:t>a</w:t>
      </w:r>
      <w:r w:rsidRPr="007E01BA">
        <w:rPr>
          <w:rFonts w:ascii="Times New Roman" w:hAnsi="Times New Roman" w:cs="Times New Roman"/>
          <w:sz w:val="24"/>
          <w:szCs w:val="24"/>
        </w:rPr>
        <w:t>.“</w:t>
      </w:r>
    </w:p>
    <w:p w14:paraId="4DC5619B" w14:textId="77777777" w:rsidR="00FA7A11" w:rsidRPr="007E01BA" w:rsidRDefault="00FA7A11" w:rsidP="002A6F30">
      <w:pPr>
        <w:spacing w:after="0" w:line="240" w:lineRule="auto"/>
        <w:ind w:firstLine="709"/>
        <w:jc w:val="both"/>
        <w:rPr>
          <w:rFonts w:ascii="Times New Roman" w:hAnsi="Times New Roman" w:cs="Times New Roman"/>
          <w:sz w:val="24"/>
          <w:szCs w:val="24"/>
        </w:rPr>
      </w:pPr>
    </w:p>
    <w:p w14:paraId="4DC5619C" w14:textId="77777777" w:rsidR="003357BA" w:rsidRPr="007E01BA" w:rsidRDefault="008C06E0" w:rsidP="005C3A6F">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7</w:t>
      </w:r>
      <w:r w:rsidR="003357BA" w:rsidRPr="007E01BA">
        <w:rPr>
          <w:rFonts w:ascii="Times New Roman" w:eastAsia="Times New Roman" w:hAnsi="Times New Roman" w:cs="Times New Roman"/>
          <w:b/>
          <w:sz w:val="24"/>
          <w:szCs w:val="24"/>
        </w:rPr>
        <w:t xml:space="preserve"> straipsnis. Įstatymo 1 priedo pakeitimas</w:t>
      </w:r>
    </w:p>
    <w:p w14:paraId="4DC5619D" w14:textId="77777777" w:rsidR="003357BA" w:rsidRPr="007E01BA" w:rsidRDefault="003357BA" w:rsidP="005C3A6F">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1 priedą ir jį išdėstyti taip:</w:t>
      </w:r>
    </w:p>
    <w:p w14:paraId="4DC5619E"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p>
    <w:p w14:paraId="4DC5619F"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Lietuvos Respublikos</w:t>
      </w:r>
    </w:p>
    <w:p w14:paraId="4DC561A0"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1A1"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1A2"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už darbą įstatymo </w:t>
      </w:r>
    </w:p>
    <w:p w14:paraId="4DC561A3" w14:textId="77777777" w:rsidR="003357BA" w:rsidRPr="007E01BA" w:rsidRDefault="003357BA" w:rsidP="003357BA">
      <w:pPr>
        <w:spacing w:after="0" w:line="240" w:lineRule="auto"/>
        <w:ind w:firstLine="5103"/>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priedas</w:t>
      </w:r>
    </w:p>
    <w:p w14:paraId="4DC561A4" w14:textId="77777777" w:rsidR="003357BA" w:rsidRPr="007E01BA" w:rsidRDefault="003357BA" w:rsidP="003357BA">
      <w:pPr>
        <w:spacing w:after="0" w:line="240" w:lineRule="auto"/>
        <w:ind w:left="567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A5"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 xml:space="preserve">VALSTYBĖS IR SAVIVALDYBIŲ ĮSTAIGŲ VADOVŲ IR JŲ PAVADUOTOJŲ PAREIGINĖS ALGOS PASTOVIOSIOS DALIES KOEFICIENTAI </w:t>
      </w:r>
    </w:p>
    <w:p w14:paraId="4DC561A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
          <w:bCs/>
          <w:sz w:val="24"/>
          <w:szCs w:val="24"/>
        </w:rPr>
        <w:t> </w:t>
      </w:r>
    </w:p>
    <w:p w14:paraId="4DC561A7" w14:textId="77777777" w:rsidR="003357BA" w:rsidRPr="007E01BA" w:rsidRDefault="003357BA" w:rsidP="003357BA">
      <w:pPr>
        <w:spacing w:after="0" w:line="240" w:lineRule="auto"/>
        <w:ind w:firstLine="7230"/>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Ind w:w="-3" w:type="dxa"/>
        <w:tblCellMar>
          <w:left w:w="0" w:type="dxa"/>
          <w:right w:w="0" w:type="dxa"/>
        </w:tblCellMar>
        <w:tblLook w:val="04A0" w:firstRow="1" w:lastRow="0" w:firstColumn="1" w:lastColumn="0" w:noHBand="0" w:noVBand="1"/>
      </w:tblPr>
      <w:tblGrid>
        <w:gridCol w:w="1979"/>
        <w:gridCol w:w="2584"/>
        <w:gridCol w:w="2296"/>
        <w:gridCol w:w="2497"/>
      </w:tblGrid>
      <w:tr w:rsidR="003357BA" w:rsidRPr="007E01BA" w14:paraId="4DC561AC" w14:textId="77777777" w:rsidTr="006026C3">
        <w:trPr>
          <w:cantSplit/>
          <w:trHeight w:val="835"/>
          <w:tblHeader/>
        </w:trPr>
        <w:tc>
          <w:tcPr>
            <w:tcW w:w="195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A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Valstybės ar savivaldybių įstaigų grupė</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1A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Vadovaujamo darbo</w:t>
            </w:r>
          </w:p>
          <w:p w14:paraId="4DC561A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patirtis (metais)</w:t>
            </w:r>
          </w:p>
        </w:tc>
        <w:tc>
          <w:tcPr>
            <w:tcW w:w="47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1A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Pastoviosios dalies koeficientai, jeigu pareigybės lygis A</w:t>
            </w:r>
          </w:p>
        </w:tc>
      </w:tr>
      <w:tr w:rsidR="003357BA" w:rsidRPr="007E01BA" w14:paraId="4DC561B1" w14:textId="77777777" w:rsidTr="006026C3">
        <w:trPr>
          <w:cantSplit/>
          <w:trHeight w:val="340"/>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1AD"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0" w:type="auto"/>
            <w:vMerge/>
            <w:tcBorders>
              <w:top w:val="single" w:sz="8" w:space="0" w:color="auto"/>
              <w:left w:val="nil"/>
              <w:bottom w:val="single" w:sz="8" w:space="0" w:color="auto"/>
              <w:right w:val="single" w:sz="8" w:space="0" w:color="auto"/>
            </w:tcBorders>
            <w:vAlign w:val="center"/>
            <w:hideMark/>
          </w:tcPr>
          <w:p w14:paraId="4DC561AE"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A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vadovų</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vadovų pavaduotojų</w:t>
            </w:r>
          </w:p>
        </w:tc>
      </w:tr>
      <w:tr w:rsidR="003357BA" w:rsidRPr="007E01BA" w14:paraId="4DC561B9" w14:textId="77777777" w:rsidTr="006026C3">
        <w:trPr>
          <w:cantSplit/>
          <w:trHeight w:val="453"/>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B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I grupė </w:t>
            </w:r>
          </w:p>
          <w:p w14:paraId="4DC561B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(201 ir daugiau </w:t>
            </w:r>
            <w:r w:rsidRPr="007E01BA">
              <w:rPr>
                <w:rFonts w:ascii="Times New Roman" w:eastAsia="Times New Roman" w:hAnsi="Times New Roman" w:cs="Times New Roman"/>
                <w:color w:val="000000"/>
                <w:sz w:val="24"/>
                <w:szCs w:val="24"/>
              </w:rPr>
              <w:lastRenderedPageBreak/>
              <w:t>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lastRenderedPageBreak/>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6,72–14,08</w:t>
            </w:r>
          </w:p>
          <w:p w14:paraId="4DC561B6"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7,1–14,1</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6,03–12,67</w:t>
            </w:r>
          </w:p>
          <w:p w14:paraId="4DC561B8"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6,4</w:t>
            </w:r>
            <w:r w:rsidR="003357BA" w:rsidRPr="007E01BA">
              <w:rPr>
                <w:rFonts w:ascii="Times New Roman" w:eastAsia="Times New Roman" w:hAnsi="Times New Roman" w:cs="Times New Roman"/>
                <w:b/>
                <w:color w:val="000000"/>
                <w:sz w:val="24"/>
                <w:szCs w:val="24"/>
              </w:rPr>
              <w:t>–12,7</w:t>
            </w:r>
          </w:p>
        </w:tc>
      </w:tr>
      <w:tr w:rsidR="003357BA" w:rsidRPr="007E01BA" w14:paraId="4DC561C0" w14:textId="77777777" w:rsidTr="006026C3">
        <w:trPr>
          <w:cantSplit/>
          <w:trHeight w:val="489"/>
        </w:trPr>
        <w:tc>
          <w:tcPr>
            <w:tcW w:w="0" w:type="auto"/>
            <w:vMerge/>
            <w:tcBorders>
              <w:top w:val="nil"/>
              <w:left w:val="single" w:sz="8" w:space="0" w:color="auto"/>
              <w:bottom w:val="single" w:sz="8" w:space="0" w:color="auto"/>
              <w:right w:val="single" w:sz="8" w:space="0" w:color="auto"/>
            </w:tcBorders>
            <w:vAlign w:val="center"/>
            <w:hideMark/>
          </w:tcPr>
          <w:p w14:paraId="4DC561BA"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6,86–14,41</w:t>
            </w:r>
          </w:p>
          <w:p w14:paraId="4DC561BD"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7,2–14,5</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B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6,09–12,97</w:t>
            </w:r>
          </w:p>
          <w:p w14:paraId="4DC561BF"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6,5</w:t>
            </w:r>
            <w:r w:rsidR="003357BA" w:rsidRPr="007E01BA">
              <w:rPr>
                <w:rFonts w:ascii="Times New Roman" w:eastAsia="Times New Roman" w:hAnsi="Times New Roman" w:cs="Times New Roman"/>
                <w:b/>
                <w:sz w:val="24"/>
                <w:szCs w:val="24"/>
              </w:rPr>
              <w:t>–13</w:t>
            </w:r>
          </w:p>
        </w:tc>
      </w:tr>
      <w:tr w:rsidR="003357BA" w:rsidRPr="007E01BA" w14:paraId="4DC561C7" w14:textId="77777777" w:rsidTr="006026C3">
        <w:trPr>
          <w:cantSplit/>
          <w:trHeight w:val="636"/>
        </w:trPr>
        <w:tc>
          <w:tcPr>
            <w:tcW w:w="0" w:type="auto"/>
            <w:vMerge/>
            <w:tcBorders>
              <w:top w:val="nil"/>
              <w:left w:val="single" w:sz="8" w:space="0" w:color="auto"/>
              <w:bottom w:val="single" w:sz="8" w:space="0" w:color="auto"/>
              <w:right w:val="single" w:sz="8" w:space="0" w:color="auto"/>
            </w:tcBorders>
            <w:vAlign w:val="center"/>
            <w:hideMark/>
          </w:tcPr>
          <w:p w14:paraId="4DC561C1"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7,0–14,74</w:t>
            </w:r>
          </w:p>
          <w:p w14:paraId="4DC561C4" w14:textId="77777777" w:rsidR="003357BA" w:rsidRPr="007E01BA" w:rsidRDefault="003357BA"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7,3–14,8</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6,27–13,53</w:t>
            </w:r>
          </w:p>
          <w:p w14:paraId="4DC561C6"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6,6</w:t>
            </w:r>
            <w:r w:rsidR="003357BA" w:rsidRPr="007E01BA">
              <w:rPr>
                <w:rFonts w:ascii="Times New Roman" w:eastAsia="Times New Roman" w:hAnsi="Times New Roman" w:cs="Times New Roman"/>
                <w:b/>
                <w:sz w:val="24"/>
                <w:szCs w:val="24"/>
              </w:rPr>
              <w:t>–13,6</w:t>
            </w:r>
          </w:p>
        </w:tc>
      </w:tr>
      <w:tr w:rsidR="003357BA" w:rsidRPr="007E01BA" w14:paraId="4DC561CF" w14:textId="77777777" w:rsidTr="006026C3">
        <w:trPr>
          <w:cantSplit/>
          <w:trHeight w:val="405"/>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C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II grupė </w:t>
            </w:r>
          </w:p>
          <w:p w14:paraId="4DC561C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(51–200 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6,44–13,64</w:t>
            </w:r>
          </w:p>
          <w:p w14:paraId="4DC561C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6,8–13,7</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C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5,96–12,28</w:t>
            </w:r>
          </w:p>
          <w:p w14:paraId="4DC561C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w:t>
            </w:r>
            <w:r w:rsidR="00B86C25" w:rsidRPr="007E01BA">
              <w:rPr>
                <w:rFonts w:ascii="Times New Roman" w:eastAsia="Times New Roman" w:hAnsi="Times New Roman" w:cs="Times New Roman"/>
                <w:b/>
                <w:color w:val="000000"/>
                <w:sz w:val="24"/>
                <w:szCs w:val="24"/>
              </w:rPr>
              <w:t>,2</w:t>
            </w:r>
            <w:r w:rsidRPr="007E01BA">
              <w:rPr>
                <w:rFonts w:ascii="Times New Roman" w:eastAsia="Times New Roman" w:hAnsi="Times New Roman" w:cs="Times New Roman"/>
                <w:b/>
                <w:color w:val="000000"/>
                <w:sz w:val="24"/>
                <w:szCs w:val="24"/>
              </w:rPr>
              <w:t>–12,3</w:t>
            </w:r>
          </w:p>
        </w:tc>
      </w:tr>
      <w:tr w:rsidR="003357BA" w:rsidRPr="007E01BA" w14:paraId="4DC561D6" w14:textId="77777777" w:rsidTr="006026C3">
        <w:trPr>
          <w:cantSplit/>
          <w:trHeight w:val="427"/>
        </w:trPr>
        <w:tc>
          <w:tcPr>
            <w:tcW w:w="0" w:type="auto"/>
            <w:vMerge/>
            <w:tcBorders>
              <w:top w:val="nil"/>
              <w:left w:val="single" w:sz="8" w:space="0" w:color="auto"/>
              <w:bottom w:val="single" w:sz="8" w:space="0" w:color="auto"/>
              <w:right w:val="single" w:sz="8" w:space="0" w:color="auto"/>
            </w:tcBorders>
            <w:vAlign w:val="center"/>
            <w:hideMark/>
          </w:tcPr>
          <w:p w14:paraId="4DC561D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2"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6,58–13,86</w:t>
            </w:r>
          </w:p>
          <w:p w14:paraId="4DC561D3"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6,9–13,9</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4"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6,0–12,47</w:t>
            </w:r>
          </w:p>
          <w:p w14:paraId="4DC561D5" w14:textId="77777777" w:rsidR="003357BA" w:rsidRPr="007E01BA" w:rsidRDefault="00B86C25"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6,3</w:t>
            </w:r>
            <w:r w:rsidR="003357BA" w:rsidRPr="007E01BA">
              <w:rPr>
                <w:rFonts w:ascii="Times New Roman" w:eastAsia="Times New Roman" w:hAnsi="Times New Roman" w:cs="Times New Roman"/>
                <w:b/>
                <w:color w:val="000000"/>
                <w:sz w:val="24"/>
                <w:szCs w:val="24"/>
              </w:rPr>
              <w:t>–12,5</w:t>
            </w:r>
          </w:p>
        </w:tc>
      </w:tr>
      <w:tr w:rsidR="003357BA" w:rsidRPr="007E01BA" w14:paraId="4DC561DD" w14:textId="77777777" w:rsidTr="006026C3">
        <w:trPr>
          <w:cantSplit/>
          <w:trHeight w:val="449"/>
        </w:trPr>
        <w:tc>
          <w:tcPr>
            <w:tcW w:w="0" w:type="auto"/>
            <w:vMerge/>
            <w:tcBorders>
              <w:top w:val="nil"/>
              <w:left w:val="single" w:sz="8" w:space="0" w:color="auto"/>
              <w:bottom w:val="single" w:sz="8" w:space="0" w:color="auto"/>
              <w:right w:val="single" w:sz="8" w:space="0" w:color="auto"/>
            </w:tcBorders>
            <w:vAlign w:val="center"/>
            <w:hideMark/>
          </w:tcPr>
          <w:p w14:paraId="4DC561D7"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6,72–14,08</w:t>
            </w:r>
          </w:p>
          <w:p w14:paraId="4DC561DA" w14:textId="0DE5391E"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7–14,1</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D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6,03–12,67</w:t>
            </w:r>
          </w:p>
          <w:p w14:paraId="4DC561DC"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6,4</w:t>
            </w:r>
            <w:r w:rsidR="003357BA" w:rsidRPr="007E01BA">
              <w:rPr>
                <w:rFonts w:ascii="Times New Roman" w:eastAsia="Times New Roman" w:hAnsi="Times New Roman" w:cs="Times New Roman"/>
                <w:b/>
                <w:color w:val="000000"/>
                <w:sz w:val="24"/>
                <w:szCs w:val="24"/>
              </w:rPr>
              <w:t>–12,7</w:t>
            </w:r>
          </w:p>
        </w:tc>
      </w:tr>
      <w:tr w:rsidR="003357BA" w:rsidRPr="007E01BA" w14:paraId="4DC561E5" w14:textId="77777777" w:rsidTr="006026C3">
        <w:trPr>
          <w:cantSplit/>
          <w:trHeight w:val="485"/>
        </w:trPr>
        <w:tc>
          <w:tcPr>
            <w:tcW w:w="195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1D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III grupė</w:t>
            </w:r>
          </w:p>
          <w:p w14:paraId="4DC561D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(50 ir mažiau pareigybių)</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6,16–13,2</w:t>
            </w:r>
          </w:p>
          <w:p w14:paraId="4DC561E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6,5–13,3</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5,77–11,88</w:t>
            </w:r>
          </w:p>
          <w:p w14:paraId="4DC561E4"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6,0</w:t>
            </w:r>
            <w:r w:rsidR="003357BA" w:rsidRPr="007E01BA">
              <w:rPr>
                <w:rFonts w:ascii="Times New Roman" w:eastAsia="Times New Roman" w:hAnsi="Times New Roman" w:cs="Times New Roman"/>
                <w:b/>
                <w:color w:val="000000"/>
                <w:sz w:val="24"/>
                <w:szCs w:val="24"/>
              </w:rPr>
              <w:t>–11,9</w:t>
            </w:r>
          </w:p>
        </w:tc>
      </w:tr>
      <w:tr w:rsidR="003357BA" w:rsidRPr="007E01BA" w14:paraId="4DC561EC" w14:textId="77777777" w:rsidTr="006026C3">
        <w:trPr>
          <w:cantSplit/>
          <w:trHeight w:val="507"/>
        </w:trPr>
        <w:tc>
          <w:tcPr>
            <w:tcW w:w="0" w:type="auto"/>
            <w:vMerge/>
            <w:tcBorders>
              <w:top w:val="nil"/>
              <w:left w:val="single" w:sz="8" w:space="0" w:color="auto"/>
              <w:bottom w:val="single" w:sz="8" w:space="0" w:color="auto"/>
              <w:right w:val="single" w:sz="8" w:space="0" w:color="auto"/>
            </w:tcBorders>
            <w:vAlign w:val="center"/>
            <w:hideMark/>
          </w:tcPr>
          <w:p w14:paraId="4DC561E6"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6,3–13,42</w:t>
            </w:r>
          </w:p>
          <w:p w14:paraId="4DC561E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6,6-13,5</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5,84–12,1</w:t>
            </w:r>
          </w:p>
          <w:p w14:paraId="4DC561EB" w14:textId="77777777"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w:t>
            </w:r>
            <w:r w:rsidR="003357BA" w:rsidRPr="007E01BA">
              <w:rPr>
                <w:rFonts w:ascii="Times New Roman" w:eastAsia="Times New Roman" w:hAnsi="Times New Roman" w:cs="Times New Roman"/>
                <w:b/>
                <w:color w:val="000000"/>
                <w:sz w:val="24"/>
                <w:szCs w:val="24"/>
              </w:rPr>
              <w:t>–12,2</w:t>
            </w:r>
          </w:p>
        </w:tc>
      </w:tr>
      <w:tr w:rsidR="003357BA" w:rsidRPr="007E01BA" w14:paraId="4DC561F3" w14:textId="77777777" w:rsidTr="006026C3">
        <w:trPr>
          <w:cantSplit/>
          <w:trHeight w:val="428"/>
        </w:trPr>
        <w:tc>
          <w:tcPr>
            <w:tcW w:w="0" w:type="auto"/>
            <w:vMerge/>
            <w:tcBorders>
              <w:top w:val="nil"/>
              <w:left w:val="single" w:sz="8" w:space="0" w:color="auto"/>
              <w:bottom w:val="single" w:sz="8" w:space="0" w:color="auto"/>
              <w:right w:val="single" w:sz="8" w:space="0" w:color="auto"/>
            </w:tcBorders>
            <w:vAlign w:val="center"/>
            <w:hideMark/>
          </w:tcPr>
          <w:p w14:paraId="4DC561ED"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E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6,44–13,64</w:t>
            </w:r>
          </w:p>
          <w:p w14:paraId="4DC561F0" w14:textId="77777777" w:rsidR="003357BA" w:rsidRPr="007E01BA" w:rsidRDefault="003357BA" w:rsidP="003357BA">
            <w:pPr>
              <w:spacing w:after="0" w:line="240" w:lineRule="auto"/>
              <w:jc w:val="center"/>
              <w:rPr>
                <w:rFonts w:ascii="Times New Roman" w:eastAsia="Times New Roman" w:hAnsi="Times New Roman" w:cs="Times New Roman"/>
                <w:b/>
                <w:color w:val="000000"/>
                <w:sz w:val="24"/>
                <w:szCs w:val="24"/>
              </w:rPr>
            </w:pPr>
            <w:r w:rsidRPr="007E01BA">
              <w:rPr>
                <w:rFonts w:ascii="Times New Roman" w:eastAsia="Times New Roman" w:hAnsi="Times New Roman" w:cs="Times New Roman"/>
                <w:b/>
                <w:color w:val="000000"/>
                <w:sz w:val="24"/>
                <w:szCs w:val="24"/>
              </w:rPr>
              <w:t>6,7–13,7</w:t>
            </w:r>
          </w:p>
        </w:tc>
        <w:tc>
          <w:tcPr>
            <w:tcW w:w="24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1F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5,93–12,28</w:t>
            </w:r>
          </w:p>
          <w:p w14:paraId="4DC561F2" w14:textId="49232370" w:rsidR="003357BA" w:rsidRPr="007E01BA" w:rsidRDefault="00B86C25"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w:t>
            </w:r>
            <w:r w:rsidR="003357BA" w:rsidRPr="007E01BA">
              <w:rPr>
                <w:rFonts w:ascii="Times New Roman" w:eastAsia="Times New Roman" w:hAnsi="Times New Roman" w:cs="Times New Roman"/>
                <w:b/>
                <w:color w:val="000000"/>
                <w:sz w:val="24"/>
                <w:szCs w:val="24"/>
              </w:rPr>
              <w:t>–12,3</w:t>
            </w:r>
            <w:r w:rsidR="00FA7A11"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1F4" w14:textId="77777777" w:rsidR="003357BA" w:rsidRPr="007E01BA" w:rsidRDefault="003357BA" w:rsidP="003357BA">
      <w:pPr>
        <w:spacing w:after="0" w:line="240" w:lineRule="auto"/>
        <w:ind w:left="5761" w:firstLine="519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5"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6" w14:textId="77777777" w:rsidR="003357BA" w:rsidRPr="007E01BA" w:rsidRDefault="008C06E0" w:rsidP="005C3A6F">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8</w:t>
      </w:r>
      <w:r w:rsidR="003357BA" w:rsidRPr="007E01BA">
        <w:rPr>
          <w:rFonts w:ascii="Times New Roman" w:eastAsia="Times New Roman" w:hAnsi="Times New Roman" w:cs="Times New Roman"/>
          <w:b/>
          <w:sz w:val="24"/>
          <w:szCs w:val="24"/>
        </w:rPr>
        <w:t xml:space="preserve"> straipsnis. Įstatymo 2 priedo pakeitimas</w:t>
      </w:r>
    </w:p>
    <w:p w14:paraId="4DC561F7" w14:textId="77777777" w:rsidR="003357BA" w:rsidRPr="007E01BA" w:rsidRDefault="003357BA" w:rsidP="005C3A6F">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2 priedą ir jį išdėstyti taip:</w:t>
      </w:r>
    </w:p>
    <w:p w14:paraId="4DC561F8"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p>
    <w:p w14:paraId="4DC561F9"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Lietuvos Respublikos</w:t>
      </w:r>
    </w:p>
    <w:p w14:paraId="4DC561FA"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1FB"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1FC"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už darbą įstatymo</w:t>
      </w:r>
    </w:p>
    <w:p w14:paraId="4DC561FD" w14:textId="77777777" w:rsidR="003357BA" w:rsidRPr="007E01BA" w:rsidRDefault="003357BA" w:rsidP="003357BA">
      <w:pPr>
        <w:spacing w:after="0" w:line="240" w:lineRule="auto"/>
        <w:ind w:firstLine="5103"/>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2 priedas</w:t>
      </w:r>
    </w:p>
    <w:p w14:paraId="4DC561FE" w14:textId="77777777" w:rsidR="003357BA" w:rsidRPr="007E01BA" w:rsidRDefault="003357BA" w:rsidP="003357BA">
      <w:pPr>
        <w:spacing w:after="0" w:line="36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1FF"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IR JŲ PAVADUOTOJŲ PAREIGINĖS ALGOS PASTOVIOSIOS DALIES KOEFICIENTAI</w:t>
      </w:r>
    </w:p>
    <w:p w14:paraId="4DC56200" w14:textId="77777777" w:rsidR="003357BA" w:rsidRPr="007E01BA" w:rsidRDefault="003357BA" w:rsidP="003357BA">
      <w:pPr>
        <w:spacing w:after="0" w:line="36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01"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I SKYRIUS</w:t>
      </w:r>
    </w:p>
    <w:p w14:paraId="4DC56202"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PAREIGINĖS ALGOS PASTOVIOSIOS DALIES KOEFICIENTAI</w:t>
      </w:r>
    </w:p>
    <w:p w14:paraId="4DC56203"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04" w14:textId="77777777" w:rsidR="003357BA" w:rsidRPr="007E01BA" w:rsidRDefault="003357BA" w:rsidP="003357BA">
      <w:pPr>
        <w:spacing w:after="0" w:line="240" w:lineRule="auto"/>
        <w:ind w:firstLine="7371"/>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2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11"/>
        <w:gridCol w:w="1305"/>
        <w:gridCol w:w="1314"/>
        <w:gridCol w:w="1312"/>
        <w:gridCol w:w="1259"/>
        <w:gridCol w:w="1104"/>
        <w:gridCol w:w="1310"/>
      </w:tblGrid>
      <w:tr w:rsidR="003357BA" w:rsidRPr="007E01BA" w14:paraId="4DC56207" w14:textId="77777777" w:rsidTr="006026C3">
        <w:trPr>
          <w:trHeight w:val="340"/>
        </w:trPr>
        <w:tc>
          <w:tcPr>
            <w:tcW w:w="87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05" w14:textId="77777777" w:rsidR="003357BA" w:rsidRPr="007E01BA" w:rsidRDefault="003357BA" w:rsidP="003357BA">
            <w:pPr>
              <w:spacing w:after="0" w:line="240" w:lineRule="auto"/>
              <w:ind w:firstLine="48"/>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Vadovaujamo darbo patirtis (metais)</w:t>
            </w:r>
          </w:p>
        </w:tc>
        <w:tc>
          <w:tcPr>
            <w:tcW w:w="4126"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0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r>
      <w:tr w:rsidR="003357BA" w:rsidRPr="007E01BA" w14:paraId="4DC5620B" w14:textId="77777777" w:rsidTr="006026C3">
        <w:trPr>
          <w:trHeight w:val="340"/>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08"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A</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w:t>
            </w:r>
          </w:p>
        </w:tc>
      </w:tr>
      <w:tr w:rsidR="003357BA" w:rsidRPr="007E01BA" w14:paraId="4DC5620F" w14:textId="77777777" w:rsidTr="006026C3">
        <w:trPr>
          <w:trHeight w:val="340"/>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0C"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3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c>
          <w:tcPr>
            <w:tcW w:w="199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0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17" w14:textId="77777777" w:rsidTr="006026C3">
        <w:trPr>
          <w:trHeight w:val="1144"/>
        </w:trPr>
        <w:tc>
          <w:tcPr>
            <w:tcW w:w="874" w:type="pct"/>
            <w:vMerge/>
            <w:tcBorders>
              <w:top w:val="single" w:sz="8" w:space="0" w:color="auto"/>
              <w:left w:val="single" w:sz="8" w:space="0" w:color="auto"/>
              <w:bottom w:val="single" w:sz="8" w:space="0" w:color="auto"/>
              <w:right w:val="single" w:sz="8" w:space="0" w:color="auto"/>
            </w:tcBorders>
            <w:vAlign w:val="center"/>
            <w:hideMark/>
          </w:tcPr>
          <w:p w14:paraId="4DC5621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25" w14:textId="77777777" w:rsidTr="006026C3">
        <w:trPr>
          <w:trHeight w:val="547"/>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1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5</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5,04–10,45</w:t>
            </w:r>
          </w:p>
          <w:p w14:paraId="4DC5621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5,9–10,5</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5,18–10,67</w:t>
            </w:r>
          </w:p>
          <w:p w14:paraId="4DC5621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6,0–10,7</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5,32–11,75</w:t>
            </w:r>
          </w:p>
          <w:p w14:paraId="4DC5621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6,1–12,0</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1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4,76–9,77</w:t>
            </w:r>
          </w:p>
          <w:p w14:paraId="4DC5622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4,8–9,8</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1" w14:textId="77777777" w:rsidR="003357BA" w:rsidRPr="007E01BA" w:rsidRDefault="003357BA" w:rsidP="003357BA">
            <w:pPr>
              <w:spacing w:after="0" w:line="240" w:lineRule="auto"/>
              <w:ind w:left="-109" w:right="33" w:hanging="1"/>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4,97–9,96</w:t>
            </w:r>
          </w:p>
          <w:p w14:paraId="4DC56222" w14:textId="77777777" w:rsidR="003357BA" w:rsidRPr="007E01BA" w:rsidRDefault="003357BA" w:rsidP="003357BA">
            <w:pPr>
              <w:spacing w:after="0" w:line="240" w:lineRule="auto"/>
              <w:ind w:left="-109" w:right="33" w:hanging="1"/>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5–10</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2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r>
      <w:tr w:rsidR="003357BA" w:rsidRPr="007E01BA" w14:paraId="4DC56233" w14:textId="77777777" w:rsidTr="006026C3">
        <w:trPr>
          <w:trHeight w:val="659"/>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2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5,18–10,51</w:t>
            </w:r>
          </w:p>
          <w:p w14:paraId="4DC56228"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6,0–10,6</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5,32–10,89</w:t>
            </w:r>
          </w:p>
          <w:p w14:paraId="4DC5622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6,1–10,9</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5,46–11,8</w:t>
            </w:r>
          </w:p>
          <w:p w14:paraId="4DC5622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6,2–12,1</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4,97–9,96</w:t>
            </w:r>
          </w:p>
          <w:p w14:paraId="4DC5622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5–10</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2F" w14:textId="77777777" w:rsidR="003357BA" w:rsidRPr="007E01BA" w:rsidRDefault="003357BA" w:rsidP="003357BA">
            <w:pPr>
              <w:spacing w:after="0" w:line="240" w:lineRule="auto"/>
              <w:ind w:right="33"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30" w14:textId="77777777" w:rsidR="003357BA" w:rsidRPr="007E01BA" w:rsidRDefault="003357BA" w:rsidP="003357BA">
            <w:pPr>
              <w:spacing w:after="0" w:line="240" w:lineRule="auto"/>
              <w:ind w:right="33"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5,24–10,35</w:t>
            </w:r>
          </w:p>
          <w:p w14:paraId="4DC5623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5,3–10,4</w:t>
            </w:r>
          </w:p>
        </w:tc>
      </w:tr>
      <w:tr w:rsidR="003357BA" w:rsidRPr="007E01BA" w14:paraId="4DC56242" w14:textId="77777777" w:rsidTr="006026C3">
        <w:trPr>
          <w:trHeight w:val="645"/>
        </w:trPr>
        <w:tc>
          <w:tcPr>
            <w:tcW w:w="87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3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w:t>
            </w:r>
          </w:p>
          <w:p w14:paraId="4DC5623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kaip 10</w:t>
            </w:r>
          </w:p>
        </w:tc>
        <w:tc>
          <w:tcPr>
            <w:tcW w:w="70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6"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5,32–10,56</w:t>
            </w:r>
          </w:p>
          <w:p w14:paraId="4DC56237"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6,1–10,7</w:t>
            </w:r>
          </w:p>
        </w:tc>
        <w:tc>
          <w:tcPr>
            <w:tcW w:w="71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5,46–11,11</w:t>
            </w:r>
          </w:p>
          <w:p w14:paraId="4DC5623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6,2–11,2</w:t>
            </w:r>
          </w:p>
        </w:tc>
        <w:tc>
          <w:tcPr>
            <w:tcW w:w="71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5,6–12,1</w:t>
            </w:r>
          </w:p>
          <w:p w14:paraId="4DC5623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6,3–12,2</w:t>
            </w:r>
          </w:p>
        </w:tc>
        <w:tc>
          <w:tcPr>
            <w:tcW w:w="6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C"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5,11–10,15</w:t>
            </w:r>
          </w:p>
          <w:p w14:paraId="4DC5623D"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5,2–10,2</w:t>
            </w:r>
          </w:p>
        </w:tc>
        <w:tc>
          <w:tcPr>
            <w:tcW w:w="5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3E"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5,24–10,35</w:t>
            </w:r>
          </w:p>
          <w:p w14:paraId="4DC5623F"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5,3–10,4</w:t>
            </w:r>
          </w:p>
        </w:tc>
        <w:tc>
          <w:tcPr>
            <w:tcW w:w="71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5,38–10,55</w:t>
            </w:r>
          </w:p>
          <w:p w14:paraId="4DC56241"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5,4–10,6</w:t>
            </w:r>
          </w:p>
        </w:tc>
      </w:tr>
    </w:tbl>
    <w:p w14:paraId="4DC56243" w14:textId="77777777" w:rsidR="003357BA" w:rsidRPr="007E01BA" w:rsidRDefault="003357BA" w:rsidP="003357BA">
      <w:pPr>
        <w:spacing w:after="0" w:line="240" w:lineRule="auto"/>
        <w:rPr>
          <w:rFonts w:ascii="Times New Roman" w:eastAsia="Times New Roman" w:hAnsi="Times New Roman" w:cs="Times New Roman"/>
          <w:sz w:val="24"/>
          <w:szCs w:val="24"/>
        </w:rPr>
      </w:pPr>
      <w:r w:rsidRPr="007E01BA">
        <w:rPr>
          <w:rFonts w:ascii="Times New Roman" w:eastAsia="Times New Roman" w:hAnsi="Times New Roman" w:cs="Times New Roman"/>
          <w:b/>
          <w:bCs/>
          <w:sz w:val="24"/>
          <w:szCs w:val="24"/>
        </w:rPr>
        <w:t> </w:t>
      </w:r>
    </w:p>
    <w:p w14:paraId="4DC56244"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II SKYRIUS</w:t>
      </w:r>
    </w:p>
    <w:p w14:paraId="4DC56245"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ADMINISTRACIJOS IR STRUKTŪRINIŲ PADALINIŲ VADOVŲ PAVADUOTOJŲ PAREIGINĖS ALGOS PASTOVIOSIOS DALIES KOEFICIENTAI</w:t>
      </w:r>
    </w:p>
    <w:p w14:paraId="4DC56246" w14:textId="77777777" w:rsidR="003357BA" w:rsidRPr="007E01BA" w:rsidRDefault="003357BA" w:rsidP="003357BA">
      <w:pPr>
        <w:spacing w:after="0" w:line="240" w:lineRule="auto"/>
        <w:ind w:firstLine="7371"/>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6"/>
        <w:gridCol w:w="1277"/>
        <w:gridCol w:w="1417"/>
        <w:gridCol w:w="1277"/>
        <w:gridCol w:w="1136"/>
        <w:gridCol w:w="1329"/>
        <w:gridCol w:w="1228"/>
      </w:tblGrid>
      <w:tr w:rsidR="003357BA" w:rsidRPr="007E01BA" w14:paraId="4DC56249" w14:textId="77777777" w:rsidTr="006026C3">
        <w:trPr>
          <w:trHeight w:val="340"/>
        </w:trPr>
        <w:tc>
          <w:tcPr>
            <w:tcW w:w="90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4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Vadovaujamo darbo patirtis (metais)</w:t>
            </w:r>
          </w:p>
        </w:tc>
        <w:tc>
          <w:tcPr>
            <w:tcW w:w="4094" w:type="pct"/>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4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Pareigybės lygis</w:t>
            </w:r>
          </w:p>
        </w:tc>
      </w:tr>
      <w:tr w:rsidR="003357BA" w:rsidRPr="007E01BA" w14:paraId="4DC5624D"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4A"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2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A</w:t>
            </w:r>
          </w:p>
        </w:tc>
        <w:tc>
          <w:tcPr>
            <w:tcW w:w="197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C"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B</w:t>
            </w:r>
          </w:p>
        </w:tc>
      </w:tr>
      <w:tr w:rsidR="003357BA" w:rsidRPr="007E01BA" w14:paraId="4DC56251"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4E"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12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4F"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profesinio darbo patirtis (metais)</w:t>
            </w:r>
          </w:p>
        </w:tc>
        <w:tc>
          <w:tcPr>
            <w:tcW w:w="197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0"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profesinio darbo patirtis (metais)</w:t>
            </w:r>
          </w:p>
        </w:tc>
      </w:tr>
      <w:tr w:rsidR="003357BA" w:rsidRPr="007E01BA" w14:paraId="4DC56259" w14:textId="77777777" w:rsidTr="006026C3">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52"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3"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7" w14:textId="77777777" w:rsidR="003357BA" w:rsidRPr="007E01BA" w:rsidRDefault="003357BA" w:rsidP="003357BA">
            <w:pPr>
              <w:spacing w:after="0" w:line="240" w:lineRule="auto"/>
              <w:ind w:left="-108"/>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r>
      <w:tr w:rsidR="003357BA" w:rsidRPr="007E01BA" w14:paraId="4DC56267"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5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iki 5</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4,76–9,4</w:t>
            </w:r>
          </w:p>
          <w:p w14:paraId="4DC5625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5,4–9,5</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D"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4,89–10,5</w:t>
            </w:r>
          </w:p>
          <w:p w14:paraId="4DC5625E"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5,5–10,6</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5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5,04–11,7</w:t>
            </w:r>
          </w:p>
          <w:p w14:paraId="4DC5626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5,6–11,8</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1" w14:textId="77777777" w:rsidR="003357BA" w:rsidRPr="007E01BA" w:rsidRDefault="003357BA" w:rsidP="003357BA">
            <w:pPr>
              <w:spacing w:after="0" w:line="240" w:lineRule="auto"/>
              <w:ind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4,68–8,8</w:t>
            </w:r>
          </w:p>
          <w:p w14:paraId="4DC56262" w14:textId="77777777" w:rsidR="003357BA" w:rsidRPr="007E01BA" w:rsidRDefault="003357BA" w:rsidP="003357BA">
            <w:pPr>
              <w:spacing w:after="0" w:line="240" w:lineRule="auto"/>
              <w:ind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4,7–8,9</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4,76–8,97</w:t>
            </w:r>
          </w:p>
          <w:p w14:paraId="4DC5626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4,8–9</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5"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66"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r>
      <w:tr w:rsidR="003357BA" w:rsidRPr="007E01BA" w14:paraId="4DC56275"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6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nuo daugiau kaip 5 iki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4,89–9,16</w:t>
            </w:r>
          </w:p>
          <w:p w14:paraId="4DC5626A" w14:textId="77777777" w:rsidR="003357BA" w:rsidRPr="007E01BA" w:rsidRDefault="003357BA" w:rsidP="003357BA">
            <w:pPr>
              <w:spacing w:after="0" w:line="240" w:lineRule="auto"/>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5,5–9,6</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B"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5,04–10,55</w:t>
            </w:r>
          </w:p>
          <w:p w14:paraId="4DC5626C"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5,6–10,7</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D" w14:textId="77777777" w:rsidR="003357BA" w:rsidRPr="007E01BA" w:rsidRDefault="003357BA" w:rsidP="003357BA">
            <w:pPr>
              <w:spacing w:after="0" w:line="240" w:lineRule="auto"/>
              <w:ind w:hanging="107"/>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5,18–11,75</w:t>
            </w:r>
          </w:p>
          <w:p w14:paraId="4DC5626E" w14:textId="77777777" w:rsidR="003357BA" w:rsidRPr="007E01BA" w:rsidRDefault="003357BA" w:rsidP="003357BA">
            <w:pPr>
              <w:spacing w:after="0" w:line="240" w:lineRule="auto"/>
              <w:ind w:hanging="107"/>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5,7–11,9</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6F" w14:textId="77777777" w:rsidR="003357BA" w:rsidRPr="007E01BA" w:rsidRDefault="003357BA" w:rsidP="003357BA">
            <w:pPr>
              <w:spacing w:after="0" w:line="240" w:lineRule="auto"/>
              <w:ind w:right="-191"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4,76–8,9</w:t>
            </w:r>
          </w:p>
          <w:p w14:paraId="4DC56270" w14:textId="77777777" w:rsidR="003357BA" w:rsidRPr="007E01BA" w:rsidRDefault="003357BA" w:rsidP="003357BA">
            <w:pPr>
              <w:spacing w:after="0" w:line="240" w:lineRule="auto"/>
              <w:ind w:right="-191"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4,8–9</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72"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3"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4,97–9,31</w:t>
            </w:r>
          </w:p>
          <w:p w14:paraId="4DC56274"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5–9,4</w:t>
            </w:r>
          </w:p>
        </w:tc>
      </w:tr>
      <w:tr w:rsidR="003357BA" w:rsidRPr="007E01BA" w14:paraId="4DC56283" w14:textId="77777777" w:rsidTr="006026C3">
        <w:trPr>
          <w:trHeight w:val="670"/>
        </w:trPr>
        <w:tc>
          <w:tcPr>
            <w:tcW w:w="90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7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3"/>
                <w:szCs w:val="23"/>
              </w:rPr>
              <w:t>daugiau kaip 10</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7"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5,04–9,34</w:t>
            </w:r>
          </w:p>
          <w:p w14:paraId="4DC56278"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5,6–9,7</w:t>
            </w:r>
          </w:p>
        </w:tc>
        <w:tc>
          <w:tcPr>
            <w:tcW w:w="7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9"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5,18–10,6</w:t>
            </w:r>
          </w:p>
          <w:p w14:paraId="4DC5627A"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5,7–10,8</w:t>
            </w:r>
          </w:p>
        </w:tc>
        <w:tc>
          <w:tcPr>
            <w:tcW w:w="68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B" w14:textId="77777777" w:rsidR="003357BA" w:rsidRPr="007E01BA" w:rsidRDefault="003357BA" w:rsidP="003357BA">
            <w:pPr>
              <w:spacing w:after="0" w:line="240" w:lineRule="auto"/>
              <w:ind w:hanging="107"/>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5,32–11,88</w:t>
            </w:r>
          </w:p>
          <w:p w14:paraId="4DC5627C" w14:textId="77777777" w:rsidR="003357BA" w:rsidRPr="007E01BA" w:rsidRDefault="003357BA" w:rsidP="003357BA">
            <w:pPr>
              <w:spacing w:after="0" w:line="240" w:lineRule="auto"/>
              <w:ind w:hanging="107"/>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5,8–12,0</w:t>
            </w:r>
          </w:p>
        </w:tc>
        <w:tc>
          <w:tcPr>
            <w:tcW w:w="60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D" w14:textId="77777777" w:rsidR="003357BA" w:rsidRPr="007E01BA" w:rsidRDefault="003357BA" w:rsidP="003357BA">
            <w:pPr>
              <w:spacing w:after="0" w:line="240" w:lineRule="auto"/>
              <w:ind w:right="-191" w:hanging="109"/>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4,82–9,13</w:t>
            </w:r>
          </w:p>
          <w:p w14:paraId="4DC5627E" w14:textId="77777777" w:rsidR="003357BA" w:rsidRPr="007E01BA" w:rsidRDefault="003357BA" w:rsidP="003357BA">
            <w:pPr>
              <w:spacing w:after="0" w:line="240" w:lineRule="auto"/>
              <w:ind w:right="-191" w:hanging="109"/>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4,9–9,2</w:t>
            </w:r>
          </w:p>
        </w:tc>
        <w:tc>
          <w:tcPr>
            <w:tcW w:w="7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7F"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4,97–9,32</w:t>
            </w:r>
          </w:p>
          <w:p w14:paraId="4DC56280"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5–9,4</w:t>
            </w:r>
          </w:p>
        </w:tc>
        <w:tc>
          <w:tcPr>
            <w:tcW w:w="65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81"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3"/>
                <w:szCs w:val="23"/>
              </w:rPr>
            </w:pPr>
            <w:r w:rsidRPr="007E01BA">
              <w:rPr>
                <w:rFonts w:ascii="Times New Roman" w:eastAsia="Times New Roman" w:hAnsi="Times New Roman" w:cs="Times New Roman"/>
                <w:strike/>
                <w:color w:val="000000"/>
                <w:sz w:val="23"/>
                <w:szCs w:val="23"/>
              </w:rPr>
              <w:t>5,11–9,46</w:t>
            </w:r>
          </w:p>
          <w:p w14:paraId="4DC56282" w14:textId="0E2F56D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3"/>
                <w:szCs w:val="23"/>
              </w:rPr>
              <w:t>5,2–9,5</w:t>
            </w:r>
            <w:r w:rsidR="00FA7A11" w:rsidRPr="007E01BA">
              <w:rPr>
                <w:rFonts w:ascii="Times New Roman" w:eastAsia="Times New Roman" w:hAnsi="Times New Roman" w:cs="Times New Roman"/>
                <w:b/>
                <w:color w:val="000000"/>
                <w:sz w:val="23"/>
                <w:szCs w:val="23"/>
              </w:rPr>
              <w:t>“</w:t>
            </w:r>
            <w:r w:rsidR="00B4408E" w:rsidRPr="007E01BA">
              <w:rPr>
                <w:rFonts w:ascii="Times New Roman" w:eastAsia="Times New Roman" w:hAnsi="Times New Roman" w:cs="Times New Roman"/>
                <w:b/>
                <w:color w:val="000000"/>
                <w:sz w:val="23"/>
                <w:szCs w:val="23"/>
              </w:rPr>
              <w:t>.</w:t>
            </w:r>
            <w:r w:rsidRPr="007E01BA">
              <w:rPr>
                <w:rFonts w:ascii="Times New Roman" w:eastAsia="Times New Roman" w:hAnsi="Times New Roman" w:cs="Times New Roman"/>
                <w:b/>
                <w:color w:val="000000"/>
                <w:sz w:val="23"/>
                <w:szCs w:val="23"/>
              </w:rPr>
              <w:t xml:space="preserve"> </w:t>
            </w:r>
          </w:p>
        </w:tc>
      </w:tr>
    </w:tbl>
    <w:p w14:paraId="4DC56284" w14:textId="77777777" w:rsidR="003357BA" w:rsidRPr="007E01BA" w:rsidRDefault="003357BA" w:rsidP="003357BA">
      <w:pPr>
        <w:spacing w:after="0" w:line="240" w:lineRule="auto"/>
        <w:ind w:firstLine="5761"/>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5" w14:textId="77777777" w:rsidR="003357BA" w:rsidRPr="007E01BA" w:rsidRDefault="003357BA" w:rsidP="003357BA">
      <w:pPr>
        <w:spacing w:after="0" w:line="240" w:lineRule="auto"/>
        <w:ind w:left="4536" w:firstLine="113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6" w14:textId="77777777" w:rsidR="003357BA" w:rsidRPr="007E01BA" w:rsidRDefault="008C06E0" w:rsidP="004A23A8">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9</w:t>
      </w:r>
      <w:r w:rsidR="003357BA" w:rsidRPr="007E01BA">
        <w:rPr>
          <w:rFonts w:ascii="Times New Roman" w:eastAsia="Times New Roman" w:hAnsi="Times New Roman" w:cs="Times New Roman"/>
          <w:b/>
          <w:sz w:val="24"/>
          <w:szCs w:val="24"/>
        </w:rPr>
        <w:t xml:space="preserve"> straipsnis. Įstatymo 3 priedo pakeitimas</w:t>
      </w:r>
    </w:p>
    <w:p w14:paraId="4DC56287" w14:textId="77777777" w:rsidR="003357BA" w:rsidRPr="007E01BA" w:rsidRDefault="003357BA"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3 priedą ir jį išdėstyti taip:</w:t>
      </w:r>
    </w:p>
    <w:p w14:paraId="4DC56288"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 xml:space="preserve">Lietuvos Respublikos </w:t>
      </w:r>
    </w:p>
    <w:p w14:paraId="4DC56289"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28A"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28B"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už darbą įstatymo</w:t>
      </w:r>
    </w:p>
    <w:p w14:paraId="4DC5628C"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3 priedas</w:t>
      </w:r>
    </w:p>
    <w:p w14:paraId="4DC5628D" w14:textId="77777777" w:rsidR="003357BA" w:rsidRPr="007E01BA" w:rsidRDefault="003357BA" w:rsidP="003357BA">
      <w:pPr>
        <w:spacing w:after="0" w:line="240" w:lineRule="auto"/>
        <w:ind w:firstLine="5761"/>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8E"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DARBUOTOJŲ, SU KURIAIS SUDARYTOS SUTARTYS DĖL MENTORYSTĖS, IR SPECIALISTŲ PAREIGINĖS ALGOS PASTOVIOSIOS DALIES KOEFICIENTAI</w:t>
      </w:r>
    </w:p>
    <w:p w14:paraId="4DC5628F" w14:textId="77777777" w:rsidR="003357BA" w:rsidRPr="007E01BA" w:rsidRDefault="003357BA" w:rsidP="003357BA">
      <w:pPr>
        <w:spacing w:after="0" w:line="24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lastRenderedPageBreak/>
        <w:t> </w:t>
      </w:r>
    </w:p>
    <w:p w14:paraId="4DC56290" w14:textId="77777777" w:rsidR="003357BA" w:rsidRPr="007E01BA" w:rsidRDefault="003357BA" w:rsidP="003357BA">
      <w:pPr>
        <w:spacing w:after="0" w:line="240" w:lineRule="auto"/>
        <w:ind w:firstLine="7230"/>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3357BA" w:rsidRPr="007E01BA" w14:paraId="4DC56293" w14:textId="77777777" w:rsidTr="006026C3">
        <w:trPr>
          <w:trHeight w:val="340"/>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9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c>
          <w:tcPr>
            <w:tcW w:w="76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92"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Pastoviosios dalies koeficientai </w:t>
            </w:r>
          </w:p>
        </w:tc>
      </w:tr>
      <w:tr w:rsidR="003357BA" w:rsidRPr="007E01BA" w14:paraId="4DC56296"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94"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6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9C" w14:textId="77777777" w:rsidTr="006026C3">
        <w:trPr>
          <w:trHeight w:val="836"/>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97"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8"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2</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2 iki 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A"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B"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A6" w14:textId="77777777" w:rsidTr="006026C3">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9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A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9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4,7–8,36</w:t>
            </w:r>
          </w:p>
          <w:p w14:paraId="4DC5629F" w14:textId="2DCCF5C3"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5–8,4</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4,73–9,35</w:t>
            </w:r>
          </w:p>
          <w:p w14:paraId="4DC562A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
                <w:color w:val="000000"/>
                <w:sz w:val="24"/>
                <w:szCs w:val="24"/>
              </w:rPr>
              <w:t>5,1–9,4</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2"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4,8–10,45</w:t>
            </w:r>
          </w:p>
          <w:p w14:paraId="4DC562A3"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5,2–10,5</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4"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5,01–11,55</w:t>
            </w:r>
          </w:p>
          <w:p w14:paraId="4DC562A5"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5,3–11,6</w:t>
            </w:r>
          </w:p>
        </w:tc>
      </w:tr>
      <w:tr w:rsidR="003357BA" w:rsidRPr="007E01BA" w14:paraId="4DC562B0" w14:textId="77777777" w:rsidTr="006026C3">
        <w:trPr>
          <w:trHeight w:val="67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A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8"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4,3–8,03</w:t>
            </w:r>
          </w:p>
          <w:p w14:paraId="4DC562A9"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4,6–8,1</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4,35–8,14</w:t>
            </w:r>
          </w:p>
          <w:p w14:paraId="4DC562A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4,7–8,2</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4,43–8,36</w:t>
            </w:r>
          </w:p>
          <w:p w14:paraId="4DC562AD"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4,8–8,4</w:t>
            </w:r>
          </w:p>
        </w:tc>
        <w:tc>
          <w:tcPr>
            <w:tcW w:w="1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A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4,49–8,8</w:t>
            </w:r>
          </w:p>
          <w:p w14:paraId="4DC562AF" w14:textId="34752C40"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4,9–8,9</w:t>
            </w:r>
            <w:r w:rsidR="00FA7A11"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2B1" w14:textId="77777777" w:rsidR="003357BA" w:rsidRPr="007E01BA" w:rsidRDefault="003357BA" w:rsidP="003357BA">
      <w:pPr>
        <w:spacing w:after="0" w:line="240" w:lineRule="auto"/>
        <w:ind w:left="4536" w:firstLine="1134"/>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2" w14:textId="77777777" w:rsidR="003357BA" w:rsidRPr="007E01BA" w:rsidRDefault="00253190" w:rsidP="004A23A8">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1</w:t>
      </w:r>
      <w:r w:rsidR="008C06E0" w:rsidRPr="007E01BA">
        <w:rPr>
          <w:rFonts w:ascii="Times New Roman" w:eastAsia="Times New Roman" w:hAnsi="Times New Roman" w:cs="Times New Roman"/>
          <w:b/>
          <w:sz w:val="24"/>
          <w:szCs w:val="24"/>
        </w:rPr>
        <w:t>0</w:t>
      </w:r>
      <w:r w:rsidR="003357BA" w:rsidRPr="007E01BA">
        <w:rPr>
          <w:rFonts w:ascii="Times New Roman" w:eastAsia="Times New Roman" w:hAnsi="Times New Roman" w:cs="Times New Roman"/>
          <w:b/>
          <w:sz w:val="24"/>
          <w:szCs w:val="24"/>
        </w:rPr>
        <w:t xml:space="preserve"> straipsnis. Įstatymo 4 priedo pakeitimas</w:t>
      </w:r>
    </w:p>
    <w:p w14:paraId="4DC562B3" w14:textId="77777777" w:rsidR="003357BA" w:rsidRPr="007E01BA" w:rsidRDefault="003357BA"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Pakeisti Įstatymo 4 priedą ir jį išdėstyti taip:</w:t>
      </w:r>
    </w:p>
    <w:p w14:paraId="4DC562B4" w14:textId="77777777" w:rsidR="003357BA" w:rsidRPr="007E01BA" w:rsidRDefault="00FA7A11"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w:t>
      </w:r>
      <w:r w:rsidR="003357BA" w:rsidRPr="007E01BA">
        <w:rPr>
          <w:rFonts w:ascii="Times New Roman" w:eastAsia="Times New Roman" w:hAnsi="Times New Roman" w:cs="Times New Roman"/>
          <w:sz w:val="24"/>
          <w:szCs w:val="24"/>
        </w:rPr>
        <w:t xml:space="preserve">Lietuvos Respublikos </w:t>
      </w:r>
    </w:p>
    <w:p w14:paraId="4DC562B5"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valstybės ir savivaldybių įstaigų darbuotojų </w:t>
      </w:r>
    </w:p>
    <w:p w14:paraId="4DC562B6"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darbo apmokėjimo ir komisijų narių atlygio </w:t>
      </w:r>
    </w:p>
    <w:p w14:paraId="4DC562B7"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xml:space="preserve">už darbą įstatymo </w:t>
      </w:r>
    </w:p>
    <w:p w14:paraId="4DC562B8" w14:textId="77777777" w:rsidR="003357BA" w:rsidRPr="007E01BA" w:rsidRDefault="003357BA" w:rsidP="003357BA">
      <w:pPr>
        <w:spacing w:after="0" w:line="240" w:lineRule="auto"/>
        <w:ind w:left="5103"/>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4 priedas</w:t>
      </w:r>
    </w:p>
    <w:p w14:paraId="4DC562B9" w14:textId="77777777" w:rsidR="003357BA" w:rsidRPr="007E01BA" w:rsidRDefault="003357BA" w:rsidP="003357BA">
      <w:pPr>
        <w:spacing w:after="0" w:line="240" w:lineRule="auto"/>
        <w:ind w:left="5670"/>
        <w:jc w:val="both"/>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A" w14:textId="77777777" w:rsidR="003357BA" w:rsidRPr="007E01BA" w:rsidRDefault="003357BA" w:rsidP="003357BA">
      <w:pPr>
        <w:spacing w:after="0" w:line="36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bCs/>
          <w:sz w:val="24"/>
          <w:szCs w:val="24"/>
        </w:rPr>
        <w:t>VALSTYBĖS IR SAVIVALDYBIŲ ĮSTAIGŲ KVALIFIKUOTŲ DARBUOTOJŲ PAREIGINĖS ALGOS PASTOVIOSIOS DALIES KOEFICIENTAI</w:t>
      </w:r>
    </w:p>
    <w:p w14:paraId="4DC562BB" w14:textId="77777777" w:rsidR="003357BA" w:rsidRPr="007E01BA" w:rsidRDefault="003357BA" w:rsidP="003357BA">
      <w:pPr>
        <w:spacing w:after="0" w:line="240" w:lineRule="auto"/>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 </w:t>
      </w:r>
    </w:p>
    <w:p w14:paraId="4DC562BC" w14:textId="77777777" w:rsidR="003357BA" w:rsidRPr="007E01BA" w:rsidRDefault="003357BA" w:rsidP="003357BA">
      <w:pPr>
        <w:spacing w:after="0" w:line="240" w:lineRule="auto"/>
        <w:ind w:firstLine="7371"/>
        <w:jc w:val="both"/>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(Baziniais dydžiais)</w:t>
      </w:r>
    </w:p>
    <w:tbl>
      <w:tblPr>
        <w:tblW w:w="93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8"/>
        <w:gridCol w:w="1940"/>
        <w:gridCol w:w="1759"/>
        <w:gridCol w:w="1927"/>
        <w:gridCol w:w="1792"/>
      </w:tblGrid>
      <w:tr w:rsidR="003357BA" w:rsidRPr="007E01BA" w14:paraId="4DC562BF" w14:textId="77777777" w:rsidTr="006026C3">
        <w:trPr>
          <w:trHeight w:val="340"/>
        </w:trPr>
        <w:tc>
          <w:tcPr>
            <w:tcW w:w="198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BD"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Pareigybės lygis</w:t>
            </w:r>
          </w:p>
        </w:tc>
        <w:tc>
          <w:tcPr>
            <w:tcW w:w="76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BE"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 xml:space="preserve">Pastoviosios dalies koeficientai </w:t>
            </w:r>
          </w:p>
        </w:tc>
      </w:tr>
      <w:tr w:rsidR="003357BA" w:rsidRPr="007E01BA" w14:paraId="4DC562C2" w14:textId="77777777" w:rsidTr="006026C3">
        <w:trPr>
          <w:trHeight w:val="34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C0"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7654"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1"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profesinio darbo patirtis (metais)</w:t>
            </w:r>
          </w:p>
        </w:tc>
      </w:tr>
      <w:tr w:rsidR="003357BA" w:rsidRPr="007E01BA" w14:paraId="4DC562C8" w14:textId="77777777" w:rsidTr="006026C3">
        <w:trPr>
          <w:trHeight w:val="68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DC562C3" w14:textId="77777777" w:rsidR="003357BA" w:rsidRPr="007E01BA" w:rsidRDefault="003357BA" w:rsidP="003357BA">
            <w:pPr>
              <w:spacing w:after="0" w:line="240" w:lineRule="auto"/>
              <w:rPr>
                <w:rFonts w:ascii="Times New Roman" w:eastAsia="Times New Roman" w:hAnsi="Times New Roman" w:cs="Times New Roman"/>
                <w:sz w:val="24"/>
                <w:szCs w:val="24"/>
              </w:rPr>
            </w:pP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4"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iki 2</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5"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2 iki 5</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6"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nuo daugiau kaip 5 iki 10</w:t>
            </w:r>
          </w:p>
        </w:tc>
        <w:tc>
          <w:tcPr>
            <w:tcW w:w="1842" w:type="dxa"/>
            <w:tcBorders>
              <w:top w:val="nil"/>
              <w:left w:val="nil"/>
              <w:bottom w:val="nil"/>
              <w:right w:val="single" w:sz="8" w:space="0" w:color="auto"/>
            </w:tcBorders>
            <w:tcMar>
              <w:top w:w="0" w:type="dxa"/>
              <w:left w:w="108" w:type="dxa"/>
              <w:bottom w:w="0" w:type="dxa"/>
              <w:right w:w="108" w:type="dxa"/>
            </w:tcMar>
            <w:vAlign w:val="center"/>
            <w:hideMark/>
          </w:tcPr>
          <w:p w14:paraId="4DC562C7"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daugiau kaip 10</w:t>
            </w:r>
          </w:p>
        </w:tc>
      </w:tr>
      <w:tr w:rsidR="003357BA" w:rsidRPr="007E01BA" w14:paraId="4DC562D2" w14:textId="77777777" w:rsidTr="006026C3">
        <w:trPr>
          <w:trHeight w:val="660"/>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562C9" w14:textId="77777777" w:rsidR="003357BA" w:rsidRPr="007E01BA" w:rsidRDefault="003357BA" w:rsidP="003357BA">
            <w:pPr>
              <w:spacing w:after="0" w:line="240" w:lineRule="auto"/>
              <w:jc w:val="center"/>
              <w:rPr>
                <w:rFonts w:ascii="Times New Roman" w:eastAsia="Times New Roman" w:hAnsi="Times New Roman" w:cs="Times New Roman"/>
                <w:sz w:val="24"/>
                <w:szCs w:val="24"/>
              </w:rPr>
            </w:pPr>
            <w:r w:rsidRPr="007E01BA">
              <w:rPr>
                <w:rFonts w:ascii="Times New Roman" w:eastAsia="Times New Roman" w:hAnsi="Times New Roman" w:cs="Times New Roman"/>
                <w:color w:val="000000"/>
                <w:sz w:val="24"/>
                <w:szCs w:val="24"/>
              </w:rPr>
              <w:t>C lygis</w:t>
            </w:r>
          </w:p>
        </w:tc>
        <w:tc>
          <w:tcPr>
            <w:tcW w:w="20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A"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4,0–5,83</w:t>
            </w:r>
          </w:p>
          <w:p w14:paraId="4DC562CB"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4,2–5,9</w:t>
            </w:r>
          </w:p>
        </w:tc>
        <w:tc>
          <w:tcPr>
            <w:tcW w:w="18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C"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4,03–5,94</w:t>
            </w:r>
          </w:p>
          <w:p w14:paraId="4DC562CD" w14:textId="2AFD06B8" w:rsidR="003357BA" w:rsidRPr="007E01BA" w:rsidRDefault="003357BA" w:rsidP="00B4408E">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4,3–6</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562CE"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4,06–6,16</w:t>
            </w:r>
          </w:p>
          <w:p w14:paraId="4DC562CF" w14:textId="77777777"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4,4–6,2</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C562D0" w14:textId="77777777" w:rsidR="003357BA" w:rsidRPr="007E01BA" w:rsidRDefault="003357BA" w:rsidP="003357BA">
            <w:pPr>
              <w:spacing w:after="0" w:line="240" w:lineRule="auto"/>
              <w:jc w:val="center"/>
              <w:rPr>
                <w:rFonts w:ascii="Times New Roman" w:eastAsia="Times New Roman" w:hAnsi="Times New Roman" w:cs="Times New Roman"/>
                <w:strike/>
                <w:color w:val="000000"/>
                <w:sz w:val="24"/>
                <w:szCs w:val="24"/>
              </w:rPr>
            </w:pPr>
            <w:r w:rsidRPr="007E01BA">
              <w:rPr>
                <w:rFonts w:ascii="Times New Roman" w:eastAsia="Times New Roman" w:hAnsi="Times New Roman" w:cs="Times New Roman"/>
                <w:strike/>
                <w:color w:val="000000"/>
                <w:sz w:val="24"/>
                <w:szCs w:val="24"/>
              </w:rPr>
              <w:t>4,08–7,7</w:t>
            </w:r>
          </w:p>
          <w:p w14:paraId="4DC562D1" w14:textId="067793FE" w:rsidR="003357BA" w:rsidRPr="007E01BA" w:rsidRDefault="003357BA" w:rsidP="003357BA">
            <w:pPr>
              <w:spacing w:after="0" w:line="240" w:lineRule="auto"/>
              <w:jc w:val="center"/>
              <w:rPr>
                <w:rFonts w:ascii="Times New Roman" w:eastAsia="Times New Roman" w:hAnsi="Times New Roman" w:cs="Times New Roman"/>
                <w:b/>
                <w:sz w:val="24"/>
                <w:szCs w:val="24"/>
              </w:rPr>
            </w:pPr>
            <w:r w:rsidRPr="007E01BA">
              <w:rPr>
                <w:rFonts w:ascii="Times New Roman" w:eastAsia="Times New Roman" w:hAnsi="Times New Roman" w:cs="Times New Roman"/>
                <w:b/>
                <w:color w:val="000000"/>
                <w:sz w:val="24"/>
                <w:szCs w:val="24"/>
              </w:rPr>
              <w:t>4,5–7,8</w:t>
            </w:r>
            <w:r w:rsidR="002C3AE8" w:rsidRPr="007E01BA">
              <w:rPr>
                <w:rFonts w:ascii="Times New Roman" w:eastAsia="Times New Roman" w:hAnsi="Times New Roman" w:cs="Times New Roman"/>
                <w:b/>
                <w:color w:val="000000"/>
                <w:sz w:val="24"/>
                <w:szCs w:val="24"/>
              </w:rPr>
              <w:t>“</w:t>
            </w:r>
            <w:r w:rsidR="00B4408E" w:rsidRPr="007E01BA">
              <w:rPr>
                <w:rFonts w:ascii="Times New Roman" w:eastAsia="Times New Roman" w:hAnsi="Times New Roman" w:cs="Times New Roman"/>
                <w:b/>
                <w:color w:val="000000"/>
                <w:sz w:val="24"/>
                <w:szCs w:val="24"/>
              </w:rPr>
              <w:t>.</w:t>
            </w:r>
          </w:p>
        </w:tc>
      </w:tr>
    </w:tbl>
    <w:p w14:paraId="4DC562D3" w14:textId="77777777" w:rsidR="003357BA" w:rsidRPr="007E01BA" w:rsidRDefault="003357BA" w:rsidP="00C14EA1">
      <w:pPr>
        <w:spacing w:after="0" w:line="240" w:lineRule="auto"/>
        <w:ind w:left="567" w:firstLine="142"/>
        <w:rPr>
          <w:rFonts w:ascii="Times New Roman" w:eastAsia="Times New Roman" w:hAnsi="Times New Roman" w:cs="Times New Roman"/>
          <w:sz w:val="24"/>
          <w:szCs w:val="24"/>
        </w:rPr>
      </w:pPr>
    </w:p>
    <w:p w14:paraId="4DC562D4" w14:textId="77777777" w:rsidR="003357BA" w:rsidRPr="007E01BA" w:rsidRDefault="00253190" w:rsidP="004A23A8">
      <w:pPr>
        <w:spacing w:after="0" w:line="240" w:lineRule="auto"/>
        <w:ind w:left="709"/>
        <w:rPr>
          <w:rFonts w:ascii="Times New Roman" w:eastAsia="Times New Roman" w:hAnsi="Times New Roman" w:cs="Times New Roman"/>
          <w:b/>
          <w:sz w:val="24"/>
          <w:szCs w:val="24"/>
        </w:rPr>
      </w:pPr>
      <w:r w:rsidRPr="007E01BA">
        <w:rPr>
          <w:rFonts w:ascii="Times New Roman" w:eastAsia="Times New Roman" w:hAnsi="Times New Roman" w:cs="Times New Roman"/>
          <w:b/>
          <w:sz w:val="24"/>
          <w:szCs w:val="24"/>
        </w:rPr>
        <w:t>1</w:t>
      </w:r>
      <w:r w:rsidR="008C06E0" w:rsidRPr="007E01BA">
        <w:rPr>
          <w:rFonts w:ascii="Times New Roman" w:eastAsia="Times New Roman" w:hAnsi="Times New Roman" w:cs="Times New Roman"/>
          <w:b/>
          <w:sz w:val="24"/>
          <w:szCs w:val="24"/>
        </w:rPr>
        <w:t>1</w:t>
      </w:r>
      <w:r w:rsidR="003357BA" w:rsidRPr="007E01BA">
        <w:rPr>
          <w:rFonts w:ascii="Times New Roman" w:eastAsia="Times New Roman" w:hAnsi="Times New Roman" w:cs="Times New Roman"/>
          <w:b/>
          <w:sz w:val="24"/>
          <w:szCs w:val="24"/>
        </w:rPr>
        <w:t xml:space="preserve"> straipsnis. Įstatymo 5 priedo pakeitimas</w:t>
      </w:r>
    </w:p>
    <w:p w14:paraId="4DC562D5" w14:textId="77777777" w:rsidR="003357BA" w:rsidRPr="007E01BA" w:rsidRDefault="006F0B97" w:rsidP="004A23A8">
      <w:pPr>
        <w:spacing w:after="0" w:line="240" w:lineRule="auto"/>
        <w:ind w:left="709"/>
        <w:rPr>
          <w:rFonts w:ascii="Times New Roman" w:eastAsia="Times New Roman" w:hAnsi="Times New Roman" w:cs="Times New Roman"/>
          <w:sz w:val="24"/>
          <w:szCs w:val="24"/>
        </w:rPr>
      </w:pPr>
      <w:r w:rsidRPr="007E01BA">
        <w:rPr>
          <w:rFonts w:ascii="Times New Roman" w:eastAsia="Times New Roman" w:hAnsi="Times New Roman" w:cs="Times New Roman"/>
          <w:sz w:val="24"/>
          <w:szCs w:val="24"/>
        </w:rPr>
        <w:t>1. Pakeisti Įstatymo 5 priedo 32 punktą ir jį išdėstyti taip:</w:t>
      </w:r>
    </w:p>
    <w:p w14:paraId="4DC562D6"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„32.</w:t>
      </w:r>
      <w:r w:rsidRPr="007E01BA">
        <w:rPr>
          <w:rFonts w:ascii="Times New Roman" w:hAnsi="Times New Roman" w:cs="Times New Roman"/>
          <w:b/>
          <w:sz w:val="24"/>
          <w:szCs w:val="24"/>
        </w:rPr>
        <w:t xml:space="preserve"> </w:t>
      </w:r>
      <w:r w:rsidRPr="007E01BA">
        <w:rPr>
          <w:rFonts w:ascii="Times New Roman" w:hAnsi="Times New Roman" w:cs="Times New Roman"/>
          <w:sz w:val="24"/>
          <w:szCs w:val="24"/>
        </w:rPr>
        <w:t>Šiame skyriuje nurodytų darbuotojų pareiginės algos pastoviosios dalies koeficientai:</w:t>
      </w:r>
    </w:p>
    <w:p w14:paraId="4DC562D7" w14:textId="77777777" w:rsidR="00B3497D" w:rsidRPr="007E01BA" w:rsidRDefault="00B3497D" w:rsidP="00B3497D">
      <w:pPr>
        <w:spacing w:after="0" w:line="240" w:lineRule="auto"/>
        <w:ind w:firstLine="720"/>
        <w:jc w:val="both"/>
        <w:rPr>
          <w:rFonts w:ascii="Times New Roman" w:hAnsi="Times New Roman" w:cs="Times New Roman"/>
          <w:color w:val="000000"/>
          <w:sz w:val="24"/>
          <w:szCs w:val="24"/>
        </w:rPr>
      </w:pPr>
    </w:p>
    <w:p w14:paraId="4DC562D8"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5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748"/>
        <w:gridCol w:w="1492"/>
        <w:gridCol w:w="1418"/>
        <w:gridCol w:w="1416"/>
        <w:gridCol w:w="1493"/>
      </w:tblGrid>
      <w:tr w:rsidR="006F0B97" w:rsidRPr="007E01BA" w14:paraId="4DC562DB" w14:textId="77777777" w:rsidTr="00F67C81">
        <w:trPr>
          <w:trHeight w:val="583"/>
        </w:trPr>
        <w:tc>
          <w:tcPr>
            <w:tcW w:w="3748" w:type="dxa"/>
            <w:vMerge w:val="restart"/>
            <w:tcMar>
              <w:top w:w="0" w:type="dxa"/>
              <w:left w:w="108" w:type="dxa"/>
              <w:bottom w:w="0" w:type="dxa"/>
              <w:right w:w="108" w:type="dxa"/>
            </w:tcMar>
            <w:vAlign w:val="center"/>
            <w:hideMark/>
          </w:tcPr>
          <w:p w14:paraId="4DC562D9"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Pareigybė</w:t>
            </w:r>
          </w:p>
        </w:tc>
        <w:tc>
          <w:tcPr>
            <w:tcW w:w="5819" w:type="dxa"/>
            <w:gridSpan w:val="4"/>
            <w:tcMar>
              <w:top w:w="0" w:type="dxa"/>
              <w:left w:w="108" w:type="dxa"/>
              <w:bottom w:w="0" w:type="dxa"/>
              <w:right w:w="108" w:type="dxa"/>
            </w:tcMar>
            <w:vAlign w:val="center"/>
            <w:hideMark/>
          </w:tcPr>
          <w:p w14:paraId="4DC562D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r>
      <w:tr w:rsidR="006F0B97" w:rsidRPr="007E01BA" w14:paraId="4DC562DE" w14:textId="77777777" w:rsidTr="00F67C81">
        <w:trPr>
          <w:trHeight w:val="300"/>
        </w:trPr>
        <w:tc>
          <w:tcPr>
            <w:tcW w:w="0" w:type="auto"/>
            <w:vMerge/>
            <w:vAlign w:val="center"/>
            <w:hideMark/>
          </w:tcPr>
          <w:p w14:paraId="4DC562DC" w14:textId="77777777" w:rsidR="006F0B97" w:rsidRPr="007E01BA" w:rsidRDefault="006F0B97" w:rsidP="00F67C81">
            <w:pPr>
              <w:rPr>
                <w:rFonts w:ascii="Times New Roman" w:hAnsi="Times New Roman" w:cs="Times New Roman"/>
                <w:sz w:val="24"/>
                <w:szCs w:val="24"/>
              </w:rPr>
            </w:pPr>
          </w:p>
        </w:tc>
        <w:tc>
          <w:tcPr>
            <w:tcW w:w="5819" w:type="dxa"/>
            <w:gridSpan w:val="4"/>
            <w:tcMar>
              <w:top w:w="0" w:type="dxa"/>
              <w:left w:w="108" w:type="dxa"/>
              <w:bottom w:w="0" w:type="dxa"/>
              <w:right w:w="108" w:type="dxa"/>
            </w:tcMar>
            <w:vAlign w:val="center"/>
            <w:hideMark/>
          </w:tcPr>
          <w:p w14:paraId="4DC562DD"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pedagoginio darbo stažas (metais)</w:t>
            </w:r>
          </w:p>
        </w:tc>
      </w:tr>
      <w:tr w:rsidR="006F0B97" w:rsidRPr="007E01BA" w14:paraId="4DC562E4" w14:textId="77777777" w:rsidTr="00F67C81">
        <w:trPr>
          <w:trHeight w:val="272"/>
        </w:trPr>
        <w:tc>
          <w:tcPr>
            <w:tcW w:w="0" w:type="auto"/>
            <w:vMerge/>
            <w:vAlign w:val="center"/>
            <w:hideMark/>
          </w:tcPr>
          <w:p w14:paraId="4DC562DF" w14:textId="77777777" w:rsidR="006F0B97" w:rsidRPr="007E01BA" w:rsidRDefault="006F0B97" w:rsidP="00F67C81">
            <w:pPr>
              <w:rPr>
                <w:rFonts w:ascii="Times New Roman" w:hAnsi="Times New Roman" w:cs="Times New Roman"/>
                <w:sz w:val="24"/>
                <w:szCs w:val="24"/>
              </w:rPr>
            </w:pPr>
          </w:p>
        </w:tc>
        <w:tc>
          <w:tcPr>
            <w:tcW w:w="1492" w:type="dxa"/>
            <w:tcMar>
              <w:top w:w="0" w:type="dxa"/>
              <w:left w:w="108" w:type="dxa"/>
              <w:bottom w:w="0" w:type="dxa"/>
              <w:right w:w="108" w:type="dxa"/>
            </w:tcMar>
            <w:vAlign w:val="center"/>
            <w:hideMark/>
          </w:tcPr>
          <w:p w14:paraId="4DC562E0"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iki 3 </w:t>
            </w:r>
          </w:p>
        </w:tc>
        <w:tc>
          <w:tcPr>
            <w:tcW w:w="1418" w:type="dxa"/>
            <w:tcMar>
              <w:top w:w="0" w:type="dxa"/>
              <w:left w:w="108" w:type="dxa"/>
              <w:bottom w:w="0" w:type="dxa"/>
              <w:right w:w="108" w:type="dxa"/>
            </w:tcMar>
            <w:vAlign w:val="center"/>
            <w:hideMark/>
          </w:tcPr>
          <w:p w14:paraId="4DC562E1"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nuo daugiau kaip 3 iki 10</w:t>
            </w:r>
          </w:p>
        </w:tc>
        <w:tc>
          <w:tcPr>
            <w:tcW w:w="1416" w:type="dxa"/>
            <w:tcMar>
              <w:top w:w="0" w:type="dxa"/>
              <w:left w:w="108" w:type="dxa"/>
              <w:bottom w:w="0" w:type="dxa"/>
              <w:right w:w="108" w:type="dxa"/>
            </w:tcMar>
            <w:vAlign w:val="center"/>
            <w:hideMark/>
          </w:tcPr>
          <w:p w14:paraId="4DC562E2"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nuo daugiau kaip 10 iki 15 </w:t>
            </w:r>
          </w:p>
        </w:tc>
        <w:tc>
          <w:tcPr>
            <w:tcW w:w="1493" w:type="dxa"/>
            <w:tcMar>
              <w:top w:w="0" w:type="dxa"/>
              <w:left w:w="108" w:type="dxa"/>
              <w:bottom w:w="0" w:type="dxa"/>
              <w:right w:w="108" w:type="dxa"/>
            </w:tcMar>
            <w:vAlign w:val="center"/>
            <w:hideMark/>
          </w:tcPr>
          <w:p w14:paraId="4DC562E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daugiau kaip 15</w:t>
            </w:r>
          </w:p>
        </w:tc>
      </w:tr>
      <w:tr w:rsidR="006F0B97" w:rsidRPr="007E01BA" w14:paraId="4DC562E6" w14:textId="77777777" w:rsidTr="00F67C81">
        <w:trPr>
          <w:trHeight w:val="300"/>
        </w:trPr>
        <w:tc>
          <w:tcPr>
            <w:tcW w:w="9567" w:type="dxa"/>
            <w:gridSpan w:val="5"/>
            <w:tcMar>
              <w:top w:w="0" w:type="dxa"/>
              <w:left w:w="108" w:type="dxa"/>
              <w:bottom w:w="0" w:type="dxa"/>
              <w:right w:w="108" w:type="dxa"/>
            </w:tcMar>
            <w:vAlign w:val="center"/>
            <w:hideMark/>
          </w:tcPr>
          <w:p w14:paraId="4DC562E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Nesuteiktos kvalifikacinės kategorijos</w:t>
            </w:r>
          </w:p>
        </w:tc>
      </w:tr>
      <w:tr w:rsidR="006F0B97" w:rsidRPr="007E01BA" w14:paraId="4DC562F0" w14:textId="77777777" w:rsidTr="00F67C81">
        <w:trPr>
          <w:trHeight w:val="645"/>
        </w:trPr>
        <w:tc>
          <w:tcPr>
            <w:tcW w:w="3748" w:type="dxa"/>
            <w:tcMar>
              <w:top w:w="0" w:type="dxa"/>
              <w:left w:w="108" w:type="dxa"/>
              <w:bottom w:w="0" w:type="dxa"/>
              <w:right w:w="108" w:type="dxa"/>
            </w:tcMar>
            <w:vAlign w:val="bottom"/>
            <w:hideMark/>
          </w:tcPr>
          <w:p w14:paraId="4DC562E7"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lastRenderedPageBreak/>
              <w:t>Auklėtojas, koncertmeisteris, akompaniatorius</w:t>
            </w:r>
          </w:p>
        </w:tc>
        <w:tc>
          <w:tcPr>
            <w:tcW w:w="1492" w:type="dxa"/>
            <w:tcMar>
              <w:top w:w="0" w:type="dxa"/>
              <w:left w:w="108" w:type="dxa"/>
              <w:bottom w:w="0" w:type="dxa"/>
              <w:right w:w="108" w:type="dxa"/>
            </w:tcMar>
            <w:vAlign w:val="center"/>
            <w:hideMark/>
          </w:tcPr>
          <w:p w14:paraId="4DC562E8"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4,1</w:t>
            </w:r>
          </w:p>
          <w:p w14:paraId="4DC562E9"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5,1</w:t>
            </w:r>
          </w:p>
        </w:tc>
        <w:tc>
          <w:tcPr>
            <w:tcW w:w="1418" w:type="dxa"/>
            <w:tcMar>
              <w:top w:w="0" w:type="dxa"/>
              <w:left w:w="108" w:type="dxa"/>
              <w:bottom w:w="0" w:type="dxa"/>
              <w:right w:w="108" w:type="dxa"/>
            </w:tcMar>
            <w:vAlign w:val="center"/>
            <w:hideMark/>
          </w:tcPr>
          <w:p w14:paraId="4DC562E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4,36</w:t>
            </w:r>
          </w:p>
          <w:p w14:paraId="4DC562E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5,2</w:t>
            </w:r>
          </w:p>
        </w:tc>
        <w:tc>
          <w:tcPr>
            <w:tcW w:w="1416" w:type="dxa"/>
            <w:tcMar>
              <w:top w:w="0" w:type="dxa"/>
              <w:left w:w="108" w:type="dxa"/>
              <w:bottom w:w="0" w:type="dxa"/>
              <w:right w:w="108" w:type="dxa"/>
            </w:tcMar>
            <w:vAlign w:val="center"/>
            <w:hideMark/>
          </w:tcPr>
          <w:p w14:paraId="4DC562E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4,41</w:t>
            </w:r>
          </w:p>
          <w:p w14:paraId="4DC562E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5,25</w:t>
            </w:r>
          </w:p>
        </w:tc>
        <w:tc>
          <w:tcPr>
            <w:tcW w:w="1493" w:type="dxa"/>
            <w:tcMar>
              <w:top w:w="0" w:type="dxa"/>
              <w:left w:w="108" w:type="dxa"/>
              <w:bottom w:w="0" w:type="dxa"/>
              <w:right w:w="108" w:type="dxa"/>
            </w:tcMar>
            <w:vAlign w:val="center"/>
            <w:hideMark/>
          </w:tcPr>
          <w:p w14:paraId="4DC562E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4,52</w:t>
            </w:r>
          </w:p>
          <w:p w14:paraId="4DC562E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5,3</w:t>
            </w:r>
          </w:p>
        </w:tc>
      </w:tr>
      <w:tr w:rsidR="006F0B97" w:rsidRPr="007E01BA" w14:paraId="4DC562F3" w14:textId="77777777" w:rsidTr="00F67C81">
        <w:trPr>
          <w:trHeight w:val="293"/>
        </w:trPr>
        <w:tc>
          <w:tcPr>
            <w:tcW w:w="3748" w:type="dxa"/>
            <w:tcMar>
              <w:top w:w="0" w:type="dxa"/>
              <w:left w:w="108" w:type="dxa"/>
              <w:bottom w:w="0" w:type="dxa"/>
              <w:right w:w="108" w:type="dxa"/>
            </w:tcMar>
            <w:vAlign w:val="center"/>
            <w:hideMark/>
          </w:tcPr>
          <w:p w14:paraId="4DC562F1" w14:textId="77777777" w:rsidR="006F0B97" w:rsidRPr="007E01BA" w:rsidRDefault="006F0B97" w:rsidP="00F67C81">
            <w:pPr>
              <w:rPr>
                <w:rFonts w:ascii="Times New Roman" w:hAnsi="Times New Roman" w:cs="Times New Roman"/>
                <w:sz w:val="24"/>
                <w:szCs w:val="24"/>
              </w:rPr>
            </w:pPr>
          </w:p>
        </w:tc>
        <w:tc>
          <w:tcPr>
            <w:tcW w:w="5819" w:type="dxa"/>
            <w:gridSpan w:val="4"/>
            <w:tcMar>
              <w:top w:w="0" w:type="dxa"/>
              <w:left w:w="108" w:type="dxa"/>
              <w:bottom w:w="0" w:type="dxa"/>
              <w:right w:w="108" w:type="dxa"/>
            </w:tcMar>
            <w:vAlign w:val="center"/>
            <w:hideMark/>
          </w:tcPr>
          <w:p w14:paraId="4DC562F2"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r>
      <w:tr w:rsidR="006F0B97" w:rsidRPr="007E01BA" w14:paraId="4DC562F8" w14:textId="77777777" w:rsidTr="00F67C81">
        <w:trPr>
          <w:trHeight w:val="219"/>
        </w:trPr>
        <w:tc>
          <w:tcPr>
            <w:tcW w:w="3748" w:type="dxa"/>
            <w:tcMar>
              <w:top w:w="0" w:type="dxa"/>
              <w:left w:w="108" w:type="dxa"/>
              <w:bottom w:w="0" w:type="dxa"/>
              <w:right w:w="108" w:type="dxa"/>
            </w:tcMar>
            <w:vAlign w:val="center"/>
            <w:hideMark/>
          </w:tcPr>
          <w:p w14:paraId="4DC562F4" w14:textId="77777777" w:rsidR="006F0B97" w:rsidRPr="007E01BA" w:rsidRDefault="006F0B97" w:rsidP="00F67C81">
            <w:pPr>
              <w:rPr>
                <w:rFonts w:ascii="Times New Roman" w:hAnsi="Times New Roman" w:cs="Times New Roman"/>
                <w:sz w:val="24"/>
                <w:szCs w:val="24"/>
              </w:rPr>
            </w:pPr>
          </w:p>
        </w:tc>
        <w:tc>
          <w:tcPr>
            <w:tcW w:w="2910" w:type="dxa"/>
            <w:gridSpan w:val="2"/>
            <w:tcMar>
              <w:top w:w="0" w:type="dxa"/>
              <w:left w:w="108" w:type="dxa"/>
              <w:bottom w:w="0" w:type="dxa"/>
              <w:right w:w="108" w:type="dxa"/>
            </w:tcMar>
            <w:vAlign w:val="center"/>
            <w:hideMark/>
          </w:tcPr>
          <w:p w14:paraId="4DC562F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iki 10</w:t>
            </w:r>
          </w:p>
        </w:tc>
        <w:tc>
          <w:tcPr>
            <w:tcW w:w="1416" w:type="dxa"/>
            <w:tcMar>
              <w:top w:w="0" w:type="dxa"/>
              <w:left w:w="108" w:type="dxa"/>
              <w:bottom w:w="0" w:type="dxa"/>
              <w:right w:w="108" w:type="dxa"/>
            </w:tcMar>
            <w:vAlign w:val="center"/>
            <w:hideMark/>
          </w:tcPr>
          <w:p w14:paraId="4DC562F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nuo daugiau kaip 10 iki 15</w:t>
            </w:r>
          </w:p>
        </w:tc>
        <w:tc>
          <w:tcPr>
            <w:tcW w:w="1493" w:type="dxa"/>
            <w:tcMar>
              <w:top w:w="0" w:type="dxa"/>
              <w:left w:w="108" w:type="dxa"/>
              <w:bottom w:w="0" w:type="dxa"/>
              <w:right w:w="108" w:type="dxa"/>
            </w:tcMar>
            <w:vAlign w:val="center"/>
            <w:hideMark/>
          </w:tcPr>
          <w:p w14:paraId="4DC562F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daugiau kaip 15</w:t>
            </w:r>
          </w:p>
        </w:tc>
      </w:tr>
      <w:tr w:rsidR="006F0B97" w:rsidRPr="007E01BA" w14:paraId="4DC562FA" w14:textId="77777777" w:rsidTr="00F67C81">
        <w:trPr>
          <w:trHeight w:val="300"/>
        </w:trPr>
        <w:tc>
          <w:tcPr>
            <w:tcW w:w="9567" w:type="dxa"/>
            <w:gridSpan w:val="5"/>
            <w:tcMar>
              <w:top w:w="0" w:type="dxa"/>
              <w:left w:w="108" w:type="dxa"/>
              <w:bottom w:w="0" w:type="dxa"/>
              <w:right w:w="108" w:type="dxa"/>
            </w:tcMar>
            <w:vAlign w:val="center"/>
            <w:hideMark/>
          </w:tcPr>
          <w:p w14:paraId="4DC562F9"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Suteiktos kvalifikacinės kategorijos</w:t>
            </w:r>
          </w:p>
        </w:tc>
      </w:tr>
      <w:tr w:rsidR="006F0B97" w:rsidRPr="007E01BA" w14:paraId="4DC56302" w14:textId="77777777" w:rsidTr="00F67C81">
        <w:trPr>
          <w:trHeight w:val="593"/>
        </w:trPr>
        <w:tc>
          <w:tcPr>
            <w:tcW w:w="3748" w:type="dxa"/>
            <w:tcMar>
              <w:top w:w="0" w:type="dxa"/>
              <w:left w:w="108" w:type="dxa"/>
              <w:bottom w:w="0" w:type="dxa"/>
              <w:right w:w="108" w:type="dxa"/>
            </w:tcMar>
            <w:vAlign w:val="bottom"/>
            <w:hideMark/>
          </w:tcPr>
          <w:p w14:paraId="4DC562FB"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Auklėtojas, koncertmeisteris, akompaniatorius</w:t>
            </w:r>
            <w:r w:rsidRPr="007E01BA">
              <w:rPr>
                <w:rFonts w:ascii="Times New Roman" w:hAnsi="Times New Roman" w:cs="Times New Roman"/>
                <w:strike/>
                <w:sz w:val="24"/>
                <w:szCs w:val="24"/>
              </w:rPr>
              <w:t xml:space="preserve"> </w:t>
            </w:r>
          </w:p>
        </w:tc>
        <w:tc>
          <w:tcPr>
            <w:tcW w:w="2910" w:type="dxa"/>
            <w:gridSpan w:val="2"/>
            <w:tcMar>
              <w:top w:w="0" w:type="dxa"/>
              <w:left w:w="108" w:type="dxa"/>
              <w:bottom w:w="0" w:type="dxa"/>
              <w:right w:w="108" w:type="dxa"/>
            </w:tcMar>
            <w:vAlign w:val="center"/>
            <w:hideMark/>
          </w:tcPr>
          <w:p w14:paraId="4DC562F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4,37</w:t>
            </w:r>
          </w:p>
          <w:p w14:paraId="4DC562F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5,4</w:t>
            </w:r>
          </w:p>
        </w:tc>
        <w:tc>
          <w:tcPr>
            <w:tcW w:w="1416" w:type="dxa"/>
            <w:tcMar>
              <w:top w:w="0" w:type="dxa"/>
              <w:left w:w="108" w:type="dxa"/>
              <w:bottom w:w="0" w:type="dxa"/>
              <w:right w:w="108" w:type="dxa"/>
            </w:tcMar>
            <w:vAlign w:val="center"/>
            <w:hideMark/>
          </w:tcPr>
          <w:p w14:paraId="4DC562F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4,47</w:t>
            </w:r>
          </w:p>
          <w:p w14:paraId="4DC562F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5,45</w:t>
            </w:r>
          </w:p>
        </w:tc>
        <w:tc>
          <w:tcPr>
            <w:tcW w:w="1493" w:type="dxa"/>
            <w:tcMar>
              <w:top w:w="0" w:type="dxa"/>
              <w:left w:w="108" w:type="dxa"/>
              <w:bottom w:w="0" w:type="dxa"/>
              <w:right w:w="108" w:type="dxa"/>
            </w:tcMar>
            <w:vAlign w:val="center"/>
            <w:hideMark/>
          </w:tcPr>
          <w:p w14:paraId="4DC56300"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4,54</w:t>
            </w:r>
          </w:p>
          <w:p w14:paraId="4DC5630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5,5</w:t>
            </w:r>
          </w:p>
        </w:tc>
      </w:tr>
      <w:tr w:rsidR="006F0B97" w:rsidRPr="007E01BA" w14:paraId="4DC5630A" w14:textId="77777777" w:rsidTr="00F67C81">
        <w:trPr>
          <w:trHeight w:val="454"/>
        </w:trPr>
        <w:tc>
          <w:tcPr>
            <w:tcW w:w="3748" w:type="dxa"/>
            <w:tcMar>
              <w:top w:w="0" w:type="dxa"/>
              <w:left w:w="108" w:type="dxa"/>
              <w:bottom w:w="0" w:type="dxa"/>
              <w:right w:w="108" w:type="dxa"/>
            </w:tcMar>
            <w:vAlign w:val="bottom"/>
            <w:hideMark/>
          </w:tcPr>
          <w:p w14:paraId="4DC56303"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Vyresnysis auklėtojas, vyresnysis koncertmeisteris, vyresnysis akompaniatorius</w:t>
            </w:r>
            <w:r w:rsidRPr="007E01BA">
              <w:rPr>
                <w:rFonts w:ascii="Times New Roman" w:hAnsi="Times New Roman" w:cs="Times New Roman"/>
                <w:sz w:val="24"/>
                <w:szCs w:val="24"/>
              </w:rPr>
              <w:t xml:space="preserve"> </w:t>
            </w:r>
          </w:p>
        </w:tc>
        <w:tc>
          <w:tcPr>
            <w:tcW w:w="2910" w:type="dxa"/>
            <w:gridSpan w:val="2"/>
            <w:tcMar>
              <w:top w:w="0" w:type="dxa"/>
              <w:left w:w="108" w:type="dxa"/>
              <w:bottom w:w="0" w:type="dxa"/>
              <w:right w:w="108" w:type="dxa"/>
            </w:tcMar>
            <w:vAlign w:val="center"/>
            <w:hideMark/>
          </w:tcPr>
          <w:p w14:paraId="4DC5630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4,79</w:t>
            </w:r>
          </w:p>
          <w:p w14:paraId="4DC56305"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5,6</w:t>
            </w:r>
          </w:p>
        </w:tc>
        <w:tc>
          <w:tcPr>
            <w:tcW w:w="1416" w:type="dxa"/>
            <w:tcMar>
              <w:top w:w="0" w:type="dxa"/>
              <w:left w:w="108" w:type="dxa"/>
              <w:bottom w:w="0" w:type="dxa"/>
              <w:right w:w="108" w:type="dxa"/>
            </w:tcMar>
            <w:vAlign w:val="center"/>
            <w:hideMark/>
          </w:tcPr>
          <w:p w14:paraId="4DC56306"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4,86</w:t>
            </w:r>
          </w:p>
          <w:p w14:paraId="4DC56307"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5,65</w:t>
            </w:r>
          </w:p>
        </w:tc>
        <w:tc>
          <w:tcPr>
            <w:tcW w:w="1493" w:type="dxa"/>
            <w:tcMar>
              <w:top w:w="0" w:type="dxa"/>
              <w:left w:w="108" w:type="dxa"/>
              <w:bottom w:w="0" w:type="dxa"/>
              <w:right w:w="108" w:type="dxa"/>
            </w:tcMar>
            <w:vAlign w:val="center"/>
            <w:hideMark/>
          </w:tcPr>
          <w:p w14:paraId="4DC56308"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5,05</w:t>
            </w:r>
          </w:p>
          <w:p w14:paraId="4DC56309"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5,7</w:t>
            </w:r>
          </w:p>
        </w:tc>
      </w:tr>
      <w:tr w:rsidR="006F0B97" w:rsidRPr="007E01BA" w14:paraId="4DC56312" w14:textId="77777777" w:rsidTr="00F67C81">
        <w:trPr>
          <w:trHeight w:val="561"/>
        </w:trPr>
        <w:tc>
          <w:tcPr>
            <w:tcW w:w="3748" w:type="dxa"/>
            <w:tcMar>
              <w:top w:w="0" w:type="dxa"/>
              <w:left w:w="108" w:type="dxa"/>
              <w:bottom w:w="0" w:type="dxa"/>
              <w:right w:w="108" w:type="dxa"/>
            </w:tcMar>
            <w:vAlign w:val="bottom"/>
            <w:hideMark/>
          </w:tcPr>
          <w:p w14:paraId="4DC5630B"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Auklėtojas metodininkas, koncertmeisteris metodininkas, akompaniatorius metodininkas</w:t>
            </w:r>
            <w:r w:rsidRPr="007E01BA">
              <w:rPr>
                <w:rFonts w:ascii="Times New Roman" w:hAnsi="Times New Roman" w:cs="Times New Roman"/>
                <w:sz w:val="24"/>
                <w:szCs w:val="24"/>
              </w:rPr>
              <w:t xml:space="preserve"> </w:t>
            </w:r>
          </w:p>
        </w:tc>
        <w:tc>
          <w:tcPr>
            <w:tcW w:w="2910" w:type="dxa"/>
            <w:gridSpan w:val="2"/>
            <w:tcMar>
              <w:top w:w="0" w:type="dxa"/>
              <w:left w:w="108" w:type="dxa"/>
              <w:bottom w:w="0" w:type="dxa"/>
              <w:right w:w="108" w:type="dxa"/>
            </w:tcMar>
            <w:vAlign w:val="center"/>
            <w:hideMark/>
          </w:tcPr>
          <w:p w14:paraId="4DC5630C"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5,23</w:t>
            </w:r>
          </w:p>
          <w:p w14:paraId="4DC5630D"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5,75</w:t>
            </w:r>
          </w:p>
        </w:tc>
        <w:tc>
          <w:tcPr>
            <w:tcW w:w="1416" w:type="dxa"/>
            <w:tcMar>
              <w:top w:w="0" w:type="dxa"/>
              <w:left w:w="108" w:type="dxa"/>
              <w:bottom w:w="0" w:type="dxa"/>
              <w:right w:w="108" w:type="dxa"/>
            </w:tcMar>
            <w:vAlign w:val="center"/>
            <w:hideMark/>
          </w:tcPr>
          <w:p w14:paraId="4DC5630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5,38</w:t>
            </w:r>
          </w:p>
          <w:p w14:paraId="4DC5630F"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5,8</w:t>
            </w:r>
          </w:p>
        </w:tc>
        <w:tc>
          <w:tcPr>
            <w:tcW w:w="1493" w:type="dxa"/>
            <w:tcMar>
              <w:top w:w="0" w:type="dxa"/>
              <w:left w:w="108" w:type="dxa"/>
              <w:bottom w:w="0" w:type="dxa"/>
              <w:right w:w="108" w:type="dxa"/>
            </w:tcMar>
            <w:vAlign w:val="center"/>
            <w:hideMark/>
          </w:tcPr>
          <w:p w14:paraId="4DC56310"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5,5</w:t>
            </w:r>
          </w:p>
          <w:p w14:paraId="4DC56311"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5,85</w:t>
            </w:r>
          </w:p>
        </w:tc>
      </w:tr>
      <w:tr w:rsidR="006F0B97" w:rsidRPr="007E01BA" w14:paraId="4DC56319" w14:textId="77777777" w:rsidTr="00F67C81">
        <w:trPr>
          <w:trHeight w:val="541"/>
        </w:trPr>
        <w:tc>
          <w:tcPr>
            <w:tcW w:w="3748" w:type="dxa"/>
            <w:tcMar>
              <w:top w:w="0" w:type="dxa"/>
              <w:left w:w="108" w:type="dxa"/>
              <w:bottom w:w="0" w:type="dxa"/>
              <w:right w:w="108" w:type="dxa"/>
            </w:tcMar>
            <w:vAlign w:val="bottom"/>
            <w:hideMark/>
          </w:tcPr>
          <w:p w14:paraId="4DC56313"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Auklėtojas ekspertas, koncertmeisteris ekspertas, akompaniatorius ekspertas</w:t>
            </w:r>
          </w:p>
        </w:tc>
        <w:tc>
          <w:tcPr>
            <w:tcW w:w="2910" w:type="dxa"/>
            <w:gridSpan w:val="2"/>
            <w:tcMar>
              <w:top w:w="0" w:type="dxa"/>
              <w:left w:w="108" w:type="dxa"/>
              <w:bottom w:w="0" w:type="dxa"/>
              <w:right w:w="108" w:type="dxa"/>
            </w:tcMar>
            <w:vAlign w:val="center"/>
            <w:hideMark/>
          </w:tcPr>
          <w:p w14:paraId="4DC56314"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5,95</w:t>
            </w:r>
          </w:p>
        </w:tc>
        <w:tc>
          <w:tcPr>
            <w:tcW w:w="1416" w:type="dxa"/>
            <w:tcMar>
              <w:top w:w="0" w:type="dxa"/>
              <w:left w:w="108" w:type="dxa"/>
              <w:bottom w:w="0" w:type="dxa"/>
              <w:right w:w="108" w:type="dxa"/>
            </w:tcMar>
            <w:vAlign w:val="center"/>
            <w:hideMark/>
          </w:tcPr>
          <w:p w14:paraId="4DC5631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6,02</w:t>
            </w:r>
          </w:p>
          <w:p w14:paraId="4DC56316" w14:textId="77777777" w:rsidR="006F0B97" w:rsidRPr="007E01BA" w:rsidRDefault="006F0B97" w:rsidP="00F67C81">
            <w:pPr>
              <w:jc w:val="center"/>
              <w:rPr>
                <w:rFonts w:ascii="Times New Roman" w:hAnsi="Times New Roman" w:cs="Times New Roman"/>
                <w:sz w:val="24"/>
                <w:szCs w:val="24"/>
              </w:rPr>
            </w:pPr>
          </w:p>
        </w:tc>
        <w:tc>
          <w:tcPr>
            <w:tcW w:w="1493" w:type="dxa"/>
            <w:tcMar>
              <w:top w:w="0" w:type="dxa"/>
              <w:left w:w="108" w:type="dxa"/>
              <w:bottom w:w="0" w:type="dxa"/>
              <w:right w:w="108" w:type="dxa"/>
            </w:tcMar>
            <w:vAlign w:val="center"/>
            <w:hideMark/>
          </w:tcPr>
          <w:p w14:paraId="4DC56317" w14:textId="6413556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6,17“</w:t>
            </w:r>
            <w:r w:rsidR="00B4408E" w:rsidRPr="007E01BA">
              <w:rPr>
                <w:rFonts w:ascii="Times New Roman" w:hAnsi="Times New Roman" w:cs="Times New Roman"/>
                <w:sz w:val="24"/>
                <w:szCs w:val="24"/>
              </w:rPr>
              <w:t>.</w:t>
            </w:r>
          </w:p>
          <w:p w14:paraId="4DC56318" w14:textId="77777777" w:rsidR="006F0B97" w:rsidRPr="007E01BA" w:rsidRDefault="006F0B97" w:rsidP="00F67C81">
            <w:pPr>
              <w:jc w:val="center"/>
              <w:rPr>
                <w:rFonts w:ascii="Times New Roman" w:hAnsi="Times New Roman" w:cs="Times New Roman"/>
                <w:sz w:val="24"/>
                <w:szCs w:val="24"/>
              </w:rPr>
            </w:pPr>
          </w:p>
        </w:tc>
      </w:tr>
    </w:tbl>
    <w:p w14:paraId="4DC5631A" w14:textId="77777777" w:rsidR="00B3497D" w:rsidRPr="007E01BA" w:rsidRDefault="00B3497D" w:rsidP="00B3497D">
      <w:pPr>
        <w:spacing w:after="0" w:line="240" w:lineRule="auto"/>
        <w:ind w:firstLine="720"/>
        <w:jc w:val="both"/>
        <w:rPr>
          <w:rFonts w:ascii="Times New Roman" w:hAnsi="Times New Roman" w:cs="Times New Roman"/>
          <w:sz w:val="24"/>
          <w:szCs w:val="24"/>
        </w:rPr>
      </w:pPr>
    </w:p>
    <w:p w14:paraId="4DC5631B"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2. Pakeisti Įstatymo 5 priedo 42 punktą ir jį išdėstyti taip:</w:t>
      </w:r>
    </w:p>
    <w:p w14:paraId="4DC5631C"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„42. Mokyklų vadovų pareiginės algos pastoviosios dalies koeficientai:</w:t>
      </w:r>
    </w:p>
    <w:p w14:paraId="4DC5631D" w14:textId="77777777" w:rsidR="00B3497D" w:rsidRPr="007E01BA" w:rsidRDefault="00B3497D" w:rsidP="00B3497D">
      <w:pPr>
        <w:spacing w:after="0" w:line="240" w:lineRule="auto"/>
        <w:ind w:firstLine="720"/>
        <w:jc w:val="both"/>
        <w:rPr>
          <w:rFonts w:ascii="Times New Roman" w:hAnsi="Times New Roman" w:cs="Times New Roman"/>
          <w:sz w:val="24"/>
          <w:szCs w:val="24"/>
        </w:rPr>
      </w:pPr>
    </w:p>
    <w:p w14:paraId="4DC5631E"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480" w:type="dxa"/>
        <w:tblCellMar>
          <w:left w:w="0" w:type="dxa"/>
          <w:right w:w="0" w:type="dxa"/>
        </w:tblCellMar>
        <w:tblLook w:val="04A0" w:firstRow="1" w:lastRow="0" w:firstColumn="1" w:lastColumn="0" w:noHBand="0" w:noVBand="1"/>
      </w:tblPr>
      <w:tblGrid>
        <w:gridCol w:w="1975"/>
        <w:gridCol w:w="2244"/>
        <w:gridCol w:w="2693"/>
        <w:gridCol w:w="2552"/>
        <w:gridCol w:w="16"/>
      </w:tblGrid>
      <w:tr w:rsidR="006F0B97" w:rsidRPr="007E01BA" w14:paraId="4DC56322" w14:textId="77777777" w:rsidTr="00F67C81">
        <w:trPr>
          <w:trHeight w:val="310"/>
          <w:tblHeader/>
        </w:trPr>
        <w:tc>
          <w:tcPr>
            <w:tcW w:w="197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1F" w14:textId="77777777" w:rsidR="006F0B97" w:rsidRPr="007E01BA" w:rsidRDefault="006F0B97" w:rsidP="00F67C81">
            <w:pPr>
              <w:ind w:right="240" w:firstLine="57"/>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Mokinių skaičius </w:t>
            </w: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0"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c>
          <w:tcPr>
            <w:tcW w:w="16" w:type="dxa"/>
            <w:tcBorders>
              <w:left w:val="single" w:sz="4" w:space="0" w:color="auto"/>
            </w:tcBorders>
            <w:vAlign w:val="center"/>
            <w:hideMark/>
          </w:tcPr>
          <w:p w14:paraId="4DC56321" w14:textId="77777777" w:rsidR="006F0B97" w:rsidRPr="007E01BA" w:rsidRDefault="006F0B97" w:rsidP="00F67C81">
            <w:pPr>
              <w:rPr>
                <w:rFonts w:ascii="Times New Roman" w:hAnsi="Times New Roman" w:cs="Times New Roman"/>
                <w:b/>
                <w:sz w:val="24"/>
                <w:szCs w:val="24"/>
              </w:rPr>
            </w:pPr>
          </w:p>
        </w:tc>
      </w:tr>
      <w:tr w:rsidR="006F0B97" w:rsidRPr="007E01BA" w14:paraId="4DC56326" w14:textId="77777777" w:rsidTr="00F67C81">
        <w:trPr>
          <w:trHeight w:val="310"/>
          <w:tblHeader/>
        </w:trPr>
        <w:tc>
          <w:tcPr>
            <w:tcW w:w="197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56323" w14:textId="77777777" w:rsidR="006F0B97" w:rsidRPr="007E01BA" w:rsidRDefault="006F0B97" w:rsidP="00F67C81">
            <w:pPr>
              <w:ind w:right="240"/>
              <w:jc w:val="center"/>
              <w:rPr>
                <w:rFonts w:ascii="Times New Roman" w:hAnsi="Times New Roman" w:cs="Times New Roman"/>
                <w:sz w:val="24"/>
                <w:szCs w:val="24"/>
              </w:rPr>
            </w:pPr>
          </w:p>
        </w:tc>
        <w:tc>
          <w:tcPr>
            <w:tcW w:w="748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C56324" w14:textId="77777777" w:rsidR="006F0B97" w:rsidRPr="007E01BA" w:rsidRDefault="006F0B97" w:rsidP="00F67C81">
            <w:pPr>
              <w:ind w:right="240"/>
              <w:jc w:val="center"/>
              <w:rPr>
                <w:rFonts w:ascii="Times New Roman" w:hAnsi="Times New Roman" w:cs="Times New Roman"/>
                <w:color w:val="000000"/>
                <w:sz w:val="24"/>
                <w:szCs w:val="24"/>
              </w:rPr>
            </w:pPr>
            <w:r w:rsidRPr="007E01BA">
              <w:rPr>
                <w:rFonts w:ascii="Times New Roman" w:hAnsi="Times New Roman" w:cs="Times New Roman"/>
                <w:sz w:val="24"/>
                <w:szCs w:val="24"/>
              </w:rPr>
              <w:t>pedagoginio darbo stažas (metais)</w:t>
            </w:r>
          </w:p>
        </w:tc>
        <w:tc>
          <w:tcPr>
            <w:tcW w:w="16" w:type="dxa"/>
            <w:tcBorders>
              <w:left w:val="single" w:sz="4" w:space="0" w:color="auto"/>
            </w:tcBorders>
            <w:vAlign w:val="center"/>
          </w:tcPr>
          <w:p w14:paraId="4DC56325" w14:textId="77777777" w:rsidR="006F0B97" w:rsidRPr="007E01BA" w:rsidRDefault="006F0B97" w:rsidP="00F67C81">
            <w:pPr>
              <w:rPr>
                <w:rFonts w:ascii="Times New Roman" w:hAnsi="Times New Roman" w:cs="Times New Roman"/>
                <w:b/>
                <w:sz w:val="24"/>
                <w:szCs w:val="24"/>
              </w:rPr>
            </w:pPr>
          </w:p>
        </w:tc>
      </w:tr>
      <w:tr w:rsidR="006F0B97" w:rsidRPr="007E01BA" w14:paraId="4DC5632C" w14:textId="77777777" w:rsidTr="00F67C81">
        <w:trPr>
          <w:trHeight w:val="290"/>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4DC56327" w14:textId="77777777" w:rsidR="006F0B97" w:rsidRPr="007E01BA" w:rsidRDefault="006F0B97" w:rsidP="00F67C81">
            <w:pPr>
              <w:rPr>
                <w:rFonts w:ascii="Times New Roman" w:hAnsi="Times New Roman" w:cs="Times New Roman"/>
                <w:sz w:val="24"/>
                <w:szCs w:val="24"/>
              </w:rPr>
            </w:pPr>
          </w:p>
        </w:tc>
        <w:tc>
          <w:tcPr>
            <w:tcW w:w="224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8"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iki 10 metų </w:t>
            </w:r>
          </w:p>
        </w:tc>
        <w:tc>
          <w:tcPr>
            <w:tcW w:w="269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9"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nuo daugiau kaip 10 iki 15 metų</w:t>
            </w:r>
          </w:p>
        </w:tc>
        <w:tc>
          <w:tcPr>
            <w:tcW w:w="255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5632A" w14:textId="77777777" w:rsidR="006F0B97" w:rsidRPr="007E01BA" w:rsidRDefault="006F0B97" w:rsidP="00F67C81">
            <w:pPr>
              <w:ind w:right="240"/>
              <w:jc w:val="center"/>
              <w:rPr>
                <w:rFonts w:ascii="Times New Roman" w:hAnsi="Times New Roman" w:cs="Times New Roman"/>
                <w:sz w:val="24"/>
                <w:szCs w:val="24"/>
              </w:rPr>
            </w:pPr>
            <w:r w:rsidRPr="007E01BA">
              <w:rPr>
                <w:rFonts w:ascii="Times New Roman" w:hAnsi="Times New Roman" w:cs="Times New Roman"/>
                <w:color w:val="000000"/>
                <w:sz w:val="24"/>
                <w:szCs w:val="24"/>
              </w:rPr>
              <w:t>daugiau kaip 15 metų</w:t>
            </w:r>
          </w:p>
        </w:tc>
        <w:tc>
          <w:tcPr>
            <w:tcW w:w="16" w:type="dxa"/>
            <w:tcBorders>
              <w:left w:val="single" w:sz="4" w:space="0" w:color="auto"/>
            </w:tcBorders>
            <w:vAlign w:val="center"/>
            <w:hideMark/>
          </w:tcPr>
          <w:p w14:paraId="4DC5632B" w14:textId="77777777" w:rsidR="006F0B97" w:rsidRPr="007E01BA" w:rsidRDefault="006F0B97" w:rsidP="00F67C81">
            <w:pPr>
              <w:rPr>
                <w:rFonts w:ascii="Times New Roman" w:hAnsi="Times New Roman" w:cs="Times New Roman"/>
                <w:b/>
                <w:sz w:val="24"/>
                <w:szCs w:val="24"/>
              </w:rPr>
            </w:pPr>
          </w:p>
        </w:tc>
      </w:tr>
      <w:tr w:rsidR="006F0B97" w:rsidRPr="007E01BA" w14:paraId="4DC56332" w14:textId="77777777" w:rsidTr="00F67C81">
        <w:trPr>
          <w:trHeight w:val="405"/>
          <w:tblHeader/>
        </w:trPr>
        <w:tc>
          <w:tcPr>
            <w:tcW w:w="1975" w:type="dxa"/>
            <w:vMerge/>
            <w:tcBorders>
              <w:top w:val="single" w:sz="4" w:space="0" w:color="auto"/>
              <w:left w:val="single" w:sz="4" w:space="0" w:color="auto"/>
              <w:bottom w:val="single" w:sz="4" w:space="0" w:color="auto"/>
              <w:right w:val="single" w:sz="4" w:space="0" w:color="auto"/>
            </w:tcBorders>
            <w:vAlign w:val="center"/>
            <w:hideMark/>
          </w:tcPr>
          <w:p w14:paraId="4DC5632D" w14:textId="77777777" w:rsidR="006F0B97" w:rsidRPr="007E01BA" w:rsidRDefault="006F0B97" w:rsidP="00F67C81">
            <w:pPr>
              <w:rPr>
                <w:rFonts w:ascii="Times New Roman" w:hAnsi="Times New Roman" w:cs="Times New Roman"/>
                <w:sz w:val="24"/>
                <w:szCs w:val="24"/>
              </w:rPr>
            </w:pPr>
          </w:p>
        </w:tc>
        <w:tc>
          <w:tcPr>
            <w:tcW w:w="2244" w:type="dxa"/>
            <w:vMerge/>
            <w:tcBorders>
              <w:top w:val="single" w:sz="4" w:space="0" w:color="auto"/>
              <w:left w:val="single" w:sz="4" w:space="0" w:color="auto"/>
              <w:bottom w:val="single" w:sz="4" w:space="0" w:color="auto"/>
              <w:right w:val="single" w:sz="4" w:space="0" w:color="auto"/>
            </w:tcBorders>
            <w:vAlign w:val="center"/>
            <w:hideMark/>
          </w:tcPr>
          <w:p w14:paraId="4DC5632E" w14:textId="77777777" w:rsidR="006F0B97" w:rsidRPr="007E01BA" w:rsidRDefault="006F0B97" w:rsidP="00F67C8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5632F" w14:textId="77777777" w:rsidR="006F0B97" w:rsidRPr="007E01BA" w:rsidRDefault="006F0B97" w:rsidP="00F67C81">
            <w:pPr>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C56330" w14:textId="77777777" w:rsidR="006F0B97" w:rsidRPr="007E01BA" w:rsidRDefault="006F0B97" w:rsidP="00F67C81">
            <w:pPr>
              <w:rPr>
                <w:rFonts w:ascii="Times New Roman" w:hAnsi="Times New Roman" w:cs="Times New Roman"/>
                <w:sz w:val="24"/>
                <w:szCs w:val="24"/>
              </w:rPr>
            </w:pPr>
          </w:p>
        </w:tc>
        <w:tc>
          <w:tcPr>
            <w:tcW w:w="16" w:type="dxa"/>
            <w:tcBorders>
              <w:left w:val="single" w:sz="4" w:space="0" w:color="auto"/>
            </w:tcBorders>
            <w:vAlign w:val="center"/>
            <w:hideMark/>
          </w:tcPr>
          <w:p w14:paraId="4DC56331" w14:textId="77777777" w:rsidR="006F0B97" w:rsidRPr="007E01BA" w:rsidRDefault="006F0B97" w:rsidP="00F67C81">
            <w:pPr>
              <w:rPr>
                <w:rFonts w:ascii="Times New Roman" w:hAnsi="Times New Roman" w:cs="Times New Roman"/>
                <w:b/>
                <w:sz w:val="24"/>
                <w:szCs w:val="24"/>
              </w:rPr>
            </w:pPr>
          </w:p>
        </w:tc>
      </w:tr>
      <w:tr w:rsidR="006F0B97" w:rsidRPr="007E01BA" w14:paraId="4DC5633C" w14:textId="77777777" w:rsidTr="00F67C81">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3"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iki 200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4"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7,6–10,71</w:t>
            </w:r>
          </w:p>
          <w:p w14:paraId="4DC56335" w14:textId="77777777" w:rsidR="006F0B97" w:rsidRPr="007E01BA" w:rsidRDefault="006F0B97" w:rsidP="00F67C81">
            <w:pPr>
              <w:jc w:val="center"/>
              <w:rPr>
                <w:rFonts w:ascii="Times New Roman" w:hAnsi="Times New Roman" w:cs="Times New Roman"/>
                <w:b/>
                <w:color w:val="000000"/>
                <w:sz w:val="24"/>
                <w:szCs w:val="24"/>
              </w:rPr>
            </w:pPr>
            <w:r w:rsidRPr="007E01BA">
              <w:rPr>
                <w:rFonts w:ascii="Times New Roman" w:hAnsi="Times New Roman" w:cs="Times New Roman"/>
                <w:b/>
                <w:color w:val="000000"/>
                <w:sz w:val="24"/>
                <w:szCs w:val="24"/>
              </w:rPr>
              <w:t>10,71</w:t>
            </w:r>
          </w:p>
          <w:p w14:paraId="4DC56336" w14:textId="77777777" w:rsidR="006F0B97" w:rsidRPr="007E01BA" w:rsidRDefault="006F0B97" w:rsidP="00F67C81">
            <w:pPr>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7"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7,8–11,1</w:t>
            </w:r>
          </w:p>
          <w:p w14:paraId="4DC56338"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11,1</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9"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8,0–11,37</w:t>
            </w:r>
          </w:p>
          <w:p w14:paraId="4DC5633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11,37</w:t>
            </w:r>
          </w:p>
        </w:tc>
        <w:tc>
          <w:tcPr>
            <w:tcW w:w="16" w:type="dxa"/>
            <w:tcBorders>
              <w:left w:val="single" w:sz="4" w:space="0" w:color="auto"/>
            </w:tcBorders>
            <w:vAlign w:val="center"/>
            <w:hideMark/>
          </w:tcPr>
          <w:p w14:paraId="4DC5633B" w14:textId="77777777" w:rsidR="006F0B97" w:rsidRPr="007E01BA" w:rsidRDefault="006F0B97" w:rsidP="00F67C81">
            <w:pPr>
              <w:rPr>
                <w:rFonts w:ascii="Times New Roman" w:hAnsi="Times New Roman" w:cs="Times New Roman"/>
                <w:b/>
                <w:sz w:val="24"/>
                <w:szCs w:val="24"/>
              </w:rPr>
            </w:pPr>
          </w:p>
        </w:tc>
      </w:tr>
      <w:tr w:rsidR="006F0B97" w:rsidRPr="007E01BA" w14:paraId="4DC56345" w14:textId="77777777" w:rsidTr="00F67C81">
        <w:trPr>
          <w:trHeight w:val="29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D"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201–400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3E"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8,4–11,7</w:t>
            </w:r>
          </w:p>
          <w:p w14:paraId="4DC5633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11,7</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0"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8,6–11,8</w:t>
            </w:r>
          </w:p>
          <w:p w14:paraId="4DC5634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t>11,8</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2"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8,8–11,81</w:t>
            </w:r>
          </w:p>
          <w:p w14:paraId="4DC5634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11,81</w:t>
            </w:r>
          </w:p>
        </w:tc>
        <w:tc>
          <w:tcPr>
            <w:tcW w:w="16" w:type="dxa"/>
            <w:tcBorders>
              <w:left w:val="single" w:sz="4" w:space="0" w:color="auto"/>
            </w:tcBorders>
            <w:vAlign w:val="center"/>
            <w:hideMark/>
          </w:tcPr>
          <w:p w14:paraId="4DC56344" w14:textId="77777777" w:rsidR="006F0B97" w:rsidRPr="007E01BA" w:rsidRDefault="006F0B97" w:rsidP="00F67C81">
            <w:pPr>
              <w:rPr>
                <w:rFonts w:ascii="Times New Roman" w:hAnsi="Times New Roman" w:cs="Times New Roman"/>
                <w:b/>
                <w:sz w:val="24"/>
                <w:szCs w:val="24"/>
              </w:rPr>
            </w:pPr>
          </w:p>
        </w:tc>
      </w:tr>
      <w:tr w:rsidR="006F0B97" w:rsidRPr="007E01BA" w14:paraId="4DC5634E"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6"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401–600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7"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9,0–11,74</w:t>
            </w:r>
          </w:p>
          <w:p w14:paraId="4DC56348"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11,74</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9"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9,2–11,82</w:t>
            </w:r>
          </w:p>
          <w:p w14:paraId="4DC5634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11,82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B"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9,4–11,85</w:t>
            </w:r>
          </w:p>
          <w:p w14:paraId="4DC5634C"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11,85</w:t>
            </w:r>
          </w:p>
        </w:tc>
        <w:tc>
          <w:tcPr>
            <w:tcW w:w="16" w:type="dxa"/>
            <w:tcBorders>
              <w:left w:val="single" w:sz="4" w:space="0" w:color="auto"/>
            </w:tcBorders>
            <w:vAlign w:val="center"/>
            <w:hideMark/>
          </w:tcPr>
          <w:p w14:paraId="4DC5634D" w14:textId="77777777" w:rsidR="006F0B97" w:rsidRPr="007E01BA" w:rsidRDefault="006F0B97" w:rsidP="00F67C81">
            <w:pPr>
              <w:rPr>
                <w:rFonts w:ascii="Times New Roman" w:hAnsi="Times New Roman" w:cs="Times New Roman"/>
                <w:b/>
                <w:sz w:val="24"/>
                <w:szCs w:val="24"/>
              </w:rPr>
            </w:pPr>
          </w:p>
        </w:tc>
      </w:tr>
      <w:tr w:rsidR="006F0B97" w:rsidRPr="007E01BA" w14:paraId="4DC56357"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4F"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t>601–1 000</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0"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9,6–12,6</w:t>
            </w:r>
          </w:p>
          <w:p w14:paraId="4DC56351"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color w:val="000000"/>
                <w:sz w:val="24"/>
                <w:szCs w:val="24"/>
              </w:rPr>
              <w:lastRenderedPageBreak/>
              <w:t>12,6</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lastRenderedPageBreak/>
              <w:t>9,8–12,62</w:t>
            </w:r>
          </w:p>
          <w:p w14:paraId="4DC56353"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lastRenderedPageBreak/>
              <w:t>12,62</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lastRenderedPageBreak/>
              <w:t>10,0–12,65</w:t>
            </w:r>
          </w:p>
          <w:p w14:paraId="4DC56355"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lastRenderedPageBreak/>
              <w:t>12,65</w:t>
            </w:r>
          </w:p>
        </w:tc>
        <w:tc>
          <w:tcPr>
            <w:tcW w:w="16" w:type="dxa"/>
            <w:tcBorders>
              <w:left w:val="single" w:sz="4" w:space="0" w:color="auto"/>
            </w:tcBorders>
            <w:vAlign w:val="center"/>
            <w:hideMark/>
          </w:tcPr>
          <w:p w14:paraId="4DC56356" w14:textId="77777777" w:rsidR="006F0B97" w:rsidRPr="007E01BA" w:rsidRDefault="006F0B97" w:rsidP="00F67C81">
            <w:pPr>
              <w:rPr>
                <w:rFonts w:ascii="Times New Roman" w:hAnsi="Times New Roman" w:cs="Times New Roman"/>
                <w:b/>
                <w:sz w:val="24"/>
                <w:szCs w:val="24"/>
              </w:rPr>
            </w:pPr>
          </w:p>
        </w:tc>
      </w:tr>
      <w:tr w:rsidR="006F0B97" w:rsidRPr="007E01BA" w14:paraId="4DC56360" w14:textId="77777777" w:rsidTr="00F67C81">
        <w:trPr>
          <w:trHeight w:val="310"/>
        </w:trPr>
        <w:tc>
          <w:tcPr>
            <w:tcW w:w="1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DC56358" w14:textId="77777777" w:rsidR="006F0B97" w:rsidRPr="007E01BA" w:rsidRDefault="006F0B97" w:rsidP="00F67C81">
            <w:pPr>
              <w:ind w:right="240"/>
              <w:rPr>
                <w:rFonts w:ascii="Times New Roman" w:hAnsi="Times New Roman" w:cs="Times New Roman"/>
                <w:sz w:val="24"/>
                <w:szCs w:val="24"/>
              </w:rPr>
            </w:pPr>
            <w:r w:rsidRPr="007E01BA">
              <w:rPr>
                <w:rFonts w:ascii="Times New Roman" w:hAnsi="Times New Roman" w:cs="Times New Roman"/>
                <w:color w:val="000000"/>
                <w:sz w:val="24"/>
                <w:szCs w:val="24"/>
              </w:rPr>
              <w:lastRenderedPageBreak/>
              <w:t>1 001 ir daugiau</w:t>
            </w:r>
          </w:p>
        </w:tc>
        <w:tc>
          <w:tcPr>
            <w:tcW w:w="224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9" w14:textId="77777777" w:rsidR="006F0B97" w:rsidRPr="007E01BA" w:rsidRDefault="006F0B97" w:rsidP="00F67C81">
            <w:pPr>
              <w:jc w:val="center"/>
              <w:rPr>
                <w:rFonts w:ascii="Times New Roman" w:hAnsi="Times New Roman" w:cs="Times New Roman"/>
                <w:strike/>
                <w:color w:val="000000"/>
                <w:sz w:val="24"/>
                <w:szCs w:val="24"/>
              </w:rPr>
            </w:pPr>
            <w:r w:rsidRPr="007E01BA">
              <w:rPr>
                <w:rFonts w:ascii="Times New Roman" w:hAnsi="Times New Roman" w:cs="Times New Roman"/>
                <w:strike/>
                <w:color w:val="000000"/>
                <w:sz w:val="24"/>
                <w:szCs w:val="24"/>
              </w:rPr>
              <w:t>10,2–12,6</w:t>
            </w:r>
          </w:p>
          <w:p w14:paraId="4DC5635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color w:val="000000"/>
                <w:sz w:val="24"/>
                <w:szCs w:val="24"/>
              </w:rPr>
              <w:t>12,62</w:t>
            </w:r>
          </w:p>
        </w:tc>
        <w:tc>
          <w:tcPr>
            <w:tcW w:w="269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B"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10,4–12,64</w:t>
            </w:r>
          </w:p>
          <w:p w14:paraId="4DC5635C"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12,64</w:t>
            </w:r>
          </w:p>
        </w:tc>
        <w:tc>
          <w:tcPr>
            <w:tcW w:w="2552"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4DC5635D"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10,6–12,68</w:t>
            </w:r>
          </w:p>
          <w:p w14:paraId="4DC5635E" w14:textId="54C048D4"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b/>
                <w:sz w:val="24"/>
                <w:szCs w:val="24"/>
              </w:rPr>
              <w:t>12,68“</w:t>
            </w:r>
            <w:r w:rsidR="00B4408E" w:rsidRPr="007E01BA">
              <w:rPr>
                <w:rFonts w:ascii="Times New Roman" w:hAnsi="Times New Roman" w:cs="Times New Roman"/>
                <w:b/>
                <w:sz w:val="24"/>
                <w:szCs w:val="24"/>
              </w:rPr>
              <w:t>.</w:t>
            </w:r>
          </w:p>
        </w:tc>
        <w:tc>
          <w:tcPr>
            <w:tcW w:w="16" w:type="dxa"/>
            <w:tcBorders>
              <w:left w:val="single" w:sz="4" w:space="0" w:color="auto"/>
            </w:tcBorders>
            <w:vAlign w:val="center"/>
            <w:hideMark/>
          </w:tcPr>
          <w:p w14:paraId="4DC5635F" w14:textId="77777777" w:rsidR="006F0B97" w:rsidRPr="007E01BA" w:rsidRDefault="006F0B97" w:rsidP="00F67C81">
            <w:pPr>
              <w:rPr>
                <w:rFonts w:ascii="Times New Roman" w:hAnsi="Times New Roman" w:cs="Times New Roman"/>
                <w:b/>
                <w:sz w:val="24"/>
                <w:szCs w:val="24"/>
              </w:rPr>
            </w:pPr>
          </w:p>
        </w:tc>
      </w:tr>
    </w:tbl>
    <w:p w14:paraId="4DC56361" w14:textId="77777777" w:rsidR="006F0B97" w:rsidRPr="007E01BA" w:rsidRDefault="006F0B97" w:rsidP="006F0B97">
      <w:pPr>
        <w:jc w:val="both"/>
        <w:rPr>
          <w:rFonts w:ascii="Times New Roman" w:hAnsi="Times New Roman" w:cs="Times New Roman"/>
          <w:sz w:val="24"/>
          <w:szCs w:val="24"/>
        </w:rPr>
      </w:pPr>
    </w:p>
    <w:p w14:paraId="4DC56362"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3. Pakeisti Įstatymo 5 priedo 43 punktą ir jį išdėstyti taip:</w:t>
      </w:r>
    </w:p>
    <w:p w14:paraId="4DC56363" w14:textId="77777777" w:rsidR="006F0B97" w:rsidRPr="007E01BA" w:rsidRDefault="006F0B97" w:rsidP="00B3497D">
      <w:pPr>
        <w:spacing w:after="0" w:line="240" w:lineRule="auto"/>
        <w:ind w:firstLine="720"/>
        <w:jc w:val="both"/>
        <w:textAlignment w:val="baseline"/>
        <w:rPr>
          <w:rFonts w:ascii="Times New Roman" w:hAnsi="Times New Roman" w:cs="Times New Roman"/>
          <w:sz w:val="24"/>
          <w:szCs w:val="24"/>
        </w:rPr>
      </w:pPr>
      <w:r w:rsidRPr="007E01BA">
        <w:rPr>
          <w:rFonts w:ascii="Times New Roman" w:hAnsi="Times New Roman" w:cs="Times New Roman"/>
          <w:sz w:val="24"/>
          <w:szCs w:val="24"/>
        </w:rPr>
        <w:t xml:space="preserve">„43. Mokyklų vadovų pavaduotojų ugdymui pareiginės algos pastoviosios dalies koeficientai: </w:t>
      </w:r>
    </w:p>
    <w:p w14:paraId="4DC56364" w14:textId="77777777" w:rsidR="00B3497D" w:rsidRPr="007E01BA" w:rsidRDefault="00B3497D" w:rsidP="00B3497D">
      <w:pPr>
        <w:spacing w:after="0" w:line="240" w:lineRule="auto"/>
        <w:ind w:firstLine="7371"/>
        <w:textAlignment w:val="baseline"/>
        <w:rPr>
          <w:rFonts w:ascii="Times New Roman" w:hAnsi="Times New Roman" w:cs="Times New Roman"/>
          <w:color w:val="000000"/>
          <w:sz w:val="24"/>
          <w:szCs w:val="24"/>
        </w:rPr>
      </w:pPr>
    </w:p>
    <w:p w14:paraId="4DC56365" w14:textId="77777777" w:rsidR="006F0B97" w:rsidRPr="007E01BA" w:rsidRDefault="006F0B97" w:rsidP="00B3497D">
      <w:pPr>
        <w:spacing w:after="0" w:line="240" w:lineRule="auto"/>
        <w:ind w:firstLine="7371"/>
        <w:textAlignment w:val="baseline"/>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93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3"/>
        <w:gridCol w:w="2410"/>
        <w:gridCol w:w="2268"/>
        <w:gridCol w:w="2157"/>
      </w:tblGrid>
      <w:tr w:rsidR="006F0B97" w:rsidRPr="007E01BA" w14:paraId="4DC56368" w14:textId="77777777" w:rsidTr="00F67C81">
        <w:trPr>
          <w:trHeight w:val="294"/>
        </w:trPr>
        <w:tc>
          <w:tcPr>
            <w:tcW w:w="2523" w:type="dxa"/>
            <w:vMerge w:val="restart"/>
            <w:tcMar>
              <w:top w:w="0" w:type="dxa"/>
              <w:left w:w="108" w:type="dxa"/>
              <w:bottom w:w="0" w:type="dxa"/>
              <w:right w:w="108" w:type="dxa"/>
            </w:tcMar>
            <w:vAlign w:val="center"/>
            <w:hideMark/>
          </w:tcPr>
          <w:p w14:paraId="4DC5636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Mokinių skaičius</w:t>
            </w:r>
          </w:p>
        </w:tc>
        <w:tc>
          <w:tcPr>
            <w:tcW w:w="6835" w:type="dxa"/>
            <w:gridSpan w:val="3"/>
            <w:tcMar>
              <w:top w:w="0" w:type="dxa"/>
              <w:left w:w="108" w:type="dxa"/>
              <w:bottom w:w="0" w:type="dxa"/>
              <w:right w:w="108" w:type="dxa"/>
            </w:tcMar>
            <w:hideMark/>
          </w:tcPr>
          <w:p w14:paraId="4DC5636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Pastoviosios dalies koeficientai</w:t>
            </w:r>
          </w:p>
        </w:tc>
      </w:tr>
      <w:tr w:rsidR="006F0B97" w:rsidRPr="007E01BA" w14:paraId="4DC5636B" w14:textId="77777777" w:rsidTr="00F67C81">
        <w:trPr>
          <w:trHeight w:val="228"/>
        </w:trPr>
        <w:tc>
          <w:tcPr>
            <w:tcW w:w="2523" w:type="dxa"/>
            <w:vMerge/>
            <w:vAlign w:val="center"/>
            <w:hideMark/>
          </w:tcPr>
          <w:p w14:paraId="4DC56369" w14:textId="77777777" w:rsidR="006F0B97" w:rsidRPr="007E01BA" w:rsidRDefault="006F0B97" w:rsidP="00F67C81">
            <w:pPr>
              <w:rPr>
                <w:rFonts w:ascii="Times New Roman" w:hAnsi="Times New Roman" w:cs="Times New Roman"/>
                <w:sz w:val="24"/>
                <w:szCs w:val="24"/>
              </w:rPr>
            </w:pPr>
          </w:p>
        </w:tc>
        <w:tc>
          <w:tcPr>
            <w:tcW w:w="6835" w:type="dxa"/>
            <w:gridSpan w:val="3"/>
            <w:tcMar>
              <w:top w:w="0" w:type="dxa"/>
              <w:left w:w="108" w:type="dxa"/>
              <w:bottom w:w="0" w:type="dxa"/>
              <w:right w:w="108" w:type="dxa"/>
            </w:tcMar>
            <w:hideMark/>
          </w:tcPr>
          <w:p w14:paraId="4DC5636A"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r>
      <w:tr w:rsidR="006F0B97" w:rsidRPr="007E01BA" w14:paraId="4DC56370" w14:textId="77777777" w:rsidTr="00F67C81">
        <w:trPr>
          <w:trHeight w:val="391"/>
        </w:trPr>
        <w:tc>
          <w:tcPr>
            <w:tcW w:w="2523" w:type="dxa"/>
            <w:vMerge/>
            <w:tcBorders>
              <w:bottom w:val="single" w:sz="2" w:space="0" w:color="auto"/>
            </w:tcBorders>
            <w:vAlign w:val="center"/>
            <w:hideMark/>
          </w:tcPr>
          <w:p w14:paraId="4DC5636C" w14:textId="77777777" w:rsidR="006F0B97" w:rsidRPr="007E01BA" w:rsidRDefault="006F0B97" w:rsidP="00F67C81">
            <w:pPr>
              <w:rPr>
                <w:rFonts w:ascii="Times New Roman" w:hAnsi="Times New Roman" w:cs="Times New Roman"/>
                <w:sz w:val="24"/>
                <w:szCs w:val="24"/>
              </w:rPr>
            </w:pPr>
          </w:p>
        </w:tc>
        <w:tc>
          <w:tcPr>
            <w:tcW w:w="2410" w:type="dxa"/>
            <w:tcMar>
              <w:top w:w="0" w:type="dxa"/>
              <w:left w:w="108" w:type="dxa"/>
              <w:bottom w:w="0" w:type="dxa"/>
              <w:right w:w="108" w:type="dxa"/>
            </w:tcMar>
            <w:vAlign w:val="center"/>
            <w:hideMark/>
          </w:tcPr>
          <w:p w14:paraId="4DC5636D"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iki 10</w:t>
            </w:r>
          </w:p>
        </w:tc>
        <w:tc>
          <w:tcPr>
            <w:tcW w:w="2268" w:type="dxa"/>
            <w:tcMar>
              <w:top w:w="0" w:type="dxa"/>
              <w:left w:w="108" w:type="dxa"/>
              <w:bottom w:w="0" w:type="dxa"/>
              <w:right w:w="108" w:type="dxa"/>
            </w:tcMar>
            <w:vAlign w:val="center"/>
            <w:hideMark/>
          </w:tcPr>
          <w:p w14:paraId="4DC5636E"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nuo</w:t>
            </w:r>
            <w:r w:rsidRPr="007E01BA">
              <w:rPr>
                <w:rFonts w:ascii="Times New Roman" w:hAnsi="Times New Roman" w:cs="Times New Roman"/>
                <w:sz w:val="24"/>
                <w:szCs w:val="24"/>
              </w:rPr>
              <w:t xml:space="preserve"> daugiau kaip 10 iki 15 </w:t>
            </w:r>
          </w:p>
        </w:tc>
        <w:tc>
          <w:tcPr>
            <w:tcW w:w="2157" w:type="dxa"/>
            <w:tcMar>
              <w:top w:w="0" w:type="dxa"/>
              <w:left w:w="108" w:type="dxa"/>
              <w:bottom w:w="0" w:type="dxa"/>
              <w:right w:w="108" w:type="dxa"/>
            </w:tcMar>
            <w:vAlign w:val="center"/>
            <w:hideMark/>
          </w:tcPr>
          <w:p w14:paraId="4DC5636F"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 xml:space="preserve">daugiau kaip 15 </w:t>
            </w:r>
          </w:p>
        </w:tc>
      </w:tr>
      <w:tr w:rsidR="006F0B97" w:rsidRPr="007E01BA" w14:paraId="4DC56378" w14:textId="77777777" w:rsidTr="00F67C81">
        <w:trPr>
          <w:trHeight w:val="324"/>
        </w:trPr>
        <w:tc>
          <w:tcPr>
            <w:tcW w:w="252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DC56371"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iki 500</w:t>
            </w:r>
          </w:p>
        </w:tc>
        <w:tc>
          <w:tcPr>
            <w:tcW w:w="2410" w:type="dxa"/>
            <w:tcBorders>
              <w:left w:val="single" w:sz="2" w:space="0" w:color="auto"/>
            </w:tcBorders>
            <w:tcMar>
              <w:top w:w="0" w:type="dxa"/>
              <w:left w:w="108" w:type="dxa"/>
              <w:bottom w:w="0" w:type="dxa"/>
              <w:right w:w="108" w:type="dxa"/>
            </w:tcMar>
            <w:vAlign w:val="center"/>
            <w:hideMark/>
          </w:tcPr>
          <w:p w14:paraId="4DC5637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5,76–10,44</w:t>
            </w:r>
          </w:p>
          <w:p w14:paraId="4DC56373"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10,44</w:t>
            </w:r>
          </w:p>
        </w:tc>
        <w:tc>
          <w:tcPr>
            <w:tcW w:w="2268" w:type="dxa"/>
            <w:tcMar>
              <w:top w:w="0" w:type="dxa"/>
              <w:left w:w="108" w:type="dxa"/>
              <w:bottom w:w="0" w:type="dxa"/>
              <w:right w:w="108" w:type="dxa"/>
            </w:tcMar>
            <w:vAlign w:val="center"/>
            <w:hideMark/>
          </w:tcPr>
          <w:p w14:paraId="4DC56374"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5,97–10,46</w:t>
            </w:r>
          </w:p>
          <w:p w14:paraId="4DC56375"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10,46</w:t>
            </w:r>
          </w:p>
        </w:tc>
        <w:tc>
          <w:tcPr>
            <w:tcW w:w="2157" w:type="dxa"/>
            <w:tcMar>
              <w:top w:w="0" w:type="dxa"/>
              <w:left w:w="108" w:type="dxa"/>
              <w:bottom w:w="0" w:type="dxa"/>
              <w:right w:w="108" w:type="dxa"/>
            </w:tcMar>
            <w:vAlign w:val="center"/>
            <w:hideMark/>
          </w:tcPr>
          <w:p w14:paraId="4DC56376"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6,15–10,48</w:t>
            </w:r>
          </w:p>
          <w:p w14:paraId="4DC56377"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10,48</w:t>
            </w:r>
          </w:p>
        </w:tc>
      </w:tr>
      <w:tr w:rsidR="006F0B97" w:rsidRPr="007E01BA" w14:paraId="4DC56380" w14:textId="77777777" w:rsidTr="00F67C81">
        <w:trPr>
          <w:trHeight w:val="324"/>
        </w:trPr>
        <w:tc>
          <w:tcPr>
            <w:tcW w:w="2523" w:type="dxa"/>
            <w:tcBorders>
              <w:top w:val="single" w:sz="2" w:space="0" w:color="auto"/>
            </w:tcBorders>
            <w:tcMar>
              <w:top w:w="0" w:type="dxa"/>
              <w:left w:w="108" w:type="dxa"/>
              <w:bottom w:w="0" w:type="dxa"/>
              <w:right w:w="108" w:type="dxa"/>
            </w:tcMar>
            <w:vAlign w:val="center"/>
            <w:hideMark/>
          </w:tcPr>
          <w:p w14:paraId="4DC56379"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501 ir daugiau</w:t>
            </w:r>
          </w:p>
        </w:tc>
        <w:tc>
          <w:tcPr>
            <w:tcW w:w="2410" w:type="dxa"/>
            <w:tcMar>
              <w:top w:w="0" w:type="dxa"/>
              <w:left w:w="108" w:type="dxa"/>
              <w:bottom w:w="0" w:type="dxa"/>
              <w:right w:w="108" w:type="dxa"/>
            </w:tcMar>
            <w:vAlign w:val="center"/>
            <w:hideMark/>
          </w:tcPr>
          <w:p w14:paraId="4DC5637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7,16–10,5</w:t>
            </w:r>
          </w:p>
          <w:p w14:paraId="4DC5637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10,5</w:t>
            </w:r>
          </w:p>
        </w:tc>
        <w:tc>
          <w:tcPr>
            <w:tcW w:w="2268" w:type="dxa"/>
            <w:tcMar>
              <w:top w:w="0" w:type="dxa"/>
              <w:left w:w="108" w:type="dxa"/>
              <w:bottom w:w="0" w:type="dxa"/>
              <w:right w:w="108" w:type="dxa"/>
            </w:tcMar>
            <w:vAlign w:val="center"/>
            <w:hideMark/>
          </w:tcPr>
          <w:p w14:paraId="4DC5637C" w14:textId="77777777" w:rsidR="006F0B97" w:rsidRPr="007E01BA" w:rsidRDefault="006F0B97" w:rsidP="00F67C81">
            <w:pPr>
              <w:ind w:hanging="122"/>
              <w:jc w:val="center"/>
              <w:rPr>
                <w:rFonts w:ascii="Times New Roman" w:hAnsi="Times New Roman" w:cs="Times New Roman"/>
                <w:strike/>
                <w:sz w:val="24"/>
                <w:szCs w:val="24"/>
              </w:rPr>
            </w:pPr>
            <w:r w:rsidRPr="007E01BA">
              <w:rPr>
                <w:rFonts w:ascii="Times New Roman" w:hAnsi="Times New Roman" w:cs="Times New Roman"/>
                <w:strike/>
                <w:sz w:val="24"/>
                <w:szCs w:val="24"/>
              </w:rPr>
              <w:t>7,45–10,65</w:t>
            </w:r>
          </w:p>
          <w:p w14:paraId="4DC5637D" w14:textId="77777777" w:rsidR="006F0B97" w:rsidRPr="007E01BA" w:rsidRDefault="006F0B97" w:rsidP="00F67C81">
            <w:pPr>
              <w:ind w:hanging="122"/>
              <w:jc w:val="center"/>
              <w:rPr>
                <w:rFonts w:ascii="Times New Roman" w:hAnsi="Times New Roman" w:cs="Times New Roman"/>
                <w:b/>
                <w:sz w:val="24"/>
                <w:szCs w:val="24"/>
              </w:rPr>
            </w:pPr>
            <w:r w:rsidRPr="007E01BA">
              <w:rPr>
                <w:rFonts w:ascii="Times New Roman" w:hAnsi="Times New Roman" w:cs="Times New Roman"/>
                <w:b/>
                <w:sz w:val="24"/>
                <w:szCs w:val="24"/>
              </w:rPr>
              <w:t>10,65</w:t>
            </w:r>
          </w:p>
        </w:tc>
        <w:tc>
          <w:tcPr>
            <w:tcW w:w="2157" w:type="dxa"/>
            <w:tcMar>
              <w:top w:w="0" w:type="dxa"/>
              <w:left w:w="108" w:type="dxa"/>
              <w:bottom w:w="0" w:type="dxa"/>
              <w:right w:w="108" w:type="dxa"/>
            </w:tcMar>
            <w:vAlign w:val="center"/>
            <w:hideMark/>
          </w:tcPr>
          <w:p w14:paraId="4DC5637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7,66–10,8</w:t>
            </w:r>
          </w:p>
          <w:p w14:paraId="4DC5637F" w14:textId="6FB6C2E2"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10,8“</w:t>
            </w:r>
            <w:r w:rsidR="00B4408E" w:rsidRPr="007E01BA">
              <w:rPr>
                <w:rFonts w:ascii="Times New Roman" w:hAnsi="Times New Roman" w:cs="Times New Roman"/>
                <w:b/>
                <w:sz w:val="24"/>
                <w:szCs w:val="24"/>
              </w:rPr>
              <w:t>.</w:t>
            </w:r>
          </w:p>
        </w:tc>
      </w:tr>
    </w:tbl>
    <w:p w14:paraId="4DC56381" w14:textId="77777777" w:rsidR="006F0B97" w:rsidRPr="007E01BA" w:rsidRDefault="006F0B97" w:rsidP="006F0B97">
      <w:pPr>
        <w:rPr>
          <w:rFonts w:ascii="Times New Roman" w:hAnsi="Times New Roman" w:cs="Times New Roman"/>
          <w:sz w:val="24"/>
          <w:szCs w:val="24"/>
        </w:rPr>
      </w:pPr>
    </w:p>
    <w:p w14:paraId="4DC56382"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4. Pakeisti Įstatymo 5 priedo 47 punktą ir jį išdėstyti taip:</w:t>
      </w:r>
    </w:p>
    <w:p w14:paraId="4DC56383" w14:textId="77777777" w:rsidR="006F0B97" w:rsidRPr="007E01BA" w:rsidRDefault="006F0B97" w:rsidP="00B3497D">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 xml:space="preserve">„47. Šiame skyriuje nurodytų darbuotojų pareiginės algos pastoviosios dalies koeficientai: </w:t>
      </w:r>
    </w:p>
    <w:p w14:paraId="4DC56384" w14:textId="77777777" w:rsidR="00B3497D" w:rsidRPr="007E01BA" w:rsidRDefault="00B3497D" w:rsidP="00B3497D">
      <w:pPr>
        <w:spacing w:after="0" w:line="240" w:lineRule="auto"/>
        <w:ind w:firstLine="7371"/>
        <w:rPr>
          <w:rFonts w:ascii="Times New Roman" w:hAnsi="Times New Roman" w:cs="Times New Roman"/>
          <w:color w:val="000000"/>
          <w:sz w:val="24"/>
          <w:szCs w:val="24"/>
        </w:rPr>
      </w:pPr>
    </w:p>
    <w:p w14:paraId="4DC56385" w14:textId="77777777" w:rsidR="006F0B97" w:rsidRPr="007E01BA" w:rsidRDefault="006F0B97" w:rsidP="00B3497D">
      <w:pPr>
        <w:spacing w:after="0" w:line="240" w:lineRule="auto"/>
        <w:ind w:firstLine="7371"/>
        <w:rPr>
          <w:rFonts w:ascii="Times New Roman" w:hAnsi="Times New Roman" w:cs="Times New Roman"/>
          <w:sz w:val="24"/>
          <w:szCs w:val="24"/>
        </w:rPr>
      </w:pPr>
      <w:r w:rsidRPr="007E01BA">
        <w:rPr>
          <w:rFonts w:ascii="Times New Roman" w:hAnsi="Times New Roman" w:cs="Times New Roman"/>
          <w:color w:val="000000"/>
          <w:sz w:val="24"/>
          <w:szCs w:val="24"/>
        </w:rPr>
        <w:t>(Baziniais dydžiais)</w:t>
      </w:r>
    </w:p>
    <w:tbl>
      <w:tblPr>
        <w:tblW w:w="0" w:type="auto"/>
        <w:tblInd w:w="16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977"/>
        <w:gridCol w:w="6432"/>
      </w:tblGrid>
      <w:tr w:rsidR="006F0B97" w:rsidRPr="007E01BA" w14:paraId="4DC56388" w14:textId="77777777" w:rsidTr="00F67C81">
        <w:trPr>
          <w:trHeight w:val="300"/>
        </w:trPr>
        <w:tc>
          <w:tcPr>
            <w:tcW w:w="2977" w:type="dxa"/>
            <w:tcMar>
              <w:top w:w="0" w:type="dxa"/>
              <w:left w:w="108" w:type="dxa"/>
              <w:bottom w:w="0" w:type="dxa"/>
              <w:right w:w="108" w:type="dxa"/>
            </w:tcMar>
            <w:vAlign w:val="center"/>
            <w:hideMark/>
          </w:tcPr>
          <w:p w14:paraId="4DC56386"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sz w:val="24"/>
                <w:szCs w:val="24"/>
              </w:rPr>
              <w:t>Pedagoginio darbo stažas (metais)</w:t>
            </w:r>
          </w:p>
        </w:tc>
        <w:tc>
          <w:tcPr>
            <w:tcW w:w="6432" w:type="dxa"/>
            <w:tcMar>
              <w:top w:w="0" w:type="dxa"/>
              <w:left w:w="108" w:type="dxa"/>
              <w:bottom w:w="0" w:type="dxa"/>
              <w:right w:w="108" w:type="dxa"/>
            </w:tcMar>
            <w:vAlign w:val="center"/>
            <w:hideMark/>
          </w:tcPr>
          <w:p w14:paraId="4DC56387" w14:textId="77777777" w:rsidR="006F0B97" w:rsidRPr="007E01BA" w:rsidRDefault="006F0B97" w:rsidP="00F67C81">
            <w:pPr>
              <w:jc w:val="center"/>
              <w:rPr>
                <w:rFonts w:ascii="Times New Roman" w:hAnsi="Times New Roman" w:cs="Times New Roman"/>
                <w:sz w:val="24"/>
                <w:szCs w:val="24"/>
              </w:rPr>
            </w:pPr>
            <w:r w:rsidRPr="007E01BA">
              <w:rPr>
                <w:rFonts w:ascii="Times New Roman" w:hAnsi="Times New Roman" w:cs="Times New Roman"/>
                <w:color w:val="000000"/>
                <w:sz w:val="24"/>
                <w:szCs w:val="24"/>
              </w:rPr>
              <w:t xml:space="preserve">Pastoviosios dalies koeficientai </w:t>
            </w:r>
          </w:p>
        </w:tc>
      </w:tr>
      <w:tr w:rsidR="006F0B97" w:rsidRPr="007E01BA" w14:paraId="4DC5638C" w14:textId="77777777" w:rsidTr="00F67C81">
        <w:trPr>
          <w:trHeight w:val="300"/>
        </w:trPr>
        <w:tc>
          <w:tcPr>
            <w:tcW w:w="2977" w:type="dxa"/>
            <w:tcMar>
              <w:top w:w="0" w:type="dxa"/>
              <w:left w:w="108" w:type="dxa"/>
              <w:bottom w:w="0" w:type="dxa"/>
              <w:right w:w="108" w:type="dxa"/>
            </w:tcMar>
            <w:hideMark/>
          </w:tcPr>
          <w:p w14:paraId="4DC56389"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 xml:space="preserve">iki 10 </w:t>
            </w:r>
          </w:p>
        </w:tc>
        <w:tc>
          <w:tcPr>
            <w:tcW w:w="6432" w:type="dxa"/>
            <w:tcMar>
              <w:top w:w="0" w:type="dxa"/>
              <w:left w:w="108" w:type="dxa"/>
              <w:bottom w:w="0" w:type="dxa"/>
              <w:right w:w="108" w:type="dxa"/>
            </w:tcMar>
            <w:hideMark/>
          </w:tcPr>
          <w:p w14:paraId="4DC5638A"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4,85–8,68</w:t>
            </w:r>
          </w:p>
          <w:p w14:paraId="4DC5638B"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9,1</w:t>
            </w:r>
          </w:p>
        </w:tc>
      </w:tr>
      <w:tr w:rsidR="006F0B97" w:rsidRPr="007E01BA" w14:paraId="4DC56390" w14:textId="77777777" w:rsidTr="00F67C81">
        <w:trPr>
          <w:trHeight w:val="300"/>
        </w:trPr>
        <w:tc>
          <w:tcPr>
            <w:tcW w:w="2977" w:type="dxa"/>
            <w:tcMar>
              <w:top w:w="0" w:type="dxa"/>
              <w:left w:w="108" w:type="dxa"/>
              <w:bottom w:w="0" w:type="dxa"/>
              <w:right w:w="108" w:type="dxa"/>
            </w:tcMar>
            <w:hideMark/>
          </w:tcPr>
          <w:p w14:paraId="4DC5638D"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color w:val="000000"/>
                <w:sz w:val="24"/>
                <w:szCs w:val="24"/>
              </w:rPr>
              <w:t>nuo</w:t>
            </w:r>
            <w:r w:rsidRPr="007E01BA">
              <w:rPr>
                <w:rFonts w:ascii="Times New Roman" w:hAnsi="Times New Roman" w:cs="Times New Roman"/>
                <w:sz w:val="24"/>
                <w:szCs w:val="24"/>
              </w:rPr>
              <w:t xml:space="preserve"> daugiau kaip 10 iki 15 </w:t>
            </w:r>
          </w:p>
        </w:tc>
        <w:tc>
          <w:tcPr>
            <w:tcW w:w="6432" w:type="dxa"/>
            <w:tcMar>
              <w:top w:w="0" w:type="dxa"/>
              <w:left w:w="108" w:type="dxa"/>
              <w:bottom w:w="0" w:type="dxa"/>
              <w:right w:w="108" w:type="dxa"/>
            </w:tcMar>
            <w:hideMark/>
          </w:tcPr>
          <w:p w14:paraId="4DC5638E"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5,09–8,72</w:t>
            </w:r>
          </w:p>
          <w:p w14:paraId="4DC5638F" w14:textId="77777777"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9,5</w:t>
            </w:r>
          </w:p>
        </w:tc>
      </w:tr>
      <w:tr w:rsidR="006F0B97" w:rsidRPr="007E01BA" w14:paraId="4DC56394" w14:textId="77777777" w:rsidTr="00F67C81">
        <w:trPr>
          <w:trHeight w:val="300"/>
        </w:trPr>
        <w:tc>
          <w:tcPr>
            <w:tcW w:w="2977" w:type="dxa"/>
            <w:tcMar>
              <w:top w:w="0" w:type="dxa"/>
              <w:left w:w="108" w:type="dxa"/>
              <w:bottom w:w="0" w:type="dxa"/>
              <w:right w:w="108" w:type="dxa"/>
            </w:tcMar>
            <w:hideMark/>
          </w:tcPr>
          <w:p w14:paraId="4DC56391" w14:textId="77777777" w:rsidR="006F0B97" w:rsidRPr="007E01BA" w:rsidRDefault="006F0B97" w:rsidP="00F67C81">
            <w:pPr>
              <w:rPr>
                <w:rFonts w:ascii="Times New Roman" w:hAnsi="Times New Roman" w:cs="Times New Roman"/>
                <w:sz w:val="24"/>
                <w:szCs w:val="24"/>
              </w:rPr>
            </w:pPr>
            <w:r w:rsidRPr="007E01BA">
              <w:rPr>
                <w:rFonts w:ascii="Times New Roman" w:hAnsi="Times New Roman" w:cs="Times New Roman"/>
                <w:sz w:val="24"/>
                <w:szCs w:val="24"/>
              </w:rPr>
              <w:t xml:space="preserve">daugiau kaip 15 </w:t>
            </w:r>
          </w:p>
        </w:tc>
        <w:tc>
          <w:tcPr>
            <w:tcW w:w="6432" w:type="dxa"/>
            <w:tcMar>
              <w:top w:w="0" w:type="dxa"/>
              <w:left w:w="108" w:type="dxa"/>
              <w:bottom w:w="0" w:type="dxa"/>
              <w:right w:w="108" w:type="dxa"/>
            </w:tcMar>
            <w:hideMark/>
          </w:tcPr>
          <w:p w14:paraId="4DC56392" w14:textId="77777777" w:rsidR="006F0B97" w:rsidRPr="007E01BA" w:rsidRDefault="006F0B97" w:rsidP="00F67C81">
            <w:pPr>
              <w:jc w:val="center"/>
              <w:rPr>
                <w:rFonts w:ascii="Times New Roman" w:hAnsi="Times New Roman" w:cs="Times New Roman"/>
                <w:strike/>
                <w:sz w:val="24"/>
                <w:szCs w:val="24"/>
              </w:rPr>
            </w:pPr>
            <w:r w:rsidRPr="007E01BA">
              <w:rPr>
                <w:rFonts w:ascii="Times New Roman" w:hAnsi="Times New Roman" w:cs="Times New Roman"/>
                <w:strike/>
                <w:sz w:val="24"/>
                <w:szCs w:val="24"/>
              </w:rPr>
              <w:t>5,35–8,89</w:t>
            </w:r>
          </w:p>
          <w:p w14:paraId="4DC56393" w14:textId="515F3815" w:rsidR="006F0B97" w:rsidRPr="007E01BA" w:rsidRDefault="006F0B97" w:rsidP="00F67C81">
            <w:pPr>
              <w:jc w:val="center"/>
              <w:rPr>
                <w:rFonts w:ascii="Times New Roman" w:hAnsi="Times New Roman" w:cs="Times New Roman"/>
                <w:b/>
                <w:sz w:val="24"/>
                <w:szCs w:val="24"/>
              </w:rPr>
            </w:pPr>
            <w:r w:rsidRPr="007E01BA">
              <w:rPr>
                <w:rFonts w:ascii="Times New Roman" w:hAnsi="Times New Roman" w:cs="Times New Roman"/>
                <w:b/>
                <w:sz w:val="24"/>
                <w:szCs w:val="24"/>
              </w:rPr>
              <w:t>10,0“</w:t>
            </w:r>
            <w:r w:rsidR="00B4408E" w:rsidRPr="007E01BA">
              <w:rPr>
                <w:rFonts w:ascii="Times New Roman" w:hAnsi="Times New Roman" w:cs="Times New Roman"/>
                <w:b/>
                <w:sz w:val="24"/>
                <w:szCs w:val="24"/>
              </w:rPr>
              <w:t>.</w:t>
            </w:r>
          </w:p>
        </w:tc>
      </w:tr>
    </w:tbl>
    <w:p w14:paraId="4DC56395" w14:textId="77777777" w:rsidR="00B81AEE" w:rsidRPr="007E01BA" w:rsidRDefault="00B81AEE" w:rsidP="007A593F">
      <w:pPr>
        <w:spacing w:after="0" w:line="240" w:lineRule="auto"/>
        <w:ind w:firstLine="709"/>
        <w:jc w:val="both"/>
        <w:rPr>
          <w:rFonts w:ascii="Times New Roman" w:eastAsia="Times New Roman" w:hAnsi="Times New Roman" w:cs="Times New Roman"/>
          <w:b/>
          <w:sz w:val="24"/>
          <w:szCs w:val="24"/>
        </w:rPr>
      </w:pPr>
    </w:p>
    <w:p w14:paraId="4DC56396" w14:textId="77777777" w:rsidR="007A593F" w:rsidRPr="007E01BA" w:rsidRDefault="003C5994" w:rsidP="007A593F">
      <w:pPr>
        <w:spacing w:after="0" w:line="240" w:lineRule="auto"/>
        <w:ind w:firstLine="709"/>
        <w:jc w:val="both"/>
        <w:rPr>
          <w:rFonts w:ascii="Times New Roman" w:eastAsia="Times New Roman" w:hAnsi="Times New Roman" w:cs="Times New Roman"/>
          <w:sz w:val="24"/>
          <w:szCs w:val="24"/>
        </w:rPr>
      </w:pPr>
      <w:r w:rsidRPr="007E01BA">
        <w:rPr>
          <w:rFonts w:ascii="Times New Roman" w:eastAsia="Times New Roman" w:hAnsi="Times New Roman" w:cs="Times New Roman"/>
          <w:b/>
          <w:sz w:val="24"/>
          <w:szCs w:val="24"/>
        </w:rPr>
        <w:t>1</w:t>
      </w:r>
      <w:r w:rsidR="008C06E0" w:rsidRPr="007E01BA">
        <w:rPr>
          <w:rFonts w:ascii="Times New Roman" w:eastAsia="Times New Roman" w:hAnsi="Times New Roman" w:cs="Times New Roman"/>
          <w:b/>
          <w:sz w:val="24"/>
          <w:szCs w:val="24"/>
        </w:rPr>
        <w:t>2</w:t>
      </w:r>
      <w:r w:rsidR="007A593F" w:rsidRPr="007E01BA">
        <w:rPr>
          <w:rFonts w:ascii="Times New Roman" w:eastAsia="Times New Roman" w:hAnsi="Times New Roman" w:cs="Times New Roman"/>
          <w:b/>
          <w:sz w:val="24"/>
          <w:szCs w:val="24"/>
        </w:rPr>
        <w:t xml:space="preserve"> straipsnis. </w:t>
      </w:r>
      <w:r w:rsidR="007A593F" w:rsidRPr="007E01BA">
        <w:rPr>
          <w:rFonts w:ascii="Times New Roman" w:hAnsi="Times New Roman" w:cs="Times New Roman"/>
          <w:b/>
          <w:sz w:val="24"/>
          <w:szCs w:val="24"/>
        </w:rPr>
        <w:t>Įstatymo įsigaliojimas</w:t>
      </w:r>
      <w:r w:rsidR="004A6AEC" w:rsidRPr="007E01BA">
        <w:rPr>
          <w:rFonts w:ascii="Times New Roman" w:hAnsi="Times New Roman" w:cs="Times New Roman"/>
          <w:b/>
          <w:sz w:val="24"/>
          <w:szCs w:val="24"/>
        </w:rPr>
        <w:t xml:space="preserve"> </w:t>
      </w:r>
    </w:p>
    <w:p w14:paraId="4DC56397" w14:textId="77777777" w:rsidR="007A593F" w:rsidRPr="007E01BA" w:rsidRDefault="007A593F" w:rsidP="007A593F">
      <w:pPr>
        <w:spacing w:after="0" w:line="240" w:lineRule="auto"/>
        <w:ind w:firstLine="720"/>
        <w:jc w:val="both"/>
        <w:rPr>
          <w:rFonts w:ascii="Times New Roman" w:hAnsi="Times New Roman" w:cs="Times New Roman"/>
          <w:sz w:val="24"/>
          <w:szCs w:val="24"/>
        </w:rPr>
      </w:pPr>
      <w:r w:rsidRPr="007E01BA">
        <w:rPr>
          <w:rFonts w:ascii="Times New Roman" w:hAnsi="Times New Roman" w:cs="Times New Roman"/>
          <w:sz w:val="24"/>
          <w:szCs w:val="24"/>
        </w:rPr>
        <w:t>Šis įstatymas įsigalioja 2021 m. sausio 1 d.</w:t>
      </w:r>
    </w:p>
    <w:p w14:paraId="4DC56398" w14:textId="77777777" w:rsidR="003C5994" w:rsidRPr="007E01BA" w:rsidRDefault="003C5994" w:rsidP="00032961">
      <w:pPr>
        <w:spacing w:after="0" w:line="240" w:lineRule="auto"/>
        <w:ind w:firstLine="720"/>
        <w:jc w:val="both"/>
        <w:rPr>
          <w:rFonts w:ascii="Times New Roman" w:eastAsia="Times New Roman" w:hAnsi="Times New Roman" w:cs="Times New Roman"/>
          <w:color w:val="000000"/>
          <w:sz w:val="24"/>
          <w:szCs w:val="24"/>
        </w:rPr>
      </w:pPr>
      <w:bookmarkStart w:id="1" w:name="part_c63e586151a647098e3a21c7fa9aed80"/>
      <w:bookmarkEnd w:id="1"/>
    </w:p>
    <w:p w14:paraId="4DC56399" w14:textId="77777777" w:rsidR="007A593F" w:rsidRPr="007E01BA" w:rsidRDefault="007A593F" w:rsidP="007A593F">
      <w:pPr>
        <w:spacing w:after="0" w:line="240" w:lineRule="auto"/>
        <w:ind w:firstLine="720"/>
        <w:jc w:val="both"/>
        <w:rPr>
          <w:rFonts w:ascii="Times New Roman" w:hAnsi="Times New Roman" w:cs="Times New Roman"/>
          <w:sz w:val="24"/>
          <w:szCs w:val="24"/>
        </w:rPr>
      </w:pPr>
      <w:bookmarkStart w:id="2" w:name="part_6c98e05d67614a94b01ac23ef0df5811"/>
      <w:bookmarkStart w:id="3" w:name="part_78df2ab89a3a468c8aabfff6d14b1e8b"/>
      <w:bookmarkStart w:id="4" w:name="part_1254b0ed69ab450c91bf3c8c995e3317"/>
      <w:bookmarkEnd w:id="2"/>
      <w:bookmarkEnd w:id="3"/>
      <w:bookmarkEnd w:id="4"/>
    </w:p>
    <w:p w14:paraId="4DC5639A" w14:textId="77777777" w:rsidR="007A593F" w:rsidRPr="007E01BA" w:rsidRDefault="007A593F" w:rsidP="007A593F">
      <w:pPr>
        <w:spacing w:after="0" w:line="240" w:lineRule="auto"/>
        <w:ind w:firstLine="720"/>
        <w:jc w:val="both"/>
        <w:rPr>
          <w:rFonts w:ascii="Times New Roman" w:hAnsi="Times New Roman" w:cs="Times New Roman"/>
          <w:sz w:val="24"/>
          <w:szCs w:val="24"/>
        </w:rPr>
      </w:pPr>
    </w:p>
    <w:p w14:paraId="4DC5639B" w14:textId="77777777" w:rsidR="007A593F" w:rsidRPr="007E01BA" w:rsidRDefault="007A593F" w:rsidP="007A593F">
      <w:pPr>
        <w:spacing w:after="0" w:line="240" w:lineRule="auto"/>
        <w:ind w:firstLine="709"/>
        <w:jc w:val="both"/>
        <w:rPr>
          <w:rFonts w:ascii="Times New Roman" w:hAnsi="Times New Roman" w:cs="Times New Roman"/>
          <w:i/>
          <w:sz w:val="24"/>
          <w:szCs w:val="24"/>
        </w:rPr>
      </w:pPr>
      <w:r w:rsidRPr="007E01BA">
        <w:rPr>
          <w:rFonts w:ascii="Times New Roman" w:hAnsi="Times New Roman" w:cs="Times New Roman"/>
          <w:i/>
          <w:sz w:val="24"/>
          <w:szCs w:val="24"/>
        </w:rPr>
        <w:t>Skelbiu šį Lietuvos Respublikos Seimo priimtą įstatymą.</w:t>
      </w:r>
    </w:p>
    <w:p w14:paraId="4DC5639C" w14:textId="77777777" w:rsidR="007A593F" w:rsidRPr="007E01BA" w:rsidRDefault="007A593F" w:rsidP="007A593F">
      <w:pPr>
        <w:tabs>
          <w:tab w:val="left" w:pos="0"/>
        </w:tabs>
        <w:spacing w:after="0" w:line="240" w:lineRule="auto"/>
        <w:ind w:firstLine="709"/>
        <w:jc w:val="both"/>
        <w:rPr>
          <w:rFonts w:ascii="Times New Roman" w:hAnsi="Times New Roman" w:cs="Times New Roman"/>
          <w:sz w:val="24"/>
          <w:szCs w:val="24"/>
        </w:rPr>
      </w:pPr>
    </w:p>
    <w:p w14:paraId="4DC5639D" w14:textId="77777777" w:rsidR="007A593F" w:rsidRPr="007E01BA" w:rsidRDefault="007A593F" w:rsidP="007A593F">
      <w:pPr>
        <w:tabs>
          <w:tab w:val="left" w:pos="0"/>
        </w:tabs>
        <w:spacing w:after="0" w:line="240" w:lineRule="auto"/>
        <w:ind w:firstLine="709"/>
        <w:jc w:val="both"/>
        <w:rPr>
          <w:rFonts w:ascii="Times New Roman" w:hAnsi="Times New Roman" w:cs="Times New Roman"/>
          <w:sz w:val="24"/>
          <w:szCs w:val="24"/>
        </w:rPr>
      </w:pPr>
    </w:p>
    <w:p w14:paraId="4DC5639E" w14:textId="77777777" w:rsidR="007A593F" w:rsidRPr="007E01BA" w:rsidRDefault="007A593F" w:rsidP="00F67C81">
      <w:pPr>
        <w:tabs>
          <w:tab w:val="left" w:pos="0"/>
        </w:tabs>
        <w:spacing w:after="0" w:line="240" w:lineRule="auto"/>
        <w:jc w:val="both"/>
        <w:rPr>
          <w:rFonts w:ascii="Times New Roman" w:hAnsi="Times New Roman" w:cs="Times New Roman"/>
          <w:sz w:val="24"/>
          <w:szCs w:val="24"/>
        </w:rPr>
      </w:pPr>
      <w:r w:rsidRPr="007E01BA">
        <w:rPr>
          <w:rFonts w:ascii="Times New Roman" w:hAnsi="Times New Roman" w:cs="Times New Roman"/>
          <w:sz w:val="24"/>
          <w:szCs w:val="24"/>
        </w:rPr>
        <w:t>Respublikos Prezidentas</w:t>
      </w:r>
    </w:p>
    <w:sectPr w:rsidR="007A593F" w:rsidRPr="007E01BA" w:rsidSect="00BE1073">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3784C" w14:textId="77777777" w:rsidR="0046212D" w:rsidRDefault="0046212D" w:rsidP="00BE1073">
      <w:pPr>
        <w:spacing w:after="0" w:line="240" w:lineRule="auto"/>
      </w:pPr>
      <w:r>
        <w:separator/>
      </w:r>
    </w:p>
  </w:endnote>
  <w:endnote w:type="continuationSeparator" w:id="0">
    <w:p w14:paraId="5411BB1F" w14:textId="77777777" w:rsidR="0046212D" w:rsidRDefault="0046212D" w:rsidP="00BE1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9F12F" w14:textId="77777777" w:rsidR="0046212D" w:rsidRDefault="0046212D" w:rsidP="00BE1073">
      <w:pPr>
        <w:spacing w:after="0" w:line="240" w:lineRule="auto"/>
      </w:pPr>
      <w:r>
        <w:separator/>
      </w:r>
    </w:p>
  </w:footnote>
  <w:footnote w:type="continuationSeparator" w:id="0">
    <w:p w14:paraId="5537555F" w14:textId="77777777" w:rsidR="0046212D" w:rsidRDefault="0046212D" w:rsidP="00BE1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296755"/>
      <w:docPartObj>
        <w:docPartGallery w:val="Page Numbers (Top of Page)"/>
        <w:docPartUnique/>
      </w:docPartObj>
    </w:sdtPr>
    <w:sdtEndPr/>
    <w:sdtContent>
      <w:p w14:paraId="4DC563A3" w14:textId="77777777" w:rsidR="0007427C" w:rsidRDefault="0007427C">
        <w:pPr>
          <w:pStyle w:val="Antrats"/>
          <w:jc w:val="center"/>
        </w:pPr>
        <w:r>
          <w:fldChar w:fldCharType="begin"/>
        </w:r>
        <w:r>
          <w:instrText>PAGE   \* MERGEFORMAT</w:instrText>
        </w:r>
        <w:r>
          <w:fldChar w:fldCharType="separate"/>
        </w:r>
        <w:r w:rsidR="007E01BA">
          <w:rPr>
            <w:noProof/>
          </w:rPr>
          <w:t>2</w:t>
        </w:r>
        <w:r>
          <w:fldChar w:fldCharType="end"/>
        </w:r>
      </w:p>
    </w:sdtContent>
  </w:sdt>
  <w:p w14:paraId="4DC563A4" w14:textId="77777777" w:rsidR="0007427C" w:rsidRDefault="000742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41924"/>
    <w:multiLevelType w:val="hybridMultilevel"/>
    <w:tmpl w:val="F6E08E3C"/>
    <w:lvl w:ilvl="0" w:tplc="287699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45C"/>
    <w:rsid w:val="00000DC7"/>
    <w:rsid w:val="00007AEB"/>
    <w:rsid w:val="00025485"/>
    <w:rsid w:val="000267B8"/>
    <w:rsid w:val="00032961"/>
    <w:rsid w:val="00062417"/>
    <w:rsid w:val="0007427C"/>
    <w:rsid w:val="00090B6D"/>
    <w:rsid w:val="00094746"/>
    <w:rsid w:val="000A2FB5"/>
    <w:rsid w:val="000B6071"/>
    <w:rsid w:val="000C0B6B"/>
    <w:rsid w:val="000C5AFD"/>
    <w:rsid w:val="000D350B"/>
    <w:rsid w:val="00120ED6"/>
    <w:rsid w:val="00125EF5"/>
    <w:rsid w:val="0014019B"/>
    <w:rsid w:val="00151365"/>
    <w:rsid w:val="0017094E"/>
    <w:rsid w:val="00176EBB"/>
    <w:rsid w:val="00180648"/>
    <w:rsid w:val="001949E7"/>
    <w:rsid w:val="001A562D"/>
    <w:rsid w:val="001B2D96"/>
    <w:rsid w:val="001B7120"/>
    <w:rsid w:val="001D6D7E"/>
    <w:rsid w:val="001D7ADD"/>
    <w:rsid w:val="001E7F73"/>
    <w:rsid w:val="00200BBF"/>
    <w:rsid w:val="0021612D"/>
    <w:rsid w:val="00231930"/>
    <w:rsid w:val="00252C08"/>
    <w:rsid w:val="00253190"/>
    <w:rsid w:val="00280959"/>
    <w:rsid w:val="002A6F30"/>
    <w:rsid w:val="002B16F8"/>
    <w:rsid w:val="002C3AE8"/>
    <w:rsid w:val="002C6178"/>
    <w:rsid w:val="00312CE0"/>
    <w:rsid w:val="003357BA"/>
    <w:rsid w:val="003519BA"/>
    <w:rsid w:val="003568D8"/>
    <w:rsid w:val="00365F00"/>
    <w:rsid w:val="00386370"/>
    <w:rsid w:val="00394563"/>
    <w:rsid w:val="003A12E3"/>
    <w:rsid w:val="003B2879"/>
    <w:rsid w:val="003B6292"/>
    <w:rsid w:val="003C103E"/>
    <w:rsid w:val="003C5994"/>
    <w:rsid w:val="003D72D0"/>
    <w:rsid w:val="003E4A4F"/>
    <w:rsid w:val="003F08B3"/>
    <w:rsid w:val="00405EE6"/>
    <w:rsid w:val="00422828"/>
    <w:rsid w:val="0042406B"/>
    <w:rsid w:val="00446FD8"/>
    <w:rsid w:val="00447E3B"/>
    <w:rsid w:val="00457CDE"/>
    <w:rsid w:val="00461414"/>
    <w:rsid w:val="0046212D"/>
    <w:rsid w:val="00476CFB"/>
    <w:rsid w:val="004820AF"/>
    <w:rsid w:val="00490417"/>
    <w:rsid w:val="004A23A8"/>
    <w:rsid w:val="004A3901"/>
    <w:rsid w:val="004A6AEC"/>
    <w:rsid w:val="004B216F"/>
    <w:rsid w:val="004D0F41"/>
    <w:rsid w:val="00502B8A"/>
    <w:rsid w:val="0050345C"/>
    <w:rsid w:val="00504765"/>
    <w:rsid w:val="00513496"/>
    <w:rsid w:val="00523E69"/>
    <w:rsid w:val="0053705C"/>
    <w:rsid w:val="005627C2"/>
    <w:rsid w:val="00577A07"/>
    <w:rsid w:val="005817BE"/>
    <w:rsid w:val="005A2098"/>
    <w:rsid w:val="005B3CD3"/>
    <w:rsid w:val="005B4FD4"/>
    <w:rsid w:val="005C3A6F"/>
    <w:rsid w:val="005D17BA"/>
    <w:rsid w:val="005D63B4"/>
    <w:rsid w:val="00601031"/>
    <w:rsid w:val="0060172C"/>
    <w:rsid w:val="006026C3"/>
    <w:rsid w:val="00603AB7"/>
    <w:rsid w:val="006258BF"/>
    <w:rsid w:val="00641BF3"/>
    <w:rsid w:val="00670E50"/>
    <w:rsid w:val="00684623"/>
    <w:rsid w:val="006A27EF"/>
    <w:rsid w:val="006C36B8"/>
    <w:rsid w:val="006F0B97"/>
    <w:rsid w:val="006F0CC4"/>
    <w:rsid w:val="0071297A"/>
    <w:rsid w:val="00720BC2"/>
    <w:rsid w:val="00725EE4"/>
    <w:rsid w:val="0073476E"/>
    <w:rsid w:val="007435F8"/>
    <w:rsid w:val="0076515D"/>
    <w:rsid w:val="00791639"/>
    <w:rsid w:val="0079497C"/>
    <w:rsid w:val="007A46CF"/>
    <w:rsid w:val="007A593F"/>
    <w:rsid w:val="007C1BAC"/>
    <w:rsid w:val="007E01BA"/>
    <w:rsid w:val="007E7D15"/>
    <w:rsid w:val="00803A2C"/>
    <w:rsid w:val="00804B98"/>
    <w:rsid w:val="00842428"/>
    <w:rsid w:val="00853AB3"/>
    <w:rsid w:val="00867973"/>
    <w:rsid w:val="008818D3"/>
    <w:rsid w:val="008827A4"/>
    <w:rsid w:val="0089204B"/>
    <w:rsid w:val="008A67A4"/>
    <w:rsid w:val="008A774F"/>
    <w:rsid w:val="008C06E0"/>
    <w:rsid w:val="008C1247"/>
    <w:rsid w:val="008D5E68"/>
    <w:rsid w:val="008E1C53"/>
    <w:rsid w:val="008E2763"/>
    <w:rsid w:val="008E32E3"/>
    <w:rsid w:val="008E405E"/>
    <w:rsid w:val="00913C03"/>
    <w:rsid w:val="00915F59"/>
    <w:rsid w:val="00916C0D"/>
    <w:rsid w:val="0092037B"/>
    <w:rsid w:val="00940BCD"/>
    <w:rsid w:val="009648BE"/>
    <w:rsid w:val="00974CC7"/>
    <w:rsid w:val="0097755A"/>
    <w:rsid w:val="0099760D"/>
    <w:rsid w:val="009C2A8D"/>
    <w:rsid w:val="009D0665"/>
    <w:rsid w:val="009E318C"/>
    <w:rsid w:val="009F72CE"/>
    <w:rsid w:val="00A05E22"/>
    <w:rsid w:val="00A07429"/>
    <w:rsid w:val="00A077EB"/>
    <w:rsid w:val="00A11687"/>
    <w:rsid w:val="00A20A71"/>
    <w:rsid w:val="00A3223A"/>
    <w:rsid w:val="00A3794C"/>
    <w:rsid w:val="00A4441E"/>
    <w:rsid w:val="00A44F90"/>
    <w:rsid w:val="00A913AF"/>
    <w:rsid w:val="00A939F9"/>
    <w:rsid w:val="00A970D8"/>
    <w:rsid w:val="00AA4863"/>
    <w:rsid w:val="00AC38F2"/>
    <w:rsid w:val="00AD23FD"/>
    <w:rsid w:val="00AF4E18"/>
    <w:rsid w:val="00B17C33"/>
    <w:rsid w:val="00B3497D"/>
    <w:rsid w:val="00B4408E"/>
    <w:rsid w:val="00B47AD2"/>
    <w:rsid w:val="00B51DF3"/>
    <w:rsid w:val="00B53A65"/>
    <w:rsid w:val="00B64DB2"/>
    <w:rsid w:val="00B81AEE"/>
    <w:rsid w:val="00B86C25"/>
    <w:rsid w:val="00B87A03"/>
    <w:rsid w:val="00BA2EF7"/>
    <w:rsid w:val="00BC440E"/>
    <w:rsid w:val="00BE1073"/>
    <w:rsid w:val="00C14EA1"/>
    <w:rsid w:val="00C47569"/>
    <w:rsid w:val="00C7363A"/>
    <w:rsid w:val="00C81EB6"/>
    <w:rsid w:val="00CA18F4"/>
    <w:rsid w:val="00CA5DDB"/>
    <w:rsid w:val="00CC0BFB"/>
    <w:rsid w:val="00CE4488"/>
    <w:rsid w:val="00CE4E11"/>
    <w:rsid w:val="00CE4F96"/>
    <w:rsid w:val="00D00EC7"/>
    <w:rsid w:val="00D131F0"/>
    <w:rsid w:val="00D37191"/>
    <w:rsid w:val="00D42CAE"/>
    <w:rsid w:val="00D44988"/>
    <w:rsid w:val="00D80FD1"/>
    <w:rsid w:val="00DB7486"/>
    <w:rsid w:val="00DC623F"/>
    <w:rsid w:val="00DC7180"/>
    <w:rsid w:val="00DD03E0"/>
    <w:rsid w:val="00DE295E"/>
    <w:rsid w:val="00DF4F2A"/>
    <w:rsid w:val="00E232A8"/>
    <w:rsid w:val="00E26E9D"/>
    <w:rsid w:val="00E27896"/>
    <w:rsid w:val="00E327CA"/>
    <w:rsid w:val="00E42A39"/>
    <w:rsid w:val="00E51C28"/>
    <w:rsid w:val="00E60484"/>
    <w:rsid w:val="00E8347D"/>
    <w:rsid w:val="00E96D97"/>
    <w:rsid w:val="00EA4EE9"/>
    <w:rsid w:val="00EB609B"/>
    <w:rsid w:val="00EE4E52"/>
    <w:rsid w:val="00F03EC0"/>
    <w:rsid w:val="00F071EC"/>
    <w:rsid w:val="00F10F1B"/>
    <w:rsid w:val="00F15644"/>
    <w:rsid w:val="00F2695B"/>
    <w:rsid w:val="00F275BA"/>
    <w:rsid w:val="00F67C81"/>
    <w:rsid w:val="00F67F6D"/>
    <w:rsid w:val="00F9113D"/>
    <w:rsid w:val="00F93D6D"/>
    <w:rsid w:val="00FA7A11"/>
    <w:rsid w:val="00FD0B24"/>
    <w:rsid w:val="00FF4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45C"/>
    <w:pPr>
      <w:spacing w:after="160" w:line="259" w:lineRule="auto"/>
    </w:pPr>
    <w:rPr>
      <w:rFonts w:eastAsiaTheme="minorEastAsia"/>
      <w:lang w:eastAsia="lt-LT"/>
    </w:rPr>
  </w:style>
  <w:style w:type="paragraph" w:styleId="Antrat5">
    <w:name w:val="heading 5"/>
    <w:basedOn w:val="prastasis"/>
    <w:next w:val="prastasis"/>
    <w:link w:val="Antrat5Diagrama"/>
    <w:uiPriority w:val="9"/>
    <w:unhideWhenUsed/>
    <w:qFormat/>
    <w:rsid w:val="005034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qFormat/>
    <w:rsid w:val="0050345C"/>
    <w:rPr>
      <w:rFonts w:asciiTheme="majorHAnsi" w:eastAsiaTheme="majorEastAsia" w:hAnsiTheme="majorHAnsi" w:cstheme="majorBidi"/>
      <w:color w:val="365F91" w:themeColor="accent1" w:themeShade="BF"/>
      <w:lang w:eastAsia="lt-LT"/>
    </w:rPr>
  </w:style>
  <w:style w:type="character" w:styleId="Komentaronuoroda">
    <w:name w:val="annotation reference"/>
    <w:basedOn w:val="Numatytasispastraiposriftas"/>
    <w:rsid w:val="00000DC7"/>
    <w:rPr>
      <w:sz w:val="16"/>
      <w:szCs w:val="16"/>
    </w:rPr>
  </w:style>
  <w:style w:type="paragraph" w:styleId="Komentarotekstas">
    <w:name w:val="annotation text"/>
    <w:basedOn w:val="prastasis"/>
    <w:link w:val="KomentarotekstasDiagrama"/>
    <w:rsid w:val="00000DC7"/>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000DC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00D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DC7"/>
    <w:rPr>
      <w:rFonts w:ascii="Tahoma" w:eastAsiaTheme="minorEastAsia" w:hAnsi="Tahoma" w:cs="Tahoma"/>
      <w:sz w:val="16"/>
      <w:szCs w:val="16"/>
      <w:lang w:eastAsia="lt-LT"/>
    </w:rPr>
  </w:style>
  <w:style w:type="paragraph" w:styleId="Sraopastraipa">
    <w:name w:val="List Paragraph"/>
    <w:basedOn w:val="prastasis"/>
    <w:uiPriority w:val="34"/>
    <w:qFormat/>
    <w:rsid w:val="003568D8"/>
    <w:pPr>
      <w:ind w:left="720"/>
      <w:contextualSpacing/>
    </w:pPr>
  </w:style>
  <w:style w:type="paragraph" w:styleId="Komentarotema">
    <w:name w:val="annotation subject"/>
    <w:basedOn w:val="Komentarotekstas"/>
    <w:next w:val="Komentarotekstas"/>
    <w:link w:val="KomentarotemaDiagrama"/>
    <w:uiPriority w:val="99"/>
    <w:semiHidden/>
    <w:unhideWhenUsed/>
    <w:rsid w:val="007A593F"/>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7A593F"/>
    <w:rPr>
      <w:rFonts w:ascii="Times New Roman" w:eastAsiaTheme="minorEastAsia" w:hAnsi="Times New Roman" w:cs="Times New Roman"/>
      <w:b/>
      <w:bCs/>
      <w:sz w:val="20"/>
      <w:szCs w:val="20"/>
      <w:lang w:eastAsia="lt-LT"/>
    </w:rPr>
  </w:style>
  <w:style w:type="character" w:styleId="Nerykuspabraukimas">
    <w:name w:val="Subtle Emphasis"/>
    <w:basedOn w:val="Numatytasispastraiposriftas"/>
    <w:uiPriority w:val="19"/>
    <w:qFormat/>
    <w:rsid w:val="005B4FD4"/>
    <w:rPr>
      <w:i/>
      <w:iCs/>
      <w:color w:val="808080" w:themeColor="text1" w:themeTint="7F"/>
    </w:rPr>
  </w:style>
  <w:style w:type="paragraph" w:styleId="Pataisymai">
    <w:name w:val="Revision"/>
    <w:hidden/>
    <w:uiPriority w:val="99"/>
    <w:semiHidden/>
    <w:rsid w:val="00D00EC7"/>
    <w:pPr>
      <w:spacing w:after="0" w:line="240" w:lineRule="auto"/>
    </w:pPr>
    <w:rPr>
      <w:rFonts w:eastAsiaTheme="minorEastAsia"/>
      <w:lang w:eastAsia="lt-LT"/>
    </w:rPr>
  </w:style>
  <w:style w:type="paragraph" w:styleId="Antrats">
    <w:name w:val="header"/>
    <w:basedOn w:val="prastasis"/>
    <w:link w:val="AntratsDiagrama"/>
    <w:uiPriority w:val="99"/>
    <w:unhideWhenUsed/>
    <w:rsid w:val="00BE10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073"/>
    <w:rPr>
      <w:rFonts w:eastAsiaTheme="minorEastAsia"/>
      <w:lang w:eastAsia="lt-LT"/>
    </w:rPr>
  </w:style>
  <w:style w:type="paragraph" w:styleId="Porat">
    <w:name w:val="footer"/>
    <w:basedOn w:val="prastasis"/>
    <w:link w:val="PoratDiagrama"/>
    <w:uiPriority w:val="99"/>
    <w:unhideWhenUsed/>
    <w:rsid w:val="00BE10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073"/>
    <w:rPr>
      <w:rFonts w:eastAsiaTheme="minorEastAsia"/>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45C"/>
    <w:pPr>
      <w:spacing w:after="160" w:line="259" w:lineRule="auto"/>
    </w:pPr>
    <w:rPr>
      <w:rFonts w:eastAsiaTheme="minorEastAsia"/>
      <w:lang w:eastAsia="lt-LT"/>
    </w:rPr>
  </w:style>
  <w:style w:type="paragraph" w:styleId="Antrat5">
    <w:name w:val="heading 5"/>
    <w:basedOn w:val="prastasis"/>
    <w:next w:val="prastasis"/>
    <w:link w:val="Antrat5Diagrama"/>
    <w:uiPriority w:val="9"/>
    <w:unhideWhenUsed/>
    <w:qFormat/>
    <w:rsid w:val="005034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
    <w:qFormat/>
    <w:rsid w:val="0050345C"/>
    <w:rPr>
      <w:rFonts w:asciiTheme="majorHAnsi" w:eastAsiaTheme="majorEastAsia" w:hAnsiTheme="majorHAnsi" w:cstheme="majorBidi"/>
      <w:color w:val="365F91" w:themeColor="accent1" w:themeShade="BF"/>
      <w:lang w:eastAsia="lt-LT"/>
    </w:rPr>
  </w:style>
  <w:style w:type="character" w:styleId="Komentaronuoroda">
    <w:name w:val="annotation reference"/>
    <w:basedOn w:val="Numatytasispastraiposriftas"/>
    <w:rsid w:val="00000DC7"/>
    <w:rPr>
      <w:sz w:val="16"/>
      <w:szCs w:val="16"/>
    </w:rPr>
  </w:style>
  <w:style w:type="paragraph" w:styleId="Komentarotekstas">
    <w:name w:val="annotation text"/>
    <w:basedOn w:val="prastasis"/>
    <w:link w:val="KomentarotekstasDiagrama"/>
    <w:rsid w:val="00000DC7"/>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rsid w:val="00000DC7"/>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00D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0DC7"/>
    <w:rPr>
      <w:rFonts w:ascii="Tahoma" w:eastAsiaTheme="minorEastAsia" w:hAnsi="Tahoma" w:cs="Tahoma"/>
      <w:sz w:val="16"/>
      <w:szCs w:val="16"/>
      <w:lang w:eastAsia="lt-LT"/>
    </w:rPr>
  </w:style>
  <w:style w:type="paragraph" w:styleId="Sraopastraipa">
    <w:name w:val="List Paragraph"/>
    <w:basedOn w:val="prastasis"/>
    <w:uiPriority w:val="34"/>
    <w:qFormat/>
    <w:rsid w:val="003568D8"/>
    <w:pPr>
      <w:ind w:left="720"/>
      <w:contextualSpacing/>
    </w:pPr>
  </w:style>
  <w:style w:type="paragraph" w:styleId="Komentarotema">
    <w:name w:val="annotation subject"/>
    <w:basedOn w:val="Komentarotekstas"/>
    <w:next w:val="Komentarotekstas"/>
    <w:link w:val="KomentarotemaDiagrama"/>
    <w:uiPriority w:val="99"/>
    <w:semiHidden/>
    <w:unhideWhenUsed/>
    <w:rsid w:val="007A593F"/>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7A593F"/>
    <w:rPr>
      <w:rFonts w:ascii="Times New Roman" w:eastAsiaTheme="minorEastAsia" w:hAnsi="Times New Roman" w:cs="Times New Roman"/>
      <w:b/>
      <w:bCs/>
      <w:sz w:val="20"/>
      <w:szCs w:val="20"/>
      <w:lang w:eastAsia="lt-LT"/>
    </w:rPr>
  </w:style>
  <w:style w:type="character" w:styleId="Nerykuspabraukimas">
    <w:name w:val="Subtle Emphasis"/>
    <w:basedOn w:val="Numatytasispastraiposriftas"/>
    <w:uiPriority w:val="19"/>
    <w:qFormat/>
    <w:rsid w:val="005B4FD4"/>
    <w:rPr>
      <w:i/>
      <w:iCs/>
      <w:color w:val="808080" w:themeColor="text1" w:themeTint="7F"/>
    </w:rPr>
  </w:style>
  <w:style w:type="paragraph" w:styleId="Pataisymai">
    <w:name w:val="Revision"/>
    <w:hidden/>
    <w:uiPriority w:val="99"/>
    <w:semiHidden/>
    <w:rsid w:val="00D00EC7"/>
    <w:pPr>
      <w:spacing w:after="0" w:line="240" w:lineRule="auto"/>
    </w:pPr>
    <w:rPr>
      <w:rFonts w:eastAsiaTheme="minorEastAsia"/>
      <w:lang w:eastAsia="lt-LT"/>
    </w:rPr>
  </w:style>
  <w:style w:type="paragraph" w:styleId="Antrats">
    <w:name w:val="header"/>
    <w:basedOn w:val="prastasis"/>
    <w:link w:val="AntratsDiagrama"/>
    <w:uiPriority w:val="99"/>
    <w:unhideWhenUsed/>
    <w:rsid w:val="00BE10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E1073"/>
    <w:rPr>
      <w:rFonts w:eastAsiaTheme="minorEastAsia"/>
      <w:lang w:eastAsia="lt-LT"/>
    </w:rPr>
  </w:style>
  <w:style w:type="paragraph" w:styleId="Porat">
    <w:name w:val="footer"/>
    <w:basedOn w:val="prastasis"/>
    <w:link w:val="PoratDiagrama"/>
    <w:uiPriority w:val="99"/>
    <w:unhideWhenUsed/>
    <w:rsid w:val="00BE10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E1073"/>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07905">
      <w:bodyDiv w:val="1"/>
      <w:marLeft w:val="0"/>
      <w:marRight w:val="0"/>
      <w:marTop w:val="0"/>
      <w:marBottom w:val="0"/>
      <w:divBdr>
        <w:top w:val="none" w:sz="0" w:space="0" w:color="auto"/>
        <w:left w:val="none" w:sz="0" w:space="0" w:color="auto"/>
        <w:bottom w:val="none" w:sz="0" w:space="0" w:color="auto"/>
        <w:right w:val="none" w:sz="0" w:space="0" w:color="auto"/>
      </w:divBdr>
    </w:div>
    <w:div w:id="262301596">
      <w:bodyDiv w:val="1"/>
      <w:marLeft w:val="0"/>
      <w:marRight w:val="0"/>
      <w:marTop w:val="0"/>
      <w:marBottom w:val="0"/>
      <w:divBdr>
        <w:top w:val="none" w:sz="0" w:space="0" w:color="auto"/>
        <w:left w:val="none" w:sz="0" w:space="0" w:color="auto"/>
        <w:bottom w:val="none" w:sz="0" w:space="0" w:color="auto"/>
        <w:right w:val="none" w:sz="0" w:space="0" w:color="auto"/>
      </w:divBdr>
      <w:divsChild>
        <w:div w:id="17777447">
          <w:marLeft w:val="0"/>
          <w:marRight w:val="0"/>
          <w:marTop w:val="0"/>
          <w:marBottom w:val="0"/>
          <w:divBdr>
            <w:top w:val="none" w:sz="0" w:space="0" w:color="auto"/>
            <w:left w:val="none" w:sz="0" w:space="0" w:color="auto"/>
            <w:bottom w:val="none" w:sz="0" w:space="0" w:color="auto"/>
            <w:right w:val="none" w:sz="0" w:space="0" w:color="auto"/>
          </w:divBdr>
        </w:div>
        <w:div w:id="985352121">
          <w:marLeft w:val="0"/>
          <w:marRight w:val="0"/>
          <w:marTop w:val="0"/>
          <w:marBottom w:val="0"/>
          <w:divBdr>
            <w:top w:val="none" w:sz="0" w:space="0" w:color="auto"/>
            <w:left w:val="none" w:sz="0" w:space="0" w:color="auto"/>
            <w:bottom w:val="none" w:sz="0" w:space="0" w:color="auto"/>
            <w:right w:val="none" w:sz="0" w:space="0" w:color="auto"/>
          </w:divBdr>
        </w:div>
        <w:div w:id="714895185">
          <w:marLeft w:val="0"/>
          <w:marRight w:val="0"/>
          <w:marTop w:val="0"/>
          <w:marBottom w:val="0"/>
          <w:divBdr>
            <w:top w:val="none" w:sz="0" w:space="0" w:color="auto"/>
            <w:left w:val="none" w:sz="0" w:space="0" w:color="auto"/>
            <w:bottom w:val="none" w:sz="0" w:space="0" w:color="auto"/>
            <w:right w:val="none" w:sz="0" w:space="0" w:color="auto"/>
          </w:divBdr>
        </w:div>
        <w:div w:id="784933435">
          <w:marLeft w:val="0"/>
          <w:marRight w:val="0"/>
          <w:marTop w:val="0"/>
          <w:marBottom w:val="0"/>
          <w:divBdr>
            <w:top w:val="none" w:sz="0" w:space="0" w:color="auto"/>
            <w:left w:val="none" w:sz="0" w:space="0" w:color="auto"/>
            <w:bottom w:val="none" w:sz="0" w:space="0" w:color="auto"/>
            <w:right w:val="none" w:sz="0" w:space="0" w:color="auto"/>
          </w:divBdr>
        </w:div>
        <w:div w:id="1339963219">
          <w:marLeft w:val="0"/>
          <w:marRight w:val="0"/>
          <w:marTop w:val="0"/>
          <w:marBottom w:val="0"/>
          <w:divBdr>
            <w:top w:val="none" w:sz="0" w:space="0" w:color="auto"/>
            <w:left w:val="none" w:sz="0" w:space="0" w:color="auto"/>
            <w:bottom w:val="none" w:sz="0" w:space="0" w:color="auto"/>
            <w:right w:val="none" w:sz="0" w:space="0" w:color="auto"/>
          </w:divBdr>
        </w:div>
        <w:div w:id="25643952">
          <w:marLeft w:val="0"/>
          <w:marRight w:val="0"/>
          <w:marTop w:val="0"/>
          <w:marBottom w:val="0"/>
          <w:divBdr>
            <w:top w:val="none" w:sz="0" w:space="0" w:color="auto"/>
            <w:left w:val="none" w:sz="0" w:space="0" w:color="auto"/>
            <w:bottom w:val="none" w:sz="0" w:space="0" w:color="auto"/>
            <w:right w:val="none" w:sz="0" w:space="0" w:color="auto"/>
          </w:divBdr>
        </w:div>
        <w:div w:id="907105650">
          <w:marLeft w:val="0"/>
          <w:marRight w:val="0"/>
          <w:marTop w:val="0"/>
          <w:marBottom w:val="0"/>
          <w:divBdr>
            <w:top w:val="none" w:sz="0" w:space="0" w:color="auto"/>
            <w:left w:val="none" w:sz="0" w:space="0" w:color="auto"/>
            <w:bottom w:val="none" w:sz="0" w:space="0" w:color="auto"/>
            <w:right w:val="none" w:sz="0" w:space="0" w:color="auto"/>
          </w:divBdr>
        </w:div>
      </w:divsChild>
    </w:div>
    <w:div w:id="354887414">
      <w:bodyDiv w:val="1"/>
      <w:marLeft w:val="0"/>
      <w:marRight w:val="0"/>
      <w:marTop w:val="0"/>
      <w:marBottom w:val="0"/>
      <w:divBdr>
        <w:top w:val="none" w:sz="0" w:space="0" w:color="auto"/>
        <w:left w:val="none" w:sz="0" w:space="0" w:color="auto"/>
        <w:bottom w:val="none" w:sz="0" w:space="0" w:color="auto"/>
        <w:right w:val="none" w:sz="0" w:space="0" w:color="auto"/>
      </w:divBdr>
    </w:div>
    <w:div w:id="869755676">
      <w:bodyDiv w:val="1"/>
      <w:marLeft w:val="0"/>
      <w:marRight w:val="0"/>
      <w:marTop w:val="0"/>
      <w:marBottom w:val="0"/>
      <w:divBdr>
        <w:top w:val="none" w:sz="0" w:space="0" w:color="auto"/>
        <w:left w:val="none" w:sz="0" w:space="0" w:color="auto"/>
        <w:bottom w:val="none" w:sz="0" w:space="0" w:color="auto"/>
        <w:right w:val="none" w:sz="0" w:space="0" w:color="auto"/>
      </w:divBdr>
    </w:div>
    <w:div w:id="1027294511">
      <w:bodyDiv w:val="1"/>
      <w:marLeft w:val="0"/>
      <w:marRight w:val="0"/>
      <w:marTop w:val="0"/>
      <w:marBottom w:val="0"/>
      <w:divBdr>
        <w:top w:val="none" w:sz="0" w:space="0" w:color="auto"/>
        <w:left w:val="none" w:sz="0" w:space="0" w:color="auto"/>
        <w:bottom w:val="none" w:sz="0" w:space="0" w:color="auto"/>
        <w:right w:val="none" w:sz="0" w:space="0" w:color="auto"/>
      </w:divBdr>
      <w:divsChild>
        <w:div w:id="1996562877">
          <w:marLeft w:val="0"/>
          <w:marRight w:val="0"/>
          <w:marTop w:val="0"/>
          <w:marBottom w:val="0"/>
          <w:divBdr>
            <w:top w:val="none" w:sz="0" w:space="0" w:color="auto"/>
            <w:left w:val="none" w:sz="0" w:space="0" w:color="auto"/>
            <w:bottom w:val="none" w:sz="0" w:space="0" w:color="auto"/>
            <w:right w:val="none" w:sz="0" w:space="0" w:color="auto"/>
          </w:divBdr>
        </w:div>
        <w:div w:id="1492484046">
          <w:marLeft w:val="0"/>
          <w:marRight w:val="0"/>
          <w:marTop w:val="0"/>
          <w:marBottom w:val="0"/>
          <w:divBdr>
            <w:top w:val="none" w:sz="0" w:space="0" w:color="auto"/>
            <w:left w:val="none" w:sz="0" w:space="0" w:color="auto"/>
            <w:bottom w:val="none" w:sz="0" w:space="0" w:color="auto"/>
            <w:right w:val="none" w:sz="0" w:space="0" w:color="auto"/>
          </w:divBdr>
        </w:div>
      </w:divsChild>
    </w:div>
    <w:div w:id="1253705528">
      <w:bodyDiv w:val="1"/>
      <w:marLeft w:val="0"/>
      <w:marRight w:val="0"/>
      <w:marTop w:val="0"/>
      <w:marBottom w:val="0"/>
      <w:divBdr>
        <w:top w:val="none" w:sz="0" w:space="0" w:color="auto"/>
        <w:left w:val="none" w:sz="0" w:space="0" w:color="auto"/>
        <w:bottom w:val="none" w:sz="0" w:space="0" w:color="auto"/>
        <w:right w:val="none" w:sz="0" w:space="0" w:color="auto"/>
      </w:divBdr>
    </w:div>
    <w:div w:id="1547527427">
      <w:bodyDiv w:val="1"/>
      <w:marLeft w:val="0"/>
      <w:marRight w:val="0"/>
      <w:marTop w:val="0"/>
      <w:marBottom w:val="0"/>
      <w:divBdr>
        <w:top w:val="none" w:sz="0" w:space="0" w:color="auto"/>
        <w:left w:val="none" w:sz="0" w:space="0" w:color="auto"/>
        <w:bottom w:val="none" w:sz="0" w:space="0" w:color="auto"/>
        <w:right w:val="none" w:sz="0" w:space="0" w:color="auto"/>
      </w:divBdr>
    </w:div>
    <w:div w:id="1585411839">
      <w:bodyDiv w:val="1"/>
      <w:marLeft w:val="0"/>
      <w:marRight w:val="0"/>
      <w:marTop w:val="0"/>
      <w:marBottom w:val="0"/>
      <w:divBdr>
        <w:top w:val="none" w:sz="0" w:space="0" w:color="auto"/>
        <w:left w:val="none" w:sz="0" w:space="0" w:color="auto"/>
        <w:bottom w:val="none" w:sz="0" w:space="0" w:color="auto"/>
        <w:right w:val="none" w:sz="0" w:space="0" w:color="auto"/>
      </w:divBdr>
    </w:div>
    <w:div w:id="1595239194">
      <w:bodyDiv w:val="1"/>
      <w:marLeft w:val="0"/>
      <w:marRight w:val="0"/>
      <w:marTop w:val="0"/>
      <w:marBottom w:val="0"/>
      <w:divBdr>
        <w:top w:val="none" w:sz="0" w:space="0" w:color="auto"/>
        <w:left w:val="none" w:sz="0" w:space="0" w:color="auto"/>
        <w:bottom w:val="none" w:sz="0" w:space="0" w:color="auto"/>
        <w:right w:val="none" w:sz="0" w:space="0" w:color="auto"/>
      </w:divBdr>
    </w:div>
    <w:div w:id="1826510762">
      <w:bodyDiv w:val="1"/>
      <w:marLeft w:val="0"/>
      <w:marRight w:val="0"/>
      <w:marTop w:val="0"/>
      <w:marBottom w:val="0"/>
      <w:divBdr>
        <w:top w:val="none" w:sz="0" w:space="0" w:color="auto"/>
        <w:left w:val="none" w:sz="0" w:space="0" w:color="auto"/>
        <w:bottom w:val="none" w:sz="0" w:space="0" w:color="auto"/>
        <w:right w:val="none" w:sz="0" w:space="0" w:color="auto"/>
      </w:divBdr>
    </w:div>
    <w:div w:id="1883709610">
      <w:bodyDiv w:val="1"/>
      <w:marLeft w:val="0"/>
      <w:marRight w:val="0"/>
      <w:marTop w:val="0"/>
      <w:marBottom w:val="0"/>
      <w:divBdr>
        <w:top w:val="none" w:sz="0" w:space="0" w:color="auto"/>
        <w:left w:val="none" w:sz="0" w:space="0" w:color="auto"/>
        <w:bottom w:val="none" w:sz="0" w:space="0" w:color="auto"/>
        <w:right w:val="none" w:sz="0" w:space="0" w:color="auto"/>
      </w:divBdr>
    </w:div>
    <w:div w:id="21073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BC17-C313-4E97-9EFC-FAE1A4BD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10112</Words>
  <Characters>5764</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2020-10-12T12:47:00Z</dcterms:created>
  <dc:creator>Agnė Nakčerienė</dc:creator>
  <cp:lastModifiedBy>Agnė Nakčerienė</cp:lastModifiedBy>
  <dcterms:modified xsi:type="dcterms:W3CDTF">2020-10-12T12:47:00Z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-856732464</vt:i4>
  </property>
  <property fmtid="{D5CDD505-2E9C-101B-9397-08002B2CF9AE}" pid="3" name="_NewReviewCycle">
    <vt:lpwstr/>
  </property>
  <property fmtid="{D5CDD505-2E9C-101B-9397-08002B2CF9AE}" pid="4" name="_EmailSubject">
    <vt:lpwstr>Avilys: Dokumento projekto vizavimas nutrauktas. Laikinas Nr. 671676 LIETUVOS RESPUBLIKOS VALSTYBĖS...</vt:lpwstr>
  </property>
  <property fmtid="{D5CDD505-2E9C-101B-9397-08002B2CF9AE}" pid="5" name="_AuthorEmail">
    <vt:lpwstr>Ingrida.Kliukiene@socmin.lt</vt:lpwstr>
  </property>
  <property fmtid="{D5CDD505-2E9C-101B-9397-08002B2CF9AE}" pid="6" name="_AuthorEmailDisplayName">
    <vt:lpwstr>Ingrida Kliukienė</vt:lpwstr>
  </property>
  <property fmtid="{D5CDD505-2E9C-101B-9397-08002B2CF9AE}" pid="7" name="_PreviousAdHocReviewCycleID">
    <vt:i4>2116982515</vt:i4>
  </property>
  <property fmtid="{D5CDD505-2E9C-101B-9397-08002B2CF9AE}" pid="8" name="_ReviewingToolsShownOnce">
    <vt:lpwstr/>
  </property>
</Properties>
</file>