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951C86" w:rsidTr="009E16CA"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951C86" w:rsidTr="00951C86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247258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951C86" w:rsidTr="00951C86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247258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 w:rsidP="009E16CA">
                  <w:r>
                    <w:rPr>
                      <w:color w:val="000000"/>
                      <w:sz w:val="24"/>
                    </w:rPr>
                    <w:t xml:space="preserve">Lietuvos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Respublikos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teisingumo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min</w:t>
                  </w:r>
                  <w:r w:rsidR="009E16CA">
                    <w:rPr>
                      <w:color w:val="000000"/>
                      <w:sz w:val="24"/>
                    </w:rPr>
                    <w:t>istro</w:t>
                  </w:r>
                  <w:proofErr w:type="spellEnd"/>
                  <w:r w:rsidR="009E16CA">
                    <w:rPr>
                      <w:color w:val="000000"/>
                      <w:sz w:val="24"/>
                    </w:rPr>
                    <w:t xml:space="preserve"> 2020 m.    </w:t>
                  </w:r>
                  <w:r w:rsidR="0070439A">
                    <w:rPr>
                      <w:color w:val="000000"/>
                      <w:sz w:val="24"/>
                    </w:rPr>
                    <w:t xml:space="preserve">            </w:t>
                  </w:r>
                  <w:bookmarkStart w:id="0" w:name="_GoBack"/>
                  <w:bookmarkEnd w:id="0"/>
                  <w:r w:rsidR="009E16CA">
                    <w:rPr>
                      <w:color w:val="000000"/>
                      <w:sz w:val="24"/>
                    </w:rPr>
                    <w:t xml:space="preserve">d. </w:t>
                  </w:r>
                  <w:proofErr w:type="spellStart"/>
                  <w:r w:rsidR="009E16CA">
                    <w:rPr>
                      <w:color w:val="000000"/>
                      <w:sz w:val="24"/>
                    </w:rPr>
                    <w:t>įsakymu</w:t>
                  </w:r>
                  <w:proofErr w:type="spellEnd"/>
                </w:p>
              </w:tc>
            </w:tr>
            <w:tr w:rsidR="00951C86" w:rsidTr="00951C86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247258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247258"/>
              </w:tc>
            </w:tr>
            <w:tr w:rsidR="00951C86" w:rsidTr="00951C86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LIETUVOS RESPUBLIKOS TEISINGUMO MINISTERIJOS</w:t>
                  </w:r>
                </w:p>
              </w:tc>
            </w:tr>
            <w:tr w:rsidR="00951C86" w:rsidTr="00951C86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LIETUVOS RESPUBLIKOS TEISINGUMO IR INTELEKTINĖS NUOSAVYBĖS ATAŠĖ LIETUVOS NUOLATINĖJE ATSTOVYBĖJE PRIE JUNGTINIŲ TAUTŲ BIURO IR KITŲ TARPTAUTINIŲ ORGANIZACIJŲ ŽENEVOJE</w:t>
                  </w:r>
                </w:p>
              </w:tc>
            </w:tr>
            <w:tr w:rsidR="00951C86" w:rsidTr="00951C86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:rsidR="00247258" w:rsidRDefault="00247258"/>
        </w:tc>
        <w:tc>
          <w:tcPr>
            <w:tcW w:w="13" w:type="dxa"/>
          </w:tcPr>
          <w:p w:rsidR="00247258" w:rsidRDefault="00247258">
            <w:pPr>
              <w:pStyle w:val="EmptyLayoutCell"/>
            </w:pPr>
          </w:p>
        </w:tc>
      </w:tr>
      <w:tr w:rsidR="00247258" w:rsidTr="009E16CA">
        <w:trPr>
          <w:trHeight w:val="349"/>
        </w:trPr>
        <w:tc>
          <w:tcPr>
            <w:tcW w:w="13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6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6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9055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13" w:type="dxa"/>
          </w:tcPr>
          <w:p w:rsidR="00247258" w:rsidRDefault="00247258">
            <w:pPr>
              <w:pStyle w:val="EmptyLayoutCell"/>
            </w:pPr>
          </w:p>
        </w:tc>
      </w:tr>
      <w:tr w:rsidR="00951C86" w:rsidTr="009E16CA">
        <w:tc>
          <w:tcPr>
            <w:tcW w:w="13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247258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:rsidR="00247258" w:rsidRDefault="00CD527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247258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 w:rsidP="009E16CA">
                  <w:pPr>
                    <w:ind w:firstLine="514"/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patarėjas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(VIII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>).</w:t>
                  </w:r>
                </w:p>
              </w:tc>
            </w:tr>
            <w:tr w:rsidR="00247258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 w:rsidP="009E16CA">
                  <w:pPr>
                    <w:ind w:firstLine="514"/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Šias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einantis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tarnautojas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tiesiogiai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pavaldus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ministrui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Lietuvos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Respublikos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diplomatinės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vadovui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:rsidR="00247258" w:rsidRDefault="00247258"/>
        </w:tc>
      </w:tr>
      <w:tr w:rsidR="00247258" w:rsidTr="009E16CA">
        <w:trPr>
          <w:trHeight w:val="120"/>
        </w:trPr>
        <w:tc>
          <w:tcPr>
            <w:tcW w:w="13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6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6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9055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13" w:type="dxa"/>
          </w:tcPr>
          <w:p w:rsidR="00247258" w:rsidRDefault="00247258">
            <w:pPr>
              <w:pStyle w:val="EmptyLayoutCell"/>
            </w:pPr>
          </w:p>
        </w:tc>
      </w:tr>
      <w:tr w:rsidR="00951C86" w:rsidTr="009E16CA">
        <w:tc>
          <w:tcPr>
            <w:tcW w:w="13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247258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:rsidR="00247258" w:rsidRDefault="00CD527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247258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247258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47258" w:rsidRDefault="00CD5278" w:rsidP="009E16CA">
                        <w:pPr>
                          <w:ind w:firstLine="514"/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Kitos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specialiosios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veiklos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sritys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:rsidR="00247258" w:rsidRDefault="00247258"/>
              </w:tc>
            </w:tr>
          </w:tbl>
          <w:p w:rsidR="00247258" w:rsidRDefault="00247258"/>
        </w:tc>
      </w:tr>
      <w:tr w:rsidR="00247258" w:rsidTr="009E16CA">
        <w:trPr>
          <w:trHeight w:val="126"/>
        </w:trPr>
        <w:tc>
          <w:tcPr>
            <w:tcW w:w="13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6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6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9055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13" w:type="dxa"/>
          </w:tcPr>
          <w:p w:rsidR="00247258" w:rsidRDefault="00247258">
            <w:pPr>
              <w:pStyle w:val="EmptyLayoutCell"/>
            </w:pPr>
          </w:p>
        </w:tc>
      </w:tr>
      <w:tr w:rsidR="00951C86" w:rsidTr="009E16CA">
        <w:tc>
          <w:tcPr>
            <w:tcW w:w="13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247258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:rsidR="00247258" w:rsidRDefault="00CD527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247258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247258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47258" w:rsidRDefault="00CD5278" w:rsidP="009E16CA">
                        <w:pPr>
                          <w:ind w:firstLine="514"/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Tarptautinių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organizacijų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veikla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:rsidR="00247258" w:rsidRDefault="00247258"/>
              </w:tc>
            </w:tr>
          </w:tbl>
          <w:p w:rsidR="00247258" w:rsidRDefault="00247258"/>
        </w:tc>
      </w:tr>
      <w:tr w:rsidR="00247258" w:rsidTr="009E16CA">
        <w:trPr>
          <w:trHeight w:val="100"/>
        </w:trPr>
        <w:tc>
          <w:tcPr>
            <w:tcW w:w="13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6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6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9055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13" w:type="dxa"/>
          </w:tcPr>
          <w:p w:rsidR="00247258" w:rsidRDefault="00247258">
            <w:pPr>
              <w:pStyle w:val="EmptyLayoutCell"/>
            </w:pPr>
          </w:p>
        </w:tc>
      </w:tr>
      <w:tr w:rsidR="00951C86" w:rsidTr="009E16CA">
        <w:tc>
          <w:tcPr>
            <w:tcW w:w="13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6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90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247258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IV SKYRIUS</w:t>
                  </w:r>
                </w:p>
                <w:p w:rsidR="00247258" w:rsidRDefault="00CD527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FUNKCIJOS</w:t>
                  </w:r>
                </w:p>
              </w:tc>
            </w:tr>
          </w:tbl>
          <w:p w:rsidR="00247258" w:rsidRDefault="00247258"/>
        </w:tc>
      </w:tr>
      <w:tr w:rsidR="00247258" w:rsidTr="009E16CA">
        <w:trPr>
          <w:trHeight w:val="39"/>
        </w:trPr>
        <w:tc>
          <w:tcPr>
            <w:tcW w:w="13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6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6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9055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13" w:type="dxa"/>
          </w:tcPr>
          <w:p w:rsidR="00247258" w:rsidRDefault="00247258">
            <w:pPr>
              <w:pStyle w:val="EmptyLayoutCell"/>
            </w:pPr>
          </w:p>
        </w:tc>
      </w:tr>
      <w:tr w:rsidR="00951C86" w:rsidTr="009E16CA">
        <w:tc>
          <w:tcPr>
            <w:tcW w:w="13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247258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 w:rsidP="009E16CA">
                  <w:pPr>
                    <w:ind w:firstLine="554"/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Padeda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Lietuvos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Respublikos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asocijuotų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struktūrų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pasirengti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posėdžiams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kitiems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susitikimams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priskirtos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atitinkamuose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posėdžiuose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susitikimuose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kad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būtų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užtikrintas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Lietuvos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Respublikos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pozicijos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pristatymas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atstovavimas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247258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 w:rsidP="009E16CA">
                  <w:pPr>
                    <w:ind w:firstLine="554"/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Padeda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buvimo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tarptautinės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vizitus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į Lietuvos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Respubliką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247258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 w:rsidP="009E16CA">
                  <w:pPr>
                    <w:ind w:firstLine="554"/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Padeda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Lietuvos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Respublikos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vizitus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į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kurioje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akredituotas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247258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 w:rsidP="009E16CA">
                  <w:pPr>
                    <w:ind w:firstLine="554"/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Teisėtais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būdais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gauna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kaupia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apie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tarptautinę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kurioje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akredituotas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nustatyta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tvarka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247258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 w:rsidP="009E16CA">
                  <w:pPr>
                    <w:ind w:firstLine="554"/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Lietuvos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Respublikos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pozicijoms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interesams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tarptautinėje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organizacijoje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kurioje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akredituotas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247258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 w:rsidP="009E16CA">
                  <w:pPr>
                    <w:ind w:firstLine="554"/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Padeda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Lietuvos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Respublikos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poziciją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buvimo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tarptautinės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kurioje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akredituotas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nagrinėjamais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priskirtos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:rsidR="00247258" w:rsidRDefault="00247258" w:rsidP="009E16CA">
            <w:pPr>
              <w:ind w:firstLine="554"/>
              <w:jc w:val="both"/>
            </w:pPr>
          </w:p>
        </w:tc>
      </w:tr>
      <w:tr w:rsidR="00247258" w:rsidTr="009E16CA">
        <w:trPr>
          <w:trHeight w:val="20"/>
        </w:trPr>
        <w:tc>
          <w:tcPr>
            <w:tcW w:w="13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6" w:type="dxa"/>
          </w:tcPr>
          <w:p w:rsidR="00247258" w:rsidRDefault="00247258" w:rsidP="009E16CA">
            <w:pPr>
              <w:pStyle w:val="EmptyLayoutCell"/>
              <w:ind w:firstLine="554"/>
              <w:jc w:val="both"/>
            </w:pPr>
          </w:p>
        </w:tc>
        <w:tc>
          <w:tcPr>
            <w:tcW w:w="6" w:type="dxa"/>
          </w:tcPr>
          <w:p w:rsidR="00247258" w:rsidRDefault="00247258" w:rsidP="009E16CA">
            <w:pPr>
              <w:pStyle w:val="EmptyLayoutCell"/>
              <w:ind w:firstLine="554"/>
              <w:jc w:val="both"/>
            </w:pPr>
          </w:p>
        </w:tc>
        <w:tc>
          <w:tcPr>
            <w:tcW w:w="9055" w:type="dxa"/>
          </w:tcPr>
          <w:p w:rsidR="00247258" w:rsidRDefault="00247258" w:rsidP="009E16CA">
            <w:pPr>
              <w:pStyle w:val="EmptyLayoutCell"/>
              <w:ind w:firstLine="554"/>
              <w:jc w:val="both"/>
            </w:pPr>
          </w:p>
        </w:tc>
        <w:tc>
          <w:tcPr>
            <w:tcW w:w="13" w:type="dxa"/>
          </w:tcPr>
          <w:p w:rsidR="00247258" w:rsidRDefault="00247258" w:rsidP="009E16CA">
            <w:pPr>
              <w:pStyle w:val="EmptyLayoutCell"/>
              <w:ind w:firstLine="554"/>
              <w:jc w:val="both"/>
            </w:pPr>
          </w:p>
        </w:tc>
      </w:tr>
      <w:tr w:rsidR="00951C86" w:rsidTr="009E16CA">
        <w:tc>
          <w:tcPr>
            <w:tcW w:w="13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247258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 w:rsidP="009E16CA">
                  <w:pPr>
                    <w:ind w:firstLine="554"/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Teisingumo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ministerijos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toliau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Ministerijai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padeda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Lietuvos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Respublikos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užsienio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politiką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teisingumo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reikalų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srityje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Jungtinių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Tautų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komitetų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prižiūrinčių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Jungtinių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Tautų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žmogaus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apsaugos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konvencijų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kurių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dalyvė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yra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Lietuvos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Respublika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toliau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JTŽT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komitetai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Jungtinių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Tautų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Žmogaus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toliau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JTŽT)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247258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 w:rsidP="009E16CA">
                  <w:pPr>
                    <w:ind w:firstLine="554"/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Ministerijos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padeda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Lietuvos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Respublikos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užsienio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politiką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teisingumo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reikalų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intelektinės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nuosavybės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apsaugos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srityje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Pasaulinės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intelektinės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nuosavybės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toliau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PINO)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tarptautinių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Ženevoje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247258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 w:rsidP="009E16CA">
                  <w:pPr>
                    <w:ind w:firstLine="554"/>
                    <w:jc w:val="both"/>
                  </w:pPr>
                  <w:r>
                    <w:rPr>
                      <w:color w:val="000000"/>
                      <w:sz w:val="24"/>
                    </w:rPr>
                    <w:lastRenderedPageBreak/>
                    <w:t xml:space="preserve">13.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Teisingumo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Užsienio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reikalų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ministerijoms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Vyriausybės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Europos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Žmogaus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Ženevoje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vadovui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apie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Jungtinių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Tautų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iniciatyvas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kurie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reikšmingi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užtikrinant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žmogaus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apsaugą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prisiimtus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tarptautinius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įsipareigojimus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JTŽT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komiteto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JTŽT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Lietuvos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visuotinę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periodinę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peržiūrą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247258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 w:rsidP="009E16CA">
                  <w:pPr>
                    <w:ind w:firstLine="554"/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apie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reikšmingus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Lietuvos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Respublikos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pateiktus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pranešimus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ataskaitas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JTŽT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apsaugos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konvencijas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JTŽT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Lietuvos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visuotinę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periodinę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peržiūrą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247258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 w:rsidP="009E16CA">
                  <w:pPr>
                    <w:ind w:firstLine="554"/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Vyriausybės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Europos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Žmogaus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Užsienio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reikalų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ministeriją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suinteresuotas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Ženevoje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vadovą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apie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skundų</w:t>
                  </w:r>
                  <w:proofErr w:type="spellEnd"/>
                  <w:proofErr w:type="gram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prašymų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svarstymo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JTŽT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komitetuose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eigą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247258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 w:rsidP="009E16CA">
                  <w:pPr>
                    <w:ind w:firstLine="554"/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PINO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renginiuose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Lietuvos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interesus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ES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Centrinės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Europos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Baltijos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Šalių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grupių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susitikimuose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ataskaitas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Teisingumo,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Kultūros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Ekonomikos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inovacijų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Žemės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ūkio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Užsienio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reikalų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ministerijoms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Valstybiniam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biurui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Lietuvos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Nuolatinei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atstovybei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ES,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Ženevoje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vadovui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suinteresuotoms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institucijoms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247258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 w:rsidP="009E16CA">
                  <w:pPr>
                    <w:ind w:firstLine="554"/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renginiuose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posėdžiuose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susitikimuose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palaiko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ryšius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suinteresuotomis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Lietuvos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Jungtinių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Tautų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Vyriausiojo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žmogaus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komisaro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biuru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JTŽT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komitetais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užsienio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pilietine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visuomene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JTŽT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komitetų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JTŽT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vykdomos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Lietuvos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visuotinės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periodinės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peržiūros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247258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 w:rsidP="009E16CA">
                  <w:pPr>
                    <w:ind w:firstLine="554"/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Lietuvos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Respublikos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pranešimų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ataskaitų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JTŽT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apsaugos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konvencijas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kurių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dalyvė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yra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Lietuva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Lietuvos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Respublikos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pranešimų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JTŽT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vykdomai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visuotinei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periodinei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peržiūrai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pristatymus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247258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 w:rsidP="009E16CA">
                  <w:pPr>
                    <w:ind w:firstLine="554"/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Nuolat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palaiko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ryšius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bendradarbiauja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atsakingomis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PINO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atsakingas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apie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PINO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iniciatyvas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renginius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247258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 w:rsidP="009E16CA">
                  <w:pPr>
                    <w:ind w:firstLine="554"/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atsakingoms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Lietuvos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PINO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rekomendacijas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Lietuvos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pozicijų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Europos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Sąjungos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grupėse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komitetuose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PINO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tarptautinėse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organizacijose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svarstomais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intelektinės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nuosavybės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apsauga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247258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 w:rsidP="009E16CA">
                  <w:pPr>
                    <w:ind w:firstLine="554"/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užtikrina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tinkamą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Lietuvos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Respublikos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komunikacijos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Jungtinių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Tautų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žmogaus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komitetais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Jungtinių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Tautų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Vyriausiojo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žmogaus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komisaro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biuru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247258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 w:rsidP="009E16CA">
                  <w:pPr>
                    <w:ind w:firstLine="554"/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Bendradarbiauja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padeda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Ministerijai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Vyriausybės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Europos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Žmogaus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atsakingoms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bendradarbiauti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koordinuojant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JTŽT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komitetų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išvadų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rekomendacijų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JTŽT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vykdomos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Lietuvos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visuotinės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periodinės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peržiūros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rekomendacijų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247258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 w:rsidP="009E16CA">
                  <w:pPr>
                    <w:ind w:firstLine="554"/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Ministerijos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atsakingų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veiksmus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komunikaciją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skundų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prašymų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JTŽT </w:t>
                  </w: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komitetuose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proofErr w:type="gram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JTŽT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vykdomos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Lietuvos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visuotinės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periodinės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peržiūros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247258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 w:rsidP="009E16CA">
                  <w:pPr>
                    <w:ind w:firstLine="554"/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prisideda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rengiant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Ženevoje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planus,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ataskaitas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Ženevoje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teisingumo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ministrui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metinę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ataskaitą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apie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prioritetus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problemas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:rsidR="00247258" w:rsidRDefault="00247258" w:rsidP="009E16CA">
            <w:pPr>
              <w:ind w:firstLine="554"/>
              <w:jc w:val="both"/>
            </w:pPr>
          </w:p>
        </w:tc>
      </w:tr>
      <w:tr w:rsidR="00247258" w:rsidTr="009E16CA">
        <w:trPr>
          <w:trHeight w:val="19"/>
        </w:trPr>
        <w:tc>
          <w:tcPr>
            <w:tcW w:w="13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6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6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9055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13" w:type="dxa"/>
          </w:tcPr>
          <w:p w:rsidR="00247258" w:rsidRDefault="00247258">
            <w:pPr>
              <w:pStyle w:val="EmptyLayoutCell"/>
            </w:pPr>
          </w:p>
        </w:tc>
      </w:tr>
      <w:tr w:rsidR="00951C86" w:rsidTr="009E16CA">
        <w:tc>
          <w:tcPr>
            <w:tcW w:w="13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247258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 w:rsidP="009E16CA">
                  <w:pPr>
                    <w:ind w:firstLine="514"/>
                  </w:pPr>
                  <w:r>
                    <w:rPr>
                      <w:color w:val="000000"/>
                      <w:sz w:val="24"/>
                    </w:rPr>
                    <w:t xml:space="preserve">25.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nenuolatinio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pobūdžio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:rsidR="00247258" w:rsidRDefault="00247258"/>
        </w:tc>
      </w:tr>
      <w:tr w:rsidR="00247258" w:rsidTr="009E16CA">
        <w:trPr>
          <w:trHeight w:val="139"/>
        </w:trPr>
        <w:tc>
          <w:tcPr>
            <w:tcW w:w="13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6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6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9055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13" w:type="dxa"/>
          </w:tcPr>
          <w:p w:rsidR="00247258" w:rsidRDefault="00247258">
            <w:pPr>
              <w:pStyle w:val="EmptyLayoutCell"/>
            </w:pPr>
          </w:p>
        </w:tc>
      </w:tr>
      <w:tr w:rsidR="00951C86" w:rsidTr="009E16CA">
        <w:tc>
          <w:tcPr>
            <w:tcW w:w="13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6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6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247258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:rsidR="00247258" w:rsidRDefault="00CD527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247258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 w:rsidP="009E16CA">
                  <w:pPr>
                    <w:ind w:firstLine="542"/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Išsilavinimo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patirties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reikalavimai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</w:tr>
            <w:tr w:rsidR="00247258">
              <w:trPr>
                <w:trHeight w:val="20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247258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247258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47258" w:rsidRDefault="00CD5278" w:rsidP="009E16CA">
                              <w:pPr>
                                <w:ind w:firstLine="542"/>
                                <w:jc w:val="both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26.1.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(ne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žemesnis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kaip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247258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47258" w:rsidRDefault="00CD5278" w:rsidP="009E16CA">
                              <w:pPr>
                                <w:ind w:firstLine="542"/>
                                <w:jc w:val="both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26.2.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teisė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;</w:t>
                              </w:r>
                            </w:p>
                          </w:tc>
                        </w:tr>
                        <w:tr w:rsidR="00247258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47258" w:rsidRDefault="00CD5278" w:rsidP="009E16CA">
                              <w:pPr>
                                <w:ind w:firstLine="542"/>
                                <w:jc w:val="both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:</w:t>
                              </w:r>
                            </w:p>
                          </w:tc>
                        </w:tr>
                      </w:tbl>
                      <w:p w:rsidR="00247258" w:rsidRDefault="00247258" w:rsidP="009E16CA">
                        <w:pPr>
                          <w:ind w:firstLine="542"/>
                          <w:jc w:val="both"/>
                        </w:pPr>
                      </w:p>
                    </w:tc>
                  </w:tr>
                  <w:tr w:rsidR="00247258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247258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47258" w:rsidRDefault="00CD5278" w:rsidP="009E16CA">
                              <w:pPr>
                                <w:ind w:firstLine="542"/>
                                <w:jc w:val="both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26.3.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(ne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žemesnis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kaip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247258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47258" w:rsidRDefault="00CD5278" w:rsidP="009E16CA">
                              <w:pPr>
                                <w:ind w:firstLine="542"/>
                                <w:jc w:val="both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26.4.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teisinio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;</w:t>
                              </w:r>
                            </w:p>
                          </w:tc>
                        </w:tr>
                        <w:tr w:rsidR="00247258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47258" w:rsidRDefault="00CD5278" w:rsidP="009E16CA">
                              <w:pPr>
                                <w:ind w:firstLine="542"/>
                                <w:jc w:val="both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26.5.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patirties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trukmė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ne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mažiau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kaip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2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metai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. </w:t>
                              </w:r>
                            </w:p>
                          </w:tc>
                        </w:tr>
                      </w:tbl>
                      <w:p w:rsidR="00247258" w:rsidRDefault="00247258" w:rsidP="009E16CA">
                        <w:pPr>
                          <w:ind w:firstLine="542"/>
                          <w:jc w:val="both"/>
                        </w:pPr>
                      </w:p>
                    </w:tc>
                  </w:tr>
                </w:tbl>
                <w:p w:rsidR="00247258" w:rsidRDefault="00247258" w:rsidP="009E16CA">
                  <w:pPr>
                    <w:ind w:firstLine="542"/>
                    <w:jc w:val="both"/>
                  </w:pPr>
                </w:p>
              </w:tc>
            </w:tr>
            <w:tr w:rsidR="00247258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 w:rsidP="009E16CA">
                  <w:pPr>
                    <w:ind w:firstLine="542"/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Užsienio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kalbos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mokėjimo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reikalavimai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</w:tr>
            <w:tr w:rsidR="00247258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247258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47258" w:rsidRDefault="00CD5278" w:rsidP="009E16CA">
                        <w:pPr>
                          <w:ind w:firstLine="542"/>
                          <w:jc w:val="both"/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27.1.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kalba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anglų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;</w:t>
                        </w:r>
                      </w:p>
                    </w:tc>
                  </w:tr>
                </w:tbl>
                <w:p w:rsidR="00247258" w:rsidRDefault="00247258" w:rsidP="009E16CA">
                  <w:pPr>
                    <w:ind w:firstLine="542"/>
                    <w:jc w:val="both"/>
                  </w:pPr>
                </w:p>
              </w:tc>
            </w:tr>
            <w:tr w:rsidR="00247258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247258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47258" w:rsidRDefault="00CD5278" w:rsidP="009E16CA">
                        <w:pPr>
                          <w:ind w:firstLine="542"/>
                          <w:jc w:val="both"/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27.2. </w:t>
                        </w:r>
                        <w:proofErr w:type="spellStart"/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>kalbos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mokėjimo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lygis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C1.</w:t>
                        </w:r>
                      </w:p>
                    </w:tc>
                  </w:tr>
                </w:tbl>
                <w:p w:rsidR="00247258" w:rsidRDefault="00247258" w:rsidP="009E16CA">
                  <w:pPr>
                    <w:ind w:firstLine="542"/>
                    <w:jc w:val="both"/>
                  </w:pPr>
                </w:p>
              </w:tc>
            </w:tr>
            <w:tr w:rsidR="00247258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247258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47258" w:rsidRDefault="00CD5278" w:rsidP="009E16CA">
                        <w:pPr>
                          <w:ind w:firstLine="542"/>
                          <w:jc w:val="both"/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27.3.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kalba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prancūzų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;</w:t>
                        </w:r>
                      </w:p>
                    </w:tc>
                  </w:tr>
                  <w:tr w:rsidR="00247258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47258" w:rsidRDefault="00CD5278" w:rsidP="009E16CA">
                        <w:pPr>
                          <w:ind w:firstLine="542"/>
                          <w:jc w:val="both"/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27.4. </w:t>
                        </w:r>
                        <w:proofErr w:type="spellStart"/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>kalbos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mokėjimo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lygis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B1.</w:t>
                        </w:r>
                      </w:p>
                    </w:tc>
                  </w:tr>
                </w:tbl>
                <w:p w:rsidR="00247258" w:rsidRDefault="00247258" w:rsidP="009E16CA">
                  <w:pPr>
                    <w:ind w:firstLine="542"/>
                    <w:jc w:val="both"/>
                  </w:pPr>
                </w:p>
              </w:tc>
            </w:tr>
            <w:tr w:rsidR="00247258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 w:rsidP="009E16CA">
                  <w:pPr>
                    <w:ind w:firstLine="542"/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Atitikimas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kitiems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reikalavimams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</w:tr>
            <w:tr w:rsidR="00247258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247258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47258" w:rsidRDefault="00CD5278" w:rsidP="009E16CA">
                        <w:pPr>
                          <w:ind w:firstLine="542"/>
                          <w:jc w:val="both"/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28.1. </w:t>
                        </w:r>
                        <w:proofErr w:type="spellStart"/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>atitikti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aktuose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nustatytus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reikalavimus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būtinus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išduodant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leidimą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dirbti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susipažinti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su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įslaptinta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informacija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žymima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slaptumo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žyma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„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Slaptai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“.</w:t>
                        </w:r>
                      </w:p>
                    </w:tc>
                  </w:tr>
                  <w:tr w:rsidR="00247258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47258" w:rsidRDefault="00CD5278" w:rsidP="009E16CA">
                        <w:pPr>
                          <w:ind w:firstLine="542"/>
                          <w:jc w:val="both"/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28.2. </w:t>
                        </w:r>
                        <w:proofErr w:type="spellStart"/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>gebėti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dirbti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su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kompiuterinėmis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programomis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:rsidR="00247258" w:rsidRDefault="00247258" w:rsidP="009E16CA">
                  <w:pPr>
                    <w:ind w:firstLine="542"/>
                    <w:jc w:val="both"/>
                  </w:pPr>
                </w:p>
              </w:tc>
            </w:tr>
          </w:tbl>
          <w:p w:rsidR="00247258" w:rsidRDefault="00247258"/>
        </w:tc>
      </w:tr>
      <w:tr w:rsidR="00247258" w:rsidTr="009E16CA">
        <w:trPr>
          <w:trHeight w:val="62"/>
        </w:trPr>
        <w:tc>
          <w:tcPr>
            <w:tcW w:w="13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6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6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9055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13" w:type="dxa"/>
          </w:tcPr>
          <w:p w:rsidR="00247258" w:rsidRDefault="00247258">
            <w:pPr>
              <w:pStyle w:val="EmptyLayoutCell"/>
            </w:pPr>
          </w:p>
        </w:tc>
      </w:tr>
      <w:tr w:rsidR="00951C86" w:rsidTr="009E16CA">
        <w:tc>
          <w:tcPr>
            <w:tcW w:w="13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6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6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247258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:rsidR="00247258" w:rsidRDefault="00CD527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247258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 w:rsidP="009E16CA">
                  <w:pPr>
                    <w:ind w:firstLine="502"/>
                  </w:pPr>
                  <w:r>
                    <w:rPr>
                      <w:color w:val="000000"/>
                      <w:sz w:val="24"/>
                    </w:rPr>
                    <w:t xml:space="preserve">29.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Bendrosios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lygiai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</w:tr>
            <w:tr w:rsidR="00247258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247258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47258" w:rsidRDefault="00CD5278" w:rsidP="009E16CA">
                        <w:pPr>
                          <w:ind w:firstLine="502"/>
                        </w:pPr>
                        <w:r>
                          <w:rPr>
                            <w:color w:val="000000"/>
                            <w:sz w:val="24"/>
                          </w:rPr>
                          <w:t>29.1. komunikacija – 4;</w:t>
                        </w:r>
                      </w:p>
                    </w:tc>
                  </w:tr>
                  <w:tr w:rsidR="00247258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47258" w:rsidRDefault="00CD5278" w:rsidP="009E16CA">
                        <w:pPr>
                          <w:ind w:firstLine="502"/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29.2.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pagrindimas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247258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47258" w:rsidRDefault="00CD5278" w:rsidP="009E16CA">
                        <w:pPr>
                          <w:ind w:firstLine="502"/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29.3.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patikimumas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atsakingumas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247258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47258" w:rsidRDefault="00CD5278" w:rsidP="009E16CA">
                        <w:pPr>
                          <w:ind w:firstLine="502"/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29.4.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organizuotumas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247258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47258" w:rsidRDefault="00CD5278" w:rsidP="009E16CA">
                        <w:pPr>
                          <w:ind w:firstLine="502"/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29.5. </w:t>
                        </w:r>
                        <w:proofErr w:type="spellStart"/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>vertės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visuomenei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kūrimas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4.</w:t>
                        </w:r>
                      </w:p>
                    </w:tc>
                  </w:tr>
                </w:tbl>
                <w:p w:rsidR="00247258" w:rsidRDefault="00247258" w:rsidP="009E16CA">
                  <w:pPr>
                    <w:ind w:firstLine="502"/>
                  </w:pPr>
                </w:p>
              </w:tc>
            </w:tr>
            <w:tr w:rsidR="00247258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 w:rsidP="009E16CA">
                  <w:pPr>
                    <w:ind w:firstLine="502"/>
                  </w:pPr>
                  <w:r>
                    <w:rPr>
                      <w:color w:val="000000"/>
                      <w:sz w:val="24"/>
                    </w:rPr>
                    <w:t xml:space="preserve">30.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Specifinės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lygiai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</w:tr>
            <w:tr w:rsidR="00247258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247258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47258" w:rsidRDefault="00CD5278" w:rsidP="009E16CA">
                        <w:pPr>
                          <w:ind w:firstLine="502"/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30.1. </w:t>
                        </w:r>
                        <w:proofErr w:type="spellStart"/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>informacijos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4.</w:t>
                        </w:r>
                      </w:p>
                    </w:tc>
                  </w:tr>
                </w:tbl>
                <w:p w:rsidR="00247258" w:rsidRDefault="00247258" w:rsidP="009E16CA">
                  <w:pPr>
                    <w:ind w:firstLine="502"/>
                  </w:pPr>
                </w:p>
              </w:tc>
            </w:tr>
            <w:tr w:rsidR="00247258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 w:rsidP="009E16CA">
                  <w:pPr>
                    <w:ind w:firstLine="502"/>
                  </w:pPr>
                  <w:r>
                    <w:rPr>
                      <w:color w:val="000000"/>
                      <w:sz w:val="24"/>
                    </w:rPr>
                    <w:t xml:space="preserve">31.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Profesinės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lygiai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</w:tr>
            <w:tr w:rsidR="00247258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247258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47258" w:rsidRDefault="00CD5278" w:rsidP="009E16CA">
                        <w:pPr>
                          <w:ind w:firstLine="502"/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31.1.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tarptautinių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ryšių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išmanymas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247258" w:rsidTr="009E16CA">
                    <w:trPr>
                      <w:trHeight w:val="4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47258" w:rsidRDefault="00CD5278" w:rsidP="009E16CA">
                        <w:pPr>
                          <w:ind w:firstLine="502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31.2. </w:t>
                        </w:r>
                        <w:proofErr w:type="spellStart"/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>teisės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išmanymas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4.</w:t>
                        </w:r>
                      </w:p>
                      <w:p w:rsidR="009E16CA" w:rsidRDefault="009E16CA" w:rsidP="009E16CA">
                        <w:pPr>
                          <w:ind w:firstLine="502"/>
                        </w:pPr>
                      </w:p>
                    </w:tc>
                  </w:tr>
                </w:tbl>
                <w:p w:rsidR="00247258" w:rsidRDefault="00247258" w:rsidP="009E16CA">
                  <w:pPr>
                    <w:ind w:firstLine="502"/>
                  </w:pPr>
                </w:p>
              </w:tc>
            </w:tr>
          </w:tbl>
          <w:p w:rsidR="00247258" w:rsidRDefault="00247258"/>
        </w:tc>
      </w:tr>
      <w:tr w:rsidR="00951C86" w:rsidTr="009E16CA">
        <w:tc>
          <w:tcPr>
            <w:tcW w:w="13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6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6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247258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>
                  <w:proofErr w:type="spellStart"/>
                  <w:r>
                    <w:rPr>
                      <w:color w:val="000000"/>
                      <w:sz w:val="24"/>
                    </w:rPr>
                    <w:t>Susipažinau</w:t>
                  </w:r>
                  <w:proofErr w:type="spellEnd"/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247258"/>
              </w:tc>
            </w:tr>
            <w:tr w:rsidR="00247258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247258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247258"/>
              </w:tc>
            </w:tr>
            <w:tr w:rsidR="00247258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Parašas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247258"/>
              </w:tc>
            </w:tr>
            <w:tr w:rsidR="00247258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247258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247258"/>
              </w:tc>
            </w:tr>
            <w:tr w:rsidR="00247258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Vardas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ir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pavardė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247258"/>
              </w:tc>
            </w:tr>
            <w:tr w:rsidR="00247258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247258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247258"/>
              </w:tc>
            </w:tr>
            <w:tr w:rsidR="00247258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CD5278"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247258"/>
              </w:tc>
            </w:tr>
            <w:tr w:rsidR="00247258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247258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258" w:rsidRDefault="00247258"/>
              </w:tc>
            </w:tr>
          </w:tbl>
          <w:p w:rsidR="00247258" w:rsidRDefault="00247258"/>
        </w:tc>
      </w:tr>
      <w:tr w:rsidR="00247258" w:rsidTr="009E16CA">
        <w:trPr>
          <w:trHeight w:val="41"/>
        </w:trPr>
        <w:tc>
          <w:tcPr>
            <w:tcW w:w="13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6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6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9055" w:type="dxa"/>
          </w:tcPr>
          <w:p w:rsidR="00247258" w:rsidRDefault="00247258">
            <w:pPr>
              <w:pStyle w:val="EmptyLayoutCell"/>
            </w:pPr>
          </w:p>
        </w:tc>
        <w:tc>
          <w:tcPr>
            <w:tcW w:w="13" w:type="dxa"/>
          </w:tcPr>
          <w:p w:rsidR="00247258" w:rsidRDefault="00247258">
            <w:pPr>
              <w:pStyle w:val="EmptyLayoutCell"/>
            </w:pPr>
          </w:p>
        </w:tc>
      </w:tr>
    </w:tbl>
    <w:p w:rsidR="00CD5278" w:rsidRDefault="00CD5278"/>
    <w:sectPr w:rsidR="00CD5278" w:rsidSect="009E16CA">
      <w:pgSz w:w="11905" w:h="16837"/>
      <w:pgMar w:top="1133" w:right="566" w:bottom="99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C86"/>
    <w:rsid w:val="00247258"/>
    <w:rsid w:val="003E7750"/>
    <w:rsid w:val="0070439A"/>
    <w:rsid w:val="00951C86"/>
    <w:rsid w:val="009E16CA"/>
    <w:rsid w:val="00CD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49DE9-3D6F-4509-B120-602D860B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4744</Words>
  <Characters>2705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>HP Inc.</Company>
  <LinksUpToDate>false</LinksUpToDate>
  <CharactersWithSpaces>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2020-07-24T12:36:00Z</dcterms:created>
  <dc:creator>Inesa Sakalauskienė</dc:creator>
  <cp:lastModifiedBy>Rita Kamarauskienė</cp:lastModifiedBy>
  <dcterms:modified xsi:type="dcterms:W3CDTF">2020-07-24T12:36:00Z</dcterms:modified>
  <cp:revision>2</cp:revision>
  <dc:title>PAR_Spausdinimas</dc:title>
</cp:coreProperties>
</file>