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60" w:type="dxa"/>
        <w:tblInd w:w="180" w:type="dxa"/>
        <w:tblCellMar>
          <w:left w:w="0" w:type="dxa"/>
          <w:right w:w="0" w:type="dxa"/>
        </w:tblCellMar>
        <w:tblLook w:val="04A0" w:firstRow="1" w:lastRow="0" w:firstColumn="1" w:lastColumn="0" w:noHBand="0" w:noVBand="1"/>
      </w:tblPr>
      <w:tblGrid>
        <w:gridCol w:w="13860"/>
      </w:tblGrid>
      <w:tr w:rsidR="00F7714D" w14:paraId="3A59CBDA" w14:textId="77777777">
        <w:trPr>
          <w:trHeight w:val="851"/>
        </w:trPr>
        <w:tc>
          <w:tcPr>
            <w:tcW w:w="13860" w:type="dxa"/>
            <w:shd w:val="clear" w:color="auto" w:fill="auto"/>
          </w:tcPr>
          <w:p w14:paraId="71B97178" w14:textId="77777777" w:rsidR="00F7714D" w:rsidRDefault="005D1493">
            <w:pPr>
              <w:jc w:val="center"/>
            </w:pPr>
            <w:bookmarkStart w:id="0" w:name="_GoBack"/>
            <w:bookmarkEnd w:id="0"/>
            <w:r>
              <w:rPr>
                <w:b/>
                <w:bCs/>
              </w:rPr>
              <w:t>DERINIMO PAŽYMA</w:t>
            </w:r>
          </w:p>
          <w:p w14:paraId="41F937BB" w14:textId="77777777" w:rsidR="006C759B" w:rsidRPr="006C759B" w:rsidRDefault="005D1493" w:rsidP="006C759B">
            <w:pPr>
              <w:jc w:val="center"/>
              <w:outlineLvl w:val="0"/>
              <w:rPr>
                <w:b/>
              </w:rPr>
            </w:pPr>
            <w:r>
              <w:rPr>
                <w:b/>
                <w:bCs/>
                <w:caps/>
              </w:rPr>
              <w:t xml:space="preserve">Dėl </w:t>
            </w:r>
            <w:r w:rsidR="006C759B" w:rsidRPr="006C759B">
              <w:rPr>
                <w:b/>
              </w:rPr>
              <w:t>LIETUVOS RESPUBLIKOS ĮSTATYMO</w:t>
            </w:r>
          </w:p>
          <w:p w14:paraId="10DBD202" w14:textId="17CA70EA" w:rsidR="006C759B" w:rsidRPr="006C759B" w:rsidRDefault="006C759B" w:rsidP="006C759B">
            <w:pPr>
              <w:jc w:val="center"/>
              <w:outlineLvl w:val="0"/>
              <w:rPr>
                <w:b/>
              </w:rPr>
            </w:pPr>
            <w:r w:rsidRPr="006C759B">
              <w:rPr>
                <w:b/>
              </w:rPr>
              <w:t xml:space="preserve">„DĖL EUROPOS KONVENCIJOS DĖL BRUTALAUS ŽIŪROVŲ ELGESIO PER SPORTO VARŽYBAS IR YPAČ PER FUTBOLO RUNGTYNES DENONSAVIMO IR EUROPOS TARYBOS KONVENCIJOS DĖL INTEGRUOTO POŽIŪRIO Į SAUGUMĄ, APSAUGĄ IR PASLAUGAS PER FUTBOLO RUNGTYNES IR KITUS SPORTO RENGINIUS RATIFIKAVIMO“ PROJEKTO, LIETUVOS RESPUBLIKOS </w:t>
            </w:r>
            <w:r w:rsidRPr="006C759B">
              <w:rPr>
                <w:b/>
                <w:bCs/>
              </w:rPr>
              <w:t xml:space="preserve">SPORTO ĮSTATYMO NR. I-1151 15 STRAIPSNIO PAKEITIMO ĮSTATYMO </w:t>
            </w:r>
            <w:r w:rsidRPr="006C759B">
              <w:rPr>
                <w:b/>
              </w:rPr>
              <w:t xml:space="preserve">PROJEKTO IR LIETUVOS RESPUBLIKOS </w:t>
            </w:r>
            <w:r w:rsidRPr="006C759B">
              <w:rPr>
                <w:b/>
                <w:bCs/>
              </w:rPr>
              <w:t>ADMINISTRACINIŲ NUSIŽENGIMŲ KODEKSO 31</w:t>
            </w:r>
            <w:r w:rsidR="007E3A22">
              <w:rPr>
                <w:b/>
                <w:bCs/>
              </w:rPr>
              <w:t> </w:t>
            </w:r>
            <w:r w:rsidRPr="006C759B">
              <w:rPr>
                <w:b/>
                <w:bCs/>
              </w:rPr>
              <w:t xml:space="preserve">STRAIPSNIO PAKEITIMO ĮSTATYMO </w:t>
            </w:r>
            <w:r w:rsidRPr="006C759B">
              <w:rPr>
                <w:b/>
              </w:rPr>
              <w:t>PROJEKTO</w:t>
            </w:r>
          </w:p>
          <w:p w14:paraId="0C4E7E8E" w14:textId="255827BD" w:rsidR="00F7714D" w:rsidRDefault="00F7714D">
            <w:pPr>
              <w:jc w:val="center"/>
            </w:pPr>
          </w:p>
        </w:tc>
      </w:tr>
    </w:tbl>
    <w:p w14:paraId="21EE41DD" w14:textId="77777777" w:rsidR="00F7714D" w:rsidRDefault="005D1493">
      <w:pPr>
        <w:jc w:val="both"/>
      </w:pPr>
      <w:r>
        <w:rPr>
          <w:sz w:val="16"/>
          <w:szCs w:val="16"/>
        </w:rPr>
        <w:t xml:space="preserve"> </w:t>
      </w:r>
    </w:p>
    <w:tbl>
      <w:tblPr>
        <w:tblW w:w="13870" w:type="dxa"/>
        <w:tblInd w:w="263" w:type="dxa"/>
        <w:tblBorders>
          <w:top w:val="single" w:sz="4" w:space="0" w:color="000001"/>
          <w:left w:val="single" w:sz="4" w:space="0" w:color="000001"/>
          <w:bottom w:val="single" w:sz="4" w:space="0" w:color="000001"/>
          <w:insideH w:val="single" w:sz="4" w:space="0" w:color="000001"/>
        </w:tblBorders>
        <w:tblCellMar>
          <w:left w:w="83" w:type="dxa"/>
        </w:tblCellMar>
        <w:tblLook w:val="04A0" w:firstRow="1" w:lastRow="0" w:firstColumn="1" w:lastColumn="0" w:noHBand="0" w:noVBand="1"/>
      </w:tblPr>
      <w:tblGrid>
        <w:gridCol w:w="1575"/>
        <w:gridCol w:w="6379"/>
        <w:gridCol w:w="5916"/>
      </w:tblGrid>
      <w:tr w:rsidR="00F7714D" w14:paraId="4EA11358" w14:textId="77777777" w:rsidTr="00DB3B09">
        <w:trPr>
          <w:trHeight w:val="432"/>
        </w:trPr>
        <w:tc>
          <w:tcPr>
            <w:tcW w:w="1575" w:type="dxa"/>
            <w:tcBorders>
              <w:top w:val="single" w:sz="4" w:space="0" w:color="000001"/>
              <w:left w:val="single" w:sz="4" w:space="0" w:color="000001"/>
              <w:bottom w:val="single" w:sz="4" w:space="0" w:color="000001"/>
            </w:tcBorders>
            <w:shd w:val="clear" w:color="auto" w:fill="auto"/>
            <w:tcMar>
              <w:left w:w="83" w:type="dxa"/>
            </w:tcMar>
          </w:tcPr>
          <w:p w14:paraId="4C6182B1" w14:textId="271D4A0D" w:rsidR="00F7714D" w:rsidRPr="00C568B0" w:rsidRDefault="005D1493" w:rsidP="00C568B0">
            <w:pPr>
              <w:jc w:val="center"/>
              <w:rPr>
                <w:b/>
              </w:rPr>
            </w:pPr>
            <w:r w:rsidRPr="00C568B0">
              <w:rPr>
                <w:b/>
              </w:rPr>
              <w:t>Institucija</w:t>
            </w:r>
          </w:p>
        </w:tc>
        <w:tc>
          <w:tcPr>
            <w:tcW w:w="6379" w:type="dxa"/>
            <w:tcBorders>
              <w:top w:val="single" w:sz="4" w:space="0" w:color="000001"/>
              <w:left w:val="single" w:sz="4" w:space="0" w:color="000001"/>
              <w:bottom w:val="single" w:sz="4" w:space="0" w:color="000001"/>
            </w:tcBorders>
            <w:shd w:val="clear" w:color="auto" w:fill="auto"/>
            <w:tcMar>
              <w:left w:w="83" w:type="dxa"/>
            </w:tcMar>
          </w:tcPr>
          <w:p w14:paraId="53DF9E1C" w14:textId="29AEA905" w:rsidR="00F7714D" w:rsidRPr="00C568B0" w:rsidRDefault="005D1493" w:rsidP="00C568B0">
            <w:pPr>
              <w:jc w:val="center"/>
              <w:rPr>
                <w:b/>
              </w:rPr>
            </w:pPr>
            <w:r w:rsidRPr="00C568B0">
              <w:rPr>
                <w:b/>
              </w:rPr>
              <w:t>Pastaba</w:t>
            </w:r>
          </w:p>
        </w:tc>
        <w:tc>
          <w:tcPr>
            <w:tcW w:w="591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44C181E5" w14:textId="2B9F8FAF" w:rsidR="00F7714D" w:rsidRPr="00C568B0" w:rsidRDefault="00D549AE" w:rsidP="00C568B0">
            <w:pPr>
              <w:jc w:val="center"/>
              <w:rPr>
                <w:b/>
              </w:rPr>
            </w:pPr>
            <w:r w:rsidRPr="00C568B0">
              <w:rPr>
                <w:b/>
              </w:rPr>
              <w:t>Įvertinimas</w:t>
            </w:r>
          </w:p>
        </w:tc>
      </w:tr>
      <w:tr w:rsidR="00F7714D" w14:paraId="1C17BB49" w14:textId="77777777" w:rsidTr="00DB3B09">
        <w:trPr>
          <w:trHeight w:val="432"/>
        </w:trPr>
        <w:tc>
          <w:tcPr>
            <w:tcW w:w="1575" w:type="dxa"/>
            <w:vMerge w:val="restart"/>
            <w:tcBorders>
              <w:top w:val="single" w:sz="4" w:space="0" w:color="000001"/>
              <w:left w:val="single" w:sz="4" w:space="0" w:color="000001"/>
              <w:bottom w:val="single" w:sz="4" w:space="0" w:color="000001"/>
            </w:tcBorders>
            <w:shd w:val="clear" w:color="auto" w:fill="auto"/>
            <w:tcMar>
              <w:left w:w="83" w:type="dxa"/>
            </w:tcMar>
          </w:tcPr>
          <w:p w14:paraId="146FF90E" w14:textId="4C5A911B" w:rsidR="00F7714D" w:rsidRPr="00FC0822" w:rsidRDefault="006C759B">
            <w:pPr>
              <w:jc w:val="both"/>
            </w:pPr>
            <w:r w:rsidRPr="00FC0822">
              <w:t>Švietimo</w:t>
            </w:r>
            <w:r w:rsidR="00FC0822" w:rsidRPr="00FC0822">
              <w:t xml:space="preserve">, mokslo ir sporto </w:t>
            </w:r>
            <w:r w:rsidRPr="00FC0822">
              <w:t>ministerijos 2019-02-04</w:t>
            </w:r>
            <w:r w:rsidR="005D1493" w:rsidRPr="00FC0822">
              <w:t xml:space="preserve"> raštas Nr. </w:t>
            </w:r>
            <w:r w:rsidRPr="00FC0822">
              <w:t>SR-420</w:t>
            </w:r>
          </w:p>
        </w:tc>
        <w:tc>
          <w:tcPr>
            <w:tcW w:w="6379" w:type="dxa"/>
            <w:tcBorders>
              <w:top w:val="single" w:sz="4" w:space="0" w:color="000001"/>
              <w:left w:val="single" w:sz="4" w:space="0" w:color="000001"/>
              <w:bottom w:val="single" w:sz="4" w:space="0" w:color="000001"/>
            </w:tcBorders>
            <w:shd w:val="clear" w:color="auto" w:fill="auto"/>
            <w:tcMar>
              <w:left w:w="83" w:type="dxa"/>
            </w:tcMar>
          </w:tcPr>
          <w:p w14:paraId="1E33F260" w14:textId="7EF8A57C" w:rsidR="00F7714D" w:rsidRPr="00FC0822" w:rsidRDefault="005D1493" w:rsidP="00FC0822">
            <w:pPr>
              <w:pStyle w:val="Default"/>
              <w:jc w:val="both"/>
            </w:pPr>
            <w:r w:rsidRPr="00FC0822">
              <w:t xml:space="preserve">2. </w:t>
            </w:r>
            <w:r w:rsidR="00FC0822" w:rsidRPr="00FC0822">
              <w:t>Tarptautiniai sporto renginiai ir šiuo metu privalo būti vykdomi tik tokioje sporto infrastruktūroje, kuri atitinka tam tikros tarptautinės sporto šakos federacijos nustatytus reikalavimus – tai reguliuoja atitinkamos tarptautinės sporto šakos federacijos, tai aptarta ir Sporto įstatymo 2 straipsnio 7 dalyje, todėl šių siūlomų nuostatų nėra tikslinga pakartotinai įtvirtinti Sporto įstatymo 15 straipsnyje. Atsižvelgiant į tai, siūloma Sporto įstatymo projekto 15 straipsnio 2 dalies atsisakyti kaip perteklinio reguliavimo.</w:t>
            </w:r>
          </w:p>
        </w:tc>
        <w:tc>
          <w:tcPr>
            <w:tcW w:w="591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3F835A24" w14:textId="5291AF21" w:rsidR="00F7714D" w:rsidRDefault="002F3F30" w:rsidP="006C759B">
            <w:pPr>
              <w:jc w:val="both"/>
              <w:rPr>
                <w:b/>
              </w:rPr>
            </w:pPr>
            <w:r>
              <w:rPr>
                <w:b/>
              </w:rPr>
              <w:t>Neatsižvelgt</w:t>
            </w:r>
            <w:r w:rsidRPr="00A507EA">
              <w:rPr>
                <w:b/>
              </w:rPr>
              <w:t>a</w:t>
            </w:r>
            <w:r w:rsidR="005D1493" w:rsidRPr="00A507EA">
              <w:rPr>
                <w:b/>
              </w:rPr>
              <w:t>.</w:t>
            </w:r>
            <w:r w:rsidR="005D1493" w:rsidRPr="00A507EA">
              <w:rPr>
                <w:b/>
                <w:highlight w:val="yellow"/>
              </w:rPr>
              <w:t xml:space="preserve"> </w:t>
            </w:r>
          </w:p>
          <w:p w14:paraId="49E61DF2" w14:textId="3D060F7B" w:rsidR="00152158" w:rsidRPr="00FC0822" w:rsidRDefault="002F3F30" w:rsidP="007060E0">
            <w:pPr>
              <w:jc w:val="both"/>
            </w:pPr>
            <w:r>
              <w:t>Sporto įstatymo 2 straipsnio 7 dalis</w:t>
            </w:r>
            <w:r w:rsidRPr="002F3F30">
              <w:t xml:space="preserve"> apibrėžia tik sąvoką ir detalaus reguliavimo nenumato, juolab, kad mini</w:t>
            </w:r>
            <w:r>
              <w:t>moje dalyje nustatyta</w:t>
            </w:r>
            <w:r w:rsidRPr="002F3F30">
              <w:t xml:space="preserve"> tik tai, kad</w:t>
            </w:r>
            <w:r w:rsidR="00663700">
              <w:t xml:space="preserve"> varžybos turi vykti pagal </w:t>
            </w:r>
            <w:r w:rsidRPr="002F3F30">
              <w:t>nurodom</w:t>
            </w:r>
            <w:r w:rsidR="007060E0">
              <w:t>ų subjektų nustatytas taisykles. T</w:t>
            </w:r>
            <w:r w:rsidRPr="002F3F30">
              <w:t>uo tarpu siūloma</w:t>
            </w:r>
            <w:r w:rsidR="00663700" w:rsidRPr="00663700">
              <w:t xml:space="preserve"> Sporto įstatymo</w:t>
            </w:r>
            <w:r w:rsidR="00663700">
              <w:t xml:space="preserve"> 15 straipsnio 2 dalis</w:t>
            </w:r>
            <w:r w:rsidRPr="002F3F30">
              <w:t xml:space="preserve"> konkrečiai pasisako apie saugumo aspektą iš patalpų pusės, ko </w:t>
            </w:r>
            <w:r w:rsidR="00663700">
              <w:t>reikalauja ir Konvencijos 5 straipsnis. N</w:t>
            </w:r>
            <w:r w:rsidR="007060E0">
              <w:t xml:space="preserve">egalima </w:t>
            </w:r>
            <w:r w:rsidRPr="002F3F30">
              <w:t xml:space="preserve">daryti išvados, kad </w:t>
            </w:r>
            <w:r w:rsidR="00663700" w:rsidRPr="00663700">
              <w:t>Sporto įstatymo 2 straipsnio</w:t>
            </w:r>
            <w:r w:rsidR="00663700">
              <w:t xml:space="preserve"> 7 dalyje</w:t>
            </w:r>
            <w:r w:rsidR="00663700" w:rsidRPr="00663700">
              <w:t xml:space="preserve"> </w:t>
            </w:r>
            <w:r w:rsidRPr="002F3F30">
              <w:t>esanti sąvokos apibrėžtis tinkamai ir pilnai įgyvendina Konvencijos 5</w:t>
            </w:r>
            <w:r w:rsidR="00171BB2">
              <w:t> </w:t>
            </w:r>
            <w:r w:rsidRPr="002F3F30">
              <w:t>str</w:t>
            </w:r>
            <w:r w:rsidR="00663700">
              <w:t>aipsnį.</w:t>
            </w:r>
            <w:r w:rsidRPr="002F3F30">
              <w:t xml:space="preserve"> Juolab, papildžius </w:t>
            </w:r>
            <w:r w:rsidR="00663700" w:rsidRPr="00663700">
              <w:t>Sporto įstatymo</w:t>
            </w:r>
            <w:r w:rsidR="00663700">
              <w:t xml:space="preserve"> 15 straipsnį 2</w:t>
            </w:r>
            <w:r w:rsidR="00171BB2">
              <w:t> </w:t>
            </w:r>
            <w:r w:rsidRPr="002F3F30">
              <w:t>dalimi</w:t>
            </w:r>
            <w:r w:rsidR="00171BB2">
              <w:t>,</w:t>
            </w:r>
            <w:r w:rsidRPr="002F3F30">
              <w:t xml:space="preserve"> būtų nustatytas įstatyminis pagrindas federacijoms pasitikslinti savo taisykles taip, kad būtų pasiekti Konvencijos 5 str</w:t>
            </w:r>
            <w:r w:rsidR="00663700">
              <w:t>aipsnio</w:t>
            </w:r>
            <w:r w:rsidRPr="002F3F30">
              <w:t xml:space="preserve"> tikslai. Nesant įstatyminio reguliavimo (paliekant federacijoms tiesiogiai vadovautis Konvencija), nemanytina, kad bus sudarytos prielaidos efekty</w:t>
            </w:r>
            <w:r w:rsidR="00663700">
              <w:t>viai pasiekti Konvencijos 5 straipsnio</w:t>
            </w:r>
            <w:r w:rsidRPr="002F3F30">
              <w:t xml:space="preserve"> tikslus.</w:t>
            </w:r>
          </w:p>
        </w:tc>
      </w:tr>
      <w:tr w:rsidR="00F7714D" w14:paraId="058B35CA" w14:textId="77777777" w:rsidTr="00DB3B09">
        <w:trPr>
          <w:trHeight w:val="432"/>
        </w:trPr>
        <w:tc>
          <w:tcPr>
            <w:tcW w:w="1575" w:type="dxa"/>
            <w:vMerge/>
            <w:tcBorders>
              <w:top w:val="single" w:sz="4" w:space="0" w:color="000001"/>
              <w:left w:val="single" w:sz="4" w:space="0" w:color="000001"/>
              <w:bottom w:val="single" w:sz="4" w:space="0" w:color="000001"/>
            </w:tcBorders>
            <w:shd w:val="clear" w:color="auto" w:fill="auto"/>
            <w:tcMar>
              <w:left w:w="83" w:type="dxa"/>
            </w:tcMar>
          </w:tcPr>
          <w:p w14:paraId="1331B92E" w14:textId="77777777" w:rsidR="00F7714D" w:rsidRDefault="00F7714D">
            <w:pPr>
              <w:jc w:val="both"/>
              <w:rPr>
                <w:sz w:val="20"/>
                <w:szCs w:val="20"/>
              </w:rPr>
            </w:pPr>
          </w:p>
        </w:tc>
        <w:tc>
          <w:tcPr>
            <w:tcW w:w="6379" w:type="dxa"/>
            <w:tcBorders>
              <w:top w:val="single" w:sz="4" w:space="0" w:color="000001"/>
              <w:left w:val="single" w:sz="4" w:space="0" w:color="000001"/>
              <w:bottom w:val="single" w:sz="4" w:space="0" w:color="000001"/>
            </w:tcBorders>
            <w:shd w:val="clear" w:color="auto" w:fill="auto"/>
            <w:tcMar>
              <w:left w:w="83" w:type="dxa"/>
            </w:tcMar>
          </w:tcPr>
          <w:p w14:paraId="7599D6A0" w14:textId="67997879" w:rsidR="00F7714D" w:rsidRPr="00FC0822" w:rsidRDefault="00A925E9" w:rsidP="006C759B">
            <w:pPr>
              <w:pStyle w:val="Default"/>
              <w:jc w:val="both"/>
            </w:pPr>
            <w:r>
              <w:t>6</w:t>
            </w:r>
            <w:r w:rsidR="00FC0822">
              <w:t xml:space="preserve">. </w:t>
            </w:r>
            <w:r w:rsidR="00FC0822" w:rsidRPr="00FC0822">
              <w:t xml:space="preserve">Sporto įstatymo projekto 15 straipsnio 10 dalyje siūlomas įtvirtinti reikalavimas sporto renginių organizatoriams užtikrinti, kad renginių saugumą užtikrinantys asmenys (išskyrus policijos ir valstybinės priešgaisrinės gelbėjimo tarnybos pareigūnus) būtų aprūpinti šioms funkcijoms veiksmingai ir tinkamai vykdyti reikalingomis priemonėmis ir Lietuvos Respublikos asmens ir turto saugos įstatymo nustatyta tvarka būtų baigę Apsaugos </w:t>
            </w:r>
            <w:r w:rsidR="00FC0822" w:rsidRPr="00FC0822">
              <w:lastRenderedPageBreak/>
              <w:t>darbuotojų mokymo programą ir išlaikę apsaugos darbuotojo egzaminą, nėra proporcingas, nėra įvertintas tokio reikalavimo galimas poveikis sporto renginių skaičiui bei gyventojų fiziniam aktyvumui. Pastebėtina, kad, atsižvelgiant į Sporto įstatymo 2 straipsnio 3 dalyje pateiktą sąvokos „aukšto meistriškumo sporto pratybos“ apibrėžimą, siūlomas įtvirtinti reikalavimas būtų taikomas trenerio vadovaujamai arba savarankiškai sportininko veiklai. Kaip nustato Sporto įstatymo 2 straipsnio 10 dalis, fizinio aktyvumo pratybos yra fizinio aktyvumo specialisto vadovaujama aktyvi fizinė asmens veikla – siūlomas įtvirtinti reikalavimas būtų taikomas įvairiems su fiziniu aktyvumu susijusiems užsiėmimams, tokiems kaip aerobika, joga, vaikų būreliams ir pan., taip pat kitiems sporto renginiams, kuriais visuomenė šviečiama sporto, fizinio aktyvumo ir taip pasiekiamo sveikatos stiprinimo klausimais (Sporto įstatymo 2 straipsnio 12 dalis) – konferencijoms, parodoms ir pan. Taigi, Sporto įstatyme įtvirtinus tokį siūlomą reikalavimą sporto renginių organizatoriams, tikėtina, kad žymiai sumažės sporto renginių skaičius, tai galimai lems didelį gyventojų fizinio aktyvumo mažėjimą. Atkreiptinas dėmesys, kad Vyriausybė, teikdama Seimui Sporto įstatymo projektą, kėlė tikslą padidinti ir taip žemus gyventojų fizinio aktyvumo rodiklius (Sporto rėmimo fondo lėšos iki 2021 metų didinamos tris kartus). Atsižvelgiant į tai, kas išdėstyta, siūlomos Sporto įstatymo projekto 15 straipsnio 10 dalies atsisakytina.</w:t>
            </w:r>
          </w:p>
        </w:tc>
        <w:tc>
          <w:tcPr>
            <w:tcW w:w="591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2793696F" w14:textId="77777777" w:rsidR="00DE0520" w:rsidRPr="00A507EA" w:rsidRDefault="00DE0520" w:rsidP="00DE0520">
            <w:pPr>
              <w:jc w:val="both"/>
              <w:rPr>
                <w:b/>
              </w:rPr>
            </w:pPr>
            <w:r w:rsidRPr="00A507EA">
              <w:rPr>
                <w:b/>
              </w:rPr>
              <w:lastRenderedPageBreak/>
              <w:t xml:space="preserve">Atsižvelgta iš dalies. </w:t>
            </w:r>
          </w:p>
          <w:p w14:paraId="29CBABD1" w14:textId="2B8A71CE" w:rsidR="00F7714D" w:rsidRPr="00FC0822" w:rsidRDefault="00DE0520" w:rsidP="00A925E9">
            <w:pPr>
              <w:jc w:val="both"/>
            </w:pPr>
            <w:r>
              <w:t>Patikslinti</w:t>
            </w:r>
            <w:r w:rsidRPr="00DE0520">
              <w:t xml:space="preserve"> Sporto į</w:t>
            </w:r>
            <w:r w:rsidR="002E3AC7">
              <w:t>statymo projekto 15 straipsnio 8</w:t>
            </w:r>
            <w:r w:rsidR="00171BB2">
              <w:t> </w:t>
            </w:r>
            <w:r w:rsidRPr="00DE0520">
              <w:t xml:space="preserve">dalyje </w:t>
            </w:r>
            <w:r w:rsidR="00894694" w:rsidRPr="00894694">
              <w:t xml:space="preserve">(buvusi 10 dalis) </w:t>
            </w:r>
            <w:r>
              <w:t>nurodyti sporto renginiai</w:t>
            </w:r>
            <w:r w:rsidR="007060E0">
              <w:t xml:space="preserve"> ir </w:t>
            </w:r>
            <w:r w:rsidR="002E3AC7">
              <w:t>Sporto įstatymo 15 straipsnio 8</w:t>
            </w:r>
            <w:r w:rsidR="00894694" w:rsidRPr="00894694">
              <w:t xml:space="preserve"> dalyje</w:t>
            </w:r>
            <w:r w:rsidR="00894694">
              <w:t xml:space="preserve"> (buvusi 10 dalis)</w:t>
            </w:r>
            <w:r w:rsidR="00894694" w:rsidRPr="00894694">
              <w:t xml:space="preserve"> siūlomas įtvirtinti reikalavimas </w:t>
            </w:r>
            <w:r w:rsidR="00894694">
              <w:t xml:space="preserve">paliktas tik </w:t>
            </w:r>
            <w:r w:rsidRPr="00DE0520">
              <w:t>au</w:t>
            </w:r>
            <w:r>
              <w:t xml:space="preserve">kšto meistriškumo sporto </w:t>
            </w:r>
            <w:r w:rsidR="00894694">
              <w:t>varžybų</w:t>
            </w:r>
            <w:r>
              <w:t xml:space="preserve"> organizatoriams.</w:t>
            </w:r>
            <w:r w:rsidR="00894694" w:rsidRPr="00894694">
              <w:t xml:space="preserve"> </w:t>
            </w:r>
            <w:r w:rsidR="00894694">
              <w:t xml:space="preserve">Visiškai atsisakyti </w:t>
            </w:r>
            <w:r w:rsidR="00894694" w:rsidRPr="00894694">
              <w:t>Sporto įs</w:t>
            </w:r>
            <w:r w:rsidR="00AB299F">
              <w:t>tatymo projekto 15 straipsnio 8</w:t>
            </w:r>
            <w:r w:rsidR="00894694" w:rsidRPr="00894694">
              <w:t xml:space="preserve"> dalies </w:t>
            </w:r>
            <w:r w:rsidR="00894694">
              <w:t xml:space="preserve">nėra galimybės, nes </w:t>
            </w:r>
            <w:r w:rsidR="00894694">
              <w:lastRenderedPageBreak/>
              <w:t>toks reikalavimas imperatyviai nustatytas Konvencijoje.</w:t>
            </w:r>
            <w:r w:rsidR="00A925E9">
              <w:t xml:space="preserve"> Pažymėtina ir tai, kad toks reikalavimas bus taikomas tik tada, kai bus pasitelkiami renginių saugumą užtikrinantys asmenys – siūlomas reguliavimas nustato, kokius reikalavimus jie turi atitikti.</w:t>
            </w:r>
          </w:p>
        </w:tc>
      </w:tr>
      <w:tr w:rsidR="00F7714D" w14:paraId="0CB5A566" w14:textId="77777777" w:rsidTr="00DB3B09">
        <w:trPr>
          <w:trHeight w:val="432"/>
        </w:trPr>
        <w:tc>
          <w:tcPr>
            <w:tcW w:w="1575" w:type="dxa"/>
            <w:vMerge/>
            <w:tcBorders>
              <w:top w:val="single" w:sz="4" w:space="0" w:color="000001"/>
              <w:left w:val="single" w:sz="4" w:space="0" w:color="000001"/>
              <w:bottom w:val="single" w:sz="4" w:space="0" w:color="000001"/>
            </w:tcBorders>
            <w:shd w:val="clear" w:color="auto" w:fill="auto"/>
            <w:tcMar>
              <w:left w:w="83" w:type="dxa"/>
            </w:tcMar>
          </w:tcPr>
          <w:p w14:paraId="489B3716" w14:textId="77777777" w:rsidR="00F7714D" w:rsidRDefault="00F7714D">
            <w:pPr>
              <w:jc w:val="both"/>
              <w:rPr>
                <w:sz w:val="20"/>
                <w:szCs w:val="20"/>
              </w:rPr>
            </w:pPr>
          </w:p>
        </w:tc>
        <w:tc>
          <w:tcPr>
            <w:tcW w:w="6379" w:type="dxa"/>
            <w:tcBorders>
              <w:top w:val="single" w:sz="4" w:space="0" w:color="000001"/>
              <w:left w:val="single" w:sz="4" w:space="0" w:color="000001"/>
              <w:bottom w:val="single" w:sz="4" w:space="0" w:color="000001"/>
            </w:tcBorders>
            <w:shd w:val="clear" w:color="auto" w:fill="auto"/>
            <w:tcMar>
              <w:left w:w="83" w:type="dxa"/>
            </w:tcMar>
          </w:tcPr>
          <w:p w14:paraId="059D2362" w14:textId="4C1F893B" w:rsidR="00F7714D" w:rsidRPr="00FC0822" w:rsidRDefault="00FC0822">
            <w:pPr>
              <w:pStyle w:val="Default"/>
              <w:spacing w:after="57"/>
              <w:jc w:val="both"/>
            </w:pPr>
            <w:r w:rsidRPr="00FC0822">
              <w:t xml:space="preserve">Atsižvelgdama į tai, kas išdėstyta, Švietimo, mokslo ir sporto ministerija iš esmės nepritaria siūlomiems Sporto įstatymo pakeitimams ir mano, kad nėra būtinybės keisti Sporto įstatymą, kadangi jame yra aptartos visos būtinos sąlygos sporto renginių saugumui užtikrinti (t. y. tos, kurios turi būti įtvirtintos įstatymo lygiu). Taip pat atsižvelgdama į tai, kad Europos konvencija dėl integruoto požiūrio į saugumą, apsaugą ir paslaugas per futbolo rungtynes ir kitus sporto renginius (toliau – konvencija) aptaria sporto renginių saugumo klausimus, saugumo ir apsaugos priemones bei veiksmus, kurių valstybės pasiryžusios imtis, konvencijoje keliamas siekis sumažinti saugumui ir apsaugai </w:t>
            </w:r>
            <w:r w:rsidRPr="00FC0822">
              <w:lastRenderedPageBreak/>
              <w:t>sporto renginiuose kylančią grėsmę, taip pat į tai, kad formuoti politiką viešojo saugumo politikos srityje, organizuoti, koordinuoti ir kontroliuoti jos įgyvendinimą yra pavesta vidaus reikalų ministrui, Švietimo, mokslo ir sporto ministerija pagal kompetenciją negali perimti tolesnio teisės aktų dėl konvencijos denonsavimo, ratifikavimo ir įgyvendinimo nacionalinėje teisėje rengimo. Švietimo, mokslo ir sporto ministerija dalyvaus rengiant teisės aktų projektus pagal savo kompetenciją.</w:t>
            </w:r>
          </w:p>
        </w:tc>
        <w:tc>
          <w:tcPr>
            <w:tcW w:w="5916" w:type="dxa"/>
            <w:tcBorders>
              <w:top w:val="single" w:sz="4" w:space="0" w:color="000001"/>
              <w:left w:val="single" w:sz="4" w:space="0" w:color="000001"/>
              <w:bottom w:val="single" w:sz="4" w:space="0" w:color="000001"/>
              <w:right w:val="single" w:sz="4" w:space="0" w:color="000001"/>
            </w:tcBorders>
            <w:shd w:val="clear" w:color="auto" w:fill="auto"/>
            <w:tcMar>
              <w:left w:w="83" w:type="dxa"/>
            </w:tcMar>
          </w:tcPr>
          <w:p w14:paraId="1F4C3870" w14:textId="77777777" w:rsidR="00F7714D" w:rsidRPr="00A507EA" w:rsidRDefault="00FC0822" w:rsidP="006F4093">
            <w:pPr>
              <w:jc w:val="both"/>
              <w:rPr>
                <w:b/>
              </w:rPr>
            </w:pPr>
            <w:r w:rsidRPr="00A507EA">
              <w:rPr>
                <w:b/>
              </w:rPr>
              <w:lastRenderedPageBreak/>
              <w:t>Neatsižvelgta.</w:t>
            </w:r>
          </w:p>
          <w:p w14:paraId="786318A7" w14:textId="294AA89C" w:rsidR="006F4093" w:rsidRPr="00FC0822" w:rsidRDefault="00DE0520" w:rsidP="007060E0">
            <w:pPr>
              <w:jc w:val="both"/>
            </w:pPr>
            <w:r>
              <w:t>Sporto įstatymo 1 straipsnyje nustatyta, kad š</w:t>
            </w:r>
            <w:r w:rsidRPr="00DE0520">
              <w:t>is įstatymas</w:t>
            </w:r>
            <w:r w:rsidR="00171BB2">
              <w:t>,</w:t>
            </w:r>
            <w:r w:rsidRPr="00DE0520">
              <w:t xml:space="preserve"> </w:t>
            </w:r>
            <w:r w:rsidR="006F4093">
              <w:t>be kita ko</w:t>
            </w:r>
            <w:r w:rsidR="00171BB2">
              <w:t>,</w:t>
            </w:r>
            <w:r w:rsidR="006F4093">
              <w:t xml:space="preserve"> </w:t>
            </w:r>
            <w:r w:rsidRPr="00DE0520">
              <w:t xml:space="preserve">nustato </w:t>
            </w:r>
            <w:r w:rsidR="006F4093">
              <w:t>ir</w:t>
            </w:r>
            <w:r w:rsidRPr="00DE0520">
              <w:t xml:space="preserve"> sporto renginių saugumo reikalavimus</w:t>
            </w:r>
            <w:r w:rsidR="006F4093">
              <w:t xml:space="preserve">. Todėl </w:t>
            </w:r>
            <w:r w:rsidR="006F4093" w:rsidRPr="006F4093">
              <w:t>Konvenciją tikslinga įgyvendinti keičiant</w:t>
            </w:r>
            <w:r w:rsidR="006F4093">
              <w:t xml:space="preserve"> būtent</w:t>
            </w:r>
            <w:r w:rsidR="006F4093" w:rsidRPr="006F4093">
              <w:t xml:space="preserve"> Sporto įstatymą</w:t>
            </w:r>
            <w:r w:rsidR="006F4093">
              <w:t xml:space="preserve">. </w:t>
            </w:r>
            <w:r w:rsidR="006F4093">
              <w:rPr>
                <w:color w:val="auto"/>
                <w:lang w:eastAsia="lt-LT"/>
              </w:rPr>
              <w:t>Nuo 2019 m. sausio 1 d. įsigaliojusioje Sporto įstatymo 6 straipsnio 2 dalyje</w:t>
            </w:r>
            <w:r w:rsidR="006F4093" w:rsidRPr="006F4093">
              <w:rPr>
                <w:color w:val="auto"/>
                <w:lang w:eastAsia="lt-LT"/>
              </w:rPr>
              <w:t xml:space="preserve"> nustatyta</w:t>
            </w:r>
            <w:r w:rsidR="006F4093">
              <w:rPr>
                <w:color w:val="auto"/>
                <w:lang w:eastAsia="lt-LT"/>
              </w:rPr>
              <w:t>, kad</w:t>
            </w:r>
            <w:r w:rsidR="006F4093" w:rsidRPr="006F4093">
              <w:rPr>
                <w:color w:val="auto"/>
                <w:lang w:eastAsia="lt-LT"/>
              </w:rPr>
              <w:t xml:space="preserve"> Švietimo,</w:t>
            </w:r>
            <w:r w:rsidR="006F4093" w:rsidRPr="006F4093">
              <w:rPr>
                <w:b/>
                <w:bCs/>
                <w:color w:val="auto"/>
                <w:lang w:eastAsia="lt-LT"/>
              </w:rPr>
              <w:t xml:space="preserve"> </w:t>
            </w:r>
            <w:r w:rsidR="006F4093" w:rsidRPr="006F4093">
              <w:rPr>
                <w:bCs/>
                <w:color w:val="auto"/>
                <w:lang w:eastAsia="lt-LT"/>
              </w:rPr>
              <w:t>mokslo ir sporto</w:t>
            </w:r>
            <w:r w:rsidR="006F4093" w:rsidRPr="006F4093">
              <w:rPr>
                <w:color w:val="auto"/>
                <w:lang w:eastAsia="lt-LT"/>
              </w:rPr>
              <w:t xml:space="preserve"> ministerija formuoja valstybės sporto politiką, organizuoja, koordinuoja ir kontroliuoja jos įgyvendinimą.</w:t>
            </w:r>
            <w:r w:rsidR="006F4093">
              <w:rPr>
                <w:color w:val="auto"/>
                <w:lang w:eastAsia="lt-LT"/>
              </w:rPr>
              <w:t xml:space="preserve"> Be to, </w:t>
            </w:r>
            <w:r w:rsidR="006F4093">
              <w:rPr>
                <w:lang w:eastAsia="lt-LT"/>
              </w:rPr>
              <w:t>V</w:t>
            </w:r>
            <w:r w:rsidR="006F4093" w:rsidRPr="006F4093">
              <w:rPr>
                <w:lang w:eastAsia="lt-LT"/>
              </w:rPr>
              <w:t>alstybinės sporto plėtros strategijos įgyvendinimo tarpinstitucinio veiklos plano</w:t>
            </w:r>
            <w:r w:rsidR="006F4093">
              <w:rPr>
                <w:lang w:eastAsia="lt-LT"/>
              </w:rPr>
              <w:t>, patvirtinto</w:t>
            </w:r>
            <w:r w:rsidR="006F4093">
              <w:rPr>
                <w:color w:val="auto"/>
                <w:lang w:eastAsia="lt-LT"/>
              </w:rPr>
              <w:t xml:space="preserve"> Lietuvos Respublikos Vyriausybės </w:t>
            </w:r>
            <w:r w:rsidR="006F4093" w:rsidRPr="006F4093">
              <w:rPr>
                <w:color w:val="auto"/>
                <w:lang w:eastAsia="lt-LT"/>
              </w:rPr>
              <w:t>2018 m. rugpjūčio 1</w:t>
            </w:r>
            <w:r w:rsidR="00171BB2">
              <w:rPr>
                <w:color w:val="auto"/>
                <w:lang w:eastAsia="lt-LT"/>
              </w:rPr>
              <w:t> </w:t>
            </w:r>
            <w:r w:rsidR="006F4093" w:rsidRPr="006F4093">
              <w:rPr>
                <w:color w:val="auto"/>
                <w:lang w:eastAsia="lt-LT"/>
              </w:rPr>
              <w:t xml:space="preserve">d. </w:t>
            </w:r>
            <w:r w:rsidR="006F4093">
              <w:rPr>
                <w:color w:val="auto"/>
                <w:lang w:eastAsia="lt-LT"/>
              </w:rPr>
              <w:lastRenderedPageBreak/>
              <w:t xml:space="preserve">nutarimu </w:t>
            </w:r>
            <w:r w:rsidR="006F4093" w:rsidRPr="006F4093">
              <w:rPr>
                <w:color w:val="auto"/>
                <w:lang w:eastAsia="lt-LT"/>
              </w:rPr>
              <w:t>Nr. 752</w:t>
            </w:r>
            <w:r w:rsidR="006F4093">
              <w:rPr>
                <w:color w:val="auto"/>
                <w:lang w:eastAsia="lt-LT"/>
              </w:rPr>
              <w:t xml:space="preserve">, 6 punkte </w:t>
            </w:r>
            <w:r w:rsidR="00A507EA">
              <w:rPr>
                <w:lang w:eastAsia="lt-LT"/>
              </w:rPr>
              <w:t xml:space="preserve">parengti teisės aktų, kurių reikia Europos Tarybos konvencijai dėl integruoto požiūrio į saugumą, apsaugą ir paslaugas per futbolo rungtynes ir kitus sporto renginius ratifikuoti projektus </w:t>
            </w:r>
            <w:r w:rsidR="007060E0">
              <w:rPr>
                <w:lang w:eastAsia="lt-LT"/>
              </w:rPr>
              <w:t xml:space="preserve">Vyriausybė </w:t>
            </w:r>
            <w:r w:rsidR="00A507EA">
              <w:rPr>
                <w:lang w:eastAsia="lt-LT"/>
              </w:rPr>
              <w:t>pavedė Švietimo, mokslo ir sporto ministerijai. Atsižvelgdama į tai ir t</w:t>
            </w:r>
            <w:r w:rsidR="006F4093" w:rsidRPr="006F4093">
              <w:t>eikdama</w:t>
            </w:r>
            <w:r w:rsidR="00D7095A">
              <w:t xml:space="preserve"> derinti įstatymų projektus VRM</w:t>
            </w:r>
            <w:r w:rsidR="00A507EA">
              <w:t xml:space="preserve"> </w:t>
            </w:r>
            <w:r w:rsidR="006F4093" w:rsidRPr="006F4093">
              <w:t xml:space="preserve">pasiūlė </w:t>
            </w:r>
            <w:r w:rsidR="00A507EA" w:rsidRPr="00A507EA">
              <w:t>Švietimo, mokslo ir sporto ministerijai</w:t>
            </w:r>
            <w:r w:rsidR="006F4093" w:rsidRPr="006F4093">
              <w:t xml:space="preserve"> pagal kompetenciją perimti tolimesnį teisės aktų dėl Konvencijos ratifikavimo</w:t>
            </w:r>
            <w:r w:rsidR="001E7B44">
              <w:t xml:space="preserve"> </w:t>
            </w:r>
            <w:r w:rsidR="006F4093" w:rsidRPr="006F4093">
              <w:t>/</w:t>
            </w:r>
            <w:r w:rsidR="001E7B44">
              <w:t xml:space="preserve"> </w:t>
            </w:r>
            <w:r w:rsidR="006F4093" w:rsidRPr="006F4093">
              <w:t>denonsavimo ir įgyvendinimo rengimą.</w:t>
            </w:r>
          </w:p>
        </w:tc>
      </w:tr>
      <w:tr w:rsidR="00F7714D" w14:paraId="467743B9" w14:textId="77777777" w:rsidTr="00DB3B09">
        <w:trPr>
          <w:trHeight w:val="432"/>
        </w:trPr>
        <w:tc>
          <w:tcPr>
            <w:tcW w:w="1575" w:type="dxa"/>
            <w:tcBorders>
              <w:left w:val="single" w:sz="4" w:space="0" w:color="000001"/>
              <w:bottom w:val="single" w:sz="4" w:space="0" w:color="000001"/>
            </w:tcBorders>
            <w:shd w:val="clear" w:color="auto" w:fill="auto"/>
            <w:tcMar>
              <w:left w:w="83" w:type="dxa"/>
            </w:tcMar>
          </w:tcPr>
          <w:p w14:paraId="4359EA6A" w14:textId="0496594D" w:rsidR="00F7714D" w:rsidRPr="00FC0822" w:rsidRDefault="006C759B">
            <w:pPr>
              <w:jc w:val="both"/>
            </w:pPr>
            <w:r w:rsidRPr="00FC0822">
              <w:lastRenderedPageBreak/>
              <w:t>Užsienio reikalų ministerijos 2019-02-04</w:t>
            </w:r>
            <w:r w:rsidR="005D1493" w:rsidRPr="00FC0822">
              <w:t xml:space="preserve"> raštas Nr. </w:t>
            </w:r>
            <w:r w:rsidRPr="00FC0822">
              <w:t>(22.21)</w:t>
            </w:r>
            <w:r w:rsidR="00FC0822">
              <w:t xml:space="preserve"> </w:t>
            </w:r>
            <w:r w:rsidRPr="00FC0822">
              <w:t>3-427</w:t>
            </w:r>
          </w:p>
        </w:tc>
        <w:tc>
          <w:tcPr>
            <w:tcW w:w="6379" w:type="dxa"/>
            <w:tcBorders>
              <w:left w:val="single" w:sz="4" w:space="0" w:color="000001"/>
              <w:bottom w:val="single" w:sz="4" w:space="0" w:color="000001"/>
            </w:tcBorders>
            <w:shd w:val="clear" w:color="auto" w:fill="auto"/>
            <w:tcMar>
              <w:left w:w="83" w:type="dxa"/>
            </w:tcMar>
          </w:tcPr>
          <w:p w14:paraId="6B82BCFF" w14:textId="252227DB" w:rsidR="00F7714D" w:rsidRPr="00FC0822" w:rsidRDefault="00FC0822">
            <w:pPr>
              <w:jc w:val="both"/>
            </w:pPr>
            <w:r w:rsidRPr="00FC0822">
              <w:t>3.</w:t>
            </w:r>
            <w:r w:rsidRPr="00FC0822">
              <w:tab/>
              <w:t>Atkreiptinas dėmesys į tai, kad, vadovaudamosi Konvencijos 1 straipsnio 1 dalimi, „Šalys, nepažeisdamos savo atitinkamų konstitucinių nuostatų, imasi veiksmų, kurie būtini šios Konvencijos nuostatoms įgyvendinti ir kurie skirti jų teritorijoje vykstančioms profesionalų futbolo klubų ir nacionalinių komandų futbolo rungtynėms ar turnyrams“, o vadovaudamosi šio straipsnio 2 dalimi, „Šalys gali taikyti šios Konvencijos nuostatas ir kitoms sporto šakoms ar sporto renginiams, kurie vyksta jų teritorijoje“. Atsižvelgiant į tai, manytina, kad šios nuostatos yra nepakankamas pagrindas Lietuvos Respublikos administracinių nusižengimų kodekso 31 straipsnio pakeitimo įstatymo projekte siūlomam pakeitimui, kuris, be kita ko, nepagrįstai išplėstų šios kodekso nuostatos taikymo jurisdikciją, todėl siūlytina šio pakeitimo atsisakyti.</w:t>
            </w:r>
          </w:p>
        </w:tc>
        <w:tc>
          <w:tcPr>
            <w:tcW w:w="5916" w:type="dxa"/>
            <w:tcBorders>
              <w:left w:val="single" w:sz="4" w:space="0" w:color="000001"/>
              <w:bottom w:val="single" w:sz="4" w:space="0" w:color="000001"/>
              <w:right w:val="single" w:sz="4" w:space="0" w:color="000001"/>
            </w:tcBorders>
            <w:shd w:val="clear" w:color="auto" w:fill="auto"/>
            <w:tcMar>
              <w:left w:w="83" w:type="dxa"/>
            </w:tcMar>
          </w:tcPr>
          <w:p w14:paraId="205554A4" w14:textId="77777777" w:rsidR="00F7714D" w:rsidRPr="00A507EA" w:rsidRDefault="005D1493" w:rsidP="006C759B">
            <w:pPr>
              <w:jc w:val="both"/>
              <w:rPr>
                <w:b/>
              </w:rPr>
            </w:pPr>
            <w:r w:rsidRPr="00A507EA">
              <w:rPr>
                <w:b/>
              </w:rPr>
              <w:t xml:space="preserve">Neatsižvelgta. </w:t>
            </w:r>
          </w:p>
          <w:p w14:paraId="7E26F0C5" w14:textId="77777777" w:rsidR="00EE6903" w:rsidRDefault="00EE6903" w:rsidP="00EE6903">
            <w:pPr>
              <w:jc w:val="both"/>
            </w:pPr>
            <w:r w:rsidRPr="00EE6903">
              <w:t>Konvencijos 1</w:t>
            </w:r>
            <w:r>
              <w:t xml:space="preserve">0 straipsnio 4 dalyje nustatyta, </w:t>
            </w:r>
            <w:r w:rsidRPr="00EE6903">
              <w:t>kad šalis apsvarsto galimybę įgalioti teismines arba administracines institucijas, kurios atsakingos už sankcijų taikymą futbolo rungtynėse smurtavusiems ir (arba) viešosios tvarkos pažeidimą padariusiems ar prie jo prisidėjusiems asmenims, apriboti tokių asmenų galimybę vykti į kitoje valstybėje vykstančias futbolo rungtynes.</w:t>
            </w:r>
          </w:p>
          <w:p w14:paraId="37711615" w14:textId="494C2C80" w:rsidR="00523B54" w:rsidRPr="00523B54" w:rsidRDefault="00523B54" w:rsidP="00523B54">
            <w:pPr>
              <w:jc w:val="both"/>
            </w:pPr>
            <w:r>
              <w:t>Konvencijos preambulėje pabrėžiama, kad</w:t>
            </w:r>
            <w:r w:rsidRPr="00523B54">
              <w:t xml:space="preserve"> norint užtikrinti </w:t>
            </w:r>
            <w:r w:rsidR="00DB57E0">
              <w:t xml:space="preserve">sporto renginių saugumo, aplinkos palankumo </w:t>
            </w:r>
            <w:r w:rsidRPr="00523B54">
              <w:t>priemonių suderinamumą, būtina, kad atitinkamos organizacijos plėtotų veiksmingą partnerystę tarptautiniu, nacionaliniu ir vietos lygmeniu tam, kad būtų galima nustatyti ir taikyti integruotą ir suderintą organizacijas vienijantį požiūrį į saugumą, apsaugą ir paslaugas per futbolo rungtynes ir kitus sporto renginius;</w:t>
            </w:r>
          </w:p>
          <w:p w14:paraId="11997056" w14:textId="5311EC02" w:rsidR="00EE6903" w:rsidRPr="00FC0822" w:rsidRDefault="00DB57E0" w:rsidP="00A507EA">
            <w:pPr>
              <w:jc w:val="both"/>
            </w:pPr>
            <w:r>
              <w:t xml:space="preserve">Pažymėtina, kad </w:t>
            </w:r>
            <w:r w:rsidRPr="00DB57E0">
              <w:t>sporto sirgaliai neretai vyksta į kitas šalis palaikyti draugiškus sporto klubus</w:t>
            </w:r>
            <w:r>
              <w:t>. Lietuvos policija, bendradarbiaudama su kitų šalių teisėsaugos institucijomis pastebi, kad į sporto renginius atvyksta kitų šalių sirgaliai, kurie savo šalyje buvo bausti už smurtavimą ar viešosios tvarkos pažeidimą sporto renginiuose</w:t>
            </w:r>
            <w:r w:rsidR="00773CC7">
              <w:t xml:space="preserve"> ir todėl būtų nelogiška</w:t>
            </w:r>
            <w:r w:rsidR="005754B5">
              <w:t>,</w:t>
            </w:r>
            <w:r w:rsidR="00773CC7">
              <w:t xml:space="preserve"> siekiant bendro Konvencijos tikslo</w:t>
            </w:r>
            <w:r w:rsidR="005754B5">
              <w:t>,</w:t>
            </w:r>
            <w:r w:rsidR="00773CC7">
              <w:t xml:space="preserve"> nesinaudoti galimybe</w:t>
            </w:r>
            <w:r w:rsidR="00773CC7" w:rsidRPr="00773CC7">
              <w:t xml:space="preserve"> taikyti draudimą </w:t>
            </w:r>
            <w:r w:rsidR="00773CC7">
              <w:t xml:space="preserve">smurtaujantiems asmenims </w:t>
            </w:r>
            <w:r w:rsidR="00773CC7" w:rsidRPr="00773CC7">
              <w:t xml:space="preserve">lankytis </w:t>
            </w:r>
            <w:r w:rsidR="00773CC7">
              <w:t xml:space="preserve">ir </w:t>
            </w:r>
            <w:r w:rsidR="00773CC7" w:rsidRPr="00773CC7">
              <w:t>kitose valstybėse vykstančiuose sporto renginiuose</w:t>
            </w:r>
            <w:r w:rsidR="00773CC7">
              <w:t>.</w:t>
            </w:r>
          </w:p>
        </w:tc>
      </w:tr>
    </w:tbl>
    <w:p w14:paraId="593E65DD" w14:textId="53CDCE74" w:rsidR="00F7714D" w:rsidRDefault="00DB4BFD" w:rsidP="00663700">
      <w:pPr>
        <w:jc w:val="center"/>
      </w:pPr>
      <w:r>
        <w:t>___________________</w:t>
      </w:r>
    </w:p>
    <w:sectPr w:rsidR="00F7714D">
      <w:headerReference w:type="default" r:id="rId7"/>
      <w:pgSz w:w="15840" w:h="12240" w:orient="landscape"/>
      <w:pgMar w:top="1258" w:right="720" w:bottom="851" w:left="1134" w:header="567" w:footer="0" w:gutter="0"/>
      <w:cols w:space="1296"/>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895CFC" w14:textId="77777777" w:rsidR="00353D9D" w:rsidRDefault="00353D9D">
      <w:r>
        <w:separator/>
      </w:r>
    </w:p>
  </w:endnote>
  <w:endnote w:type="continuationSeparator" w:id="0">
    <w:p w14:paraId="3A202262" w14:textId="77777777" w:rsidR="00353D9D" w:rsidRDefault="00353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BA"/>
    <w:family w:val="swiss"/>
    <w:pitch w:val="variable"/>
    <w:sig w:usb0="00000287" w:usb1="00000003" w:usb2="00000000" w:usb3="00000000" w:csb0="0000009F" w:csb1="00000000"/>
  </w:font>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1DA4D" w14:textId="77777777" w:rsidR="00353D9D" w:rsidRDefault="00353D9D">
      <w:r>
        <w:separator/>
      </w:r>
    </w:p>
  </w:footnote>
  <w:footnote w:type="continuationSeparator" w:id="0">
    <w:p w14:paraId="599B769B" w14:textId="77777777" w:rsidR="00353D9D" w:rsidRDefault="00353D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5732108"/>
      <w:docPartObj>
        <w:docPartGallery w:val="Page Numbers (Top of Page)"/>
        <w:docPartUnique/>
      </w:docPartObj>
    </w:sdtPr>
    <w:sdtEndPr/>
    <w:sdtContent>
      <w:p w14:paraId="72E909BE" w14:textId="1BAE34EC" w:rsidR="007060E0" w:rsidRDefault="007060E0">
        <w:pPr>
          <w:pStyle w:val="Antrats"/>
          <w:jc w:val="center"/>
        </w:pPr>
        <w:r>
          <w:fldChar w:fldCharType="begin"/>
        </w:r>
        <w:r>
          <w:instrText>PAGE   \* MERGEFORMAT</w:instrText>
        </w:r>
        <w:r>
          <w:fldChar w:fldCharType="separate"/>
        </w:r>
        <w:r w:rsidR="00DB3B09">
          <w:rPr>
            <w:noProof/>
          </w:rPr>
          <w:t>3</w:t>
        </w:r>
        <w:r>
          <w:fldChar w:fldCharType="end"/>
        </w:r>
      </w:p>
    </w:sdtContent>
  </w:sdt>
  <w:p w14:paraId="2670F4B9" w14:textId="309C2FF8" w:rsidR="00F7714D" w:rsidRDefault="00F7714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95A4C"/>
    <w:multiLevelType w:val="multilevel"/>
    <w:tmpl w:val="C2247484"/>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30FD0C21"/>
    <w:multiLevelType w:val="multilevel"/>
    <w:tmpl w:val="136C86FE"/>
    <w:lvl w:ilvl="0">
      <w:start w:val="1"/>
      <w:numFmt w:val="decimal"/>
      <w:lvlText w:val="%1."/>
      <w:lvlJc w:val="left"/>
      <w:pPr>
        <w:ind w:left="360" w:hanging="360"/>
      </w:pPr>
    </w:lvl>
    <w:lvl w:ilvl="1">
      <w:start w:val="1"/>
      <w:numFmt w:val="decimal"/>
      <w:lvlText w:val="%1.%2."/>
      <w:lvlJc w:val="left"/>
      <w:pPr>
        <w:ind w:left="792" w:hanging="432"/>
      </w:pPr>
      <w:rPr>
        <w:rFonts w:ascii="Trebuchet MS" w:hAnsi="Trebuchet MS"/>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4862884"/>
    <w:multiLevelType w:val="hybridMultilevel"/>
    <w:tmpl w:val="E0C0CCF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14D"/>
    <w:rsid w:val="000424CC"/>
    <w:rsid w:val="00152158"/>
    <w:rsid w:val="00171BB2"/>
    <w:rsid w:val="001B754B"/>
    <w:rsid w:val="001D31F5"/>
    <w:rsid w:val="001E7B44"/>
    <w:rsid w:val="00214C47"/>
    <w:rsid w:val="00235AF4"/>
    <w:rsid w:val="00266664"/>
    <w:rsid w:val="002E3AC7"/>
    <w:rsid w:val="002F3F30"/>
    <w:rsid w:val="00353D9D"/>
    <w:rsid w:val="003D31B7"/>
    <w:rsid w:val="003E3651"/>
    <w:rsid w:val="004553FF"/>
    <w:rsid w:val="004B6BB7"/>
    <w:rsid w:val="004C5E17"/>
    <w:rsid w:val="00523B54"/>
    <w:rsid w:val="005754B5"/>
    <w:rsid w:val="00584D80"/>
    <w:rsid w:val="005A3077"/>
    <w:rsid w:val="005D1493"/>
    <w:rsid w:val="00613B0D"/>
    <w:rsid w:val="00663700"/>
    <w:rsid w:val="006C759B"/>
    <w:rsid w:val="006F4093"/>
    <w:rsid w:val="007060E0"/>
    <w:rsid w:val="007361BC"/>
    <w:rsid w:val="00744B85"/>
    <w:rsid w:val="00773CC7"/>
    <w:rsid w:val="007E3A22"/>
    <w:rsid w:val="00831997"/>
    <w:rsid w:val="00894694"/>
    <w:rsid w:val="008F791B"/>
    <w:rsid w:val="00905E0A"/>
    <w:rsid w:val="009642B9"/>
    <w:rsid w:val="00A03886"/>
    <w:rsid w:val="00A43222"/>
    <w:rsid w:val="00A467A4"/>
    <w:rsid w:val="00A507EA"/>
    <w:rsid w:val="00A925E9"/>
    <w:rsid w:val="00A93113"/>
    <w:rsid w:val="00AB2719"/>
    <w:rsid w:val="00AB299F"/>
    <w:rsid w:val="00AC21DD"/>
    <w:rsid w:val="00BE33AA"/>
    <w:rsid w:val="00BF512E"/>
    <w:rsid w:val="00C37305"/>
    <w:rsid w:val="00C43BE4"/>
    <w:rsid w:val="00C568B0"/>
    <w:rsid w:val="00C914E5"/>
    <w:rsid w:val="00D549AE"/>
    <w:rsid w:val="00D5767C"/>
    <w:rsid w:val="00D7095A"/>
    <w:rsid w:val="00D7578F"/>
    <w:rsid w:val="00D97B35"/>
    <w:rsid w:val="00DB3B09"/>
    <w:rsid w:val="00DB4BFD"/>
    <w:rsid w:val="00DB4D2C"/>
    <w:rsid w:val="00DB57E0"/>
    <w:rsid w:val="00DE0520"/>
    <w:rsid w:val="00E03739"/>
    <w:rsid w:val="00E07B82"/>
    <w:rsid w:val="00EB3DA1"/>
    <w:rsid w:val="00EE6903"/>
    <w:rsid w:val="00F12421"/>
    <w:rsid w:val="00F56DB7"/>
    <w:rsid w:val="00F7714D"/>
    <w:rsid w:val="00FA439E"/>
    <w:rsid w:val="00FC0822"/>
    <w:rsid w:val="00FC1B5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B209"/>
  <w15:docId w15:val="{76C9BA20-EDEC-4DC7-88E2-896033B1F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Arial"/>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ascii="Times New Roman" w:eastAsia="Times New Roman" w:hAnsi="Times New Roman" w:cs="Times New Roman"/>
      <w:color w:val="00000A"/>
      <w:sz w:val="24"/>
      <w:lang w:bidi="ar-SA"/>
    </w:rPr>
  </w:style>
  <w:style w:type="paragraph" w:styleId="Antrat1">
    <w:name w:val="heading 1"/>
    <w:basedOn w:val="prastasis"/>
    <w:next w:val="prastasis"/>
    <w:qFormat/>
    <w:pPr>
      <w:keepNext/>
      <w:numPr>
        <w:numId w:val="1"/>
      </w:numPr>
      <w:jc w:val="center"/>
      <w:outlineLvl w:val="0"/>
    </w:pPr>
    <w:rPr>
      <w:b/>
      <w:caps/>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hAnsi="Times New Roman" w:cs="Times New Roman"/>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InternetLink">
    <w:name w:val="Internet Link"/>
    <w:rPr>
      <w:color w:val="0000FF"/>
      <w:u w:val="single"/>
    </w:rPr>
  </w:style>
  <w:style w:type="character" w:customStyle="1" w:styleId="HTMLPreformattedChar">
    <w:name w:val="HTML Preformatted Char"/>
    <w:qFormat/>
    <w:rPr>
      <w:rFonts w:ascii="Courier New" w:eastAsia="Courier New" w:hAnsi="Courier New" w:cs="Courier New"/>
      <w:lang w:bidi="ar-SA"/>
    </w:rPr>
  </w:style>
  <w:style w:type="character" w:customStyle="1" w:styleId="CommentReference">
    <w:name w:val="Comment Reference"/>
    <w:qFormat/>
    <w:rPr>
      <w:sz w:val="16"/>
      <w:szCs w:val="16"/>
    </w:rPr>
  </w:style>
  <w:style w:type="character" w:customStyle="1" w:styleId="StrongEmphasis">
    <w:name w:val="Strong Emphasis"/>
    <w:qFormat/>
    <w:rPr>
      <w:b/>
      <w:bCs/>
    </w:rPr>
  </w:style>
  <w:style w:type="character" w:styleId="Puslapionumeris">
    <w:name w:val="page number"/>
    <w:basedOn w:val="Numatytasispastraiposriftas"/>
  </w:style>
  <w:style w:type="character" w:styleId="Grietas">
    <w:name w:val="Strong"/>
    <w:qFormat/>
    <w:rPr>
      <w:b/>
      <w:bCs/>
    </w:rPr>
  </w:style>
  <w:style w:type="character" w:customStyle="1" w:styleId="WWCharLFO20LVL1">
    <w:name w:val="WW_CharLFO20LVL1"/>
    <w:qFormat/>
    <w:rPr>
      <w:color w:val="00000A"/>
    </w:rPr>
  </w:style>
  <w:style w:type="character" w:customStyle="1" w:styleId="ListLabel4">
    <w:name w:val="ListLabel 4"/>
    <w:qFormat/>
    <w:rPr>
      <w:rFonts w:ascii="Trebuchet MS" w:hAnsi="Trebuchet MS"/>
      <w:b/>
      <w:bCs w:val="0"/>
    </w:rPr>
  </w:style>
  <w:style w:type="character" w:styleId="Puslapioinaosnuoroda">
    <w:name w:val="footnote reference"/>
    <w:basedOn w:val="Numatytasispastraiposriftas"/>
    <w:qFormat/>
    <w:rPr>
      <w:vertAlign w:val="superscript"/>
    </w:rPr>
  </w:style>
  <w:style w:type="character" w:customStyle="1" w:styleId="FootnoteCharacters">
    <w:name w:val="Footnote Characters"/>
    <w:qFormat/>
  </w:style>
  <w:style w:type="character" w:customStyle="1" w:styleId="FootnoteAnchor">
    <w:name w:val="Footnote Anchor"/>
    <w:rPr>
      <w:vertAlign w:val="superscript"/>
    </w:rPr>
  </w:style>
  <w:style w:type="character" w:customStyle="1" w:styleId="ListLabel5">
    <w:name w:val="ListLabel 5"/>
    <w:qFormat/>
    <w:rPr>
      <w:rFonts w:ascii="Trebuchet MS" w:hAnsi="Trebuchet MS"/>
      <w:b/>
      <w:bCs w:val="0"/>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Antrats">
    <w:name w:val="header"/>
    <w:basedOn w:val="prastasis"/>
    <w:link w:val="AntratsDiagrama"/>
    <w:uiPriority w:val="99"/>
    <w:pPr>
      <w:tabs>
        <w:tab w:val="center" w:pos="4320"/>
        <w:tab w:val="right" w:pos="8640"/>
      </w:tabs>
    </w:pPr>
    <w:rPr>
      <w:szCs w:val="20"/>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Pagrindinistekstas2">
    <w:name w:val="Body Text 2"/>
    <w:basedOn w:val="prastasis"/>
    <w:qFormat/>
    <w:pPr>
      <w:spacing w:after="120" w:line="480" w:lineRule="auto"/>
    </w:pPr>
  </w:style>
  <w:style w:type="paragraph" w:customStyle="1" w:styleId="istatymas">
    <w:name w:val="istatymas"/>
    <w:basedOn w:val="prastasis"/>
    <w:qFormat/>
    <w:pPr>
      <w:spacing w:before="280" w:after="280"/>
    </w:pPr>
  </w:style>
  <w:style w:type="paragraph" w:styleId="Betarp">
    <w:name w:val="No Spacing"/>
    <w:qFormat/>
    <w:rPr>
      <w:rFonts w:ascii="Calibri" w:eastAsia="Calibri" w:hAnsi="Calibri" w:cs="Calibri"/>
      <w:color w:val="00000A"/>
      <w:sz w:val="22"/>
      <w:szCs w:val="22"/>
      <w:lang w:bidi="ar-SA"/>
    </w:rPr>
  </w:style>
  <w:style w:type="paragraph" w:customStyle="1" w:styleId="Tekstas">
    <w:name w:val="Tekstas"/>
    <w:basedOn w:val="prastasis"/>
    <w:qFormat/>
    <w:pPr>
      <w:spacing w:before="40" w:after="40"/>
      <w:ind w:right="40" w:firstLine="1247"/>
      <w:jc w:val="both"/>
    </w:pPr>
  </w:style>
  <w:style w:type="paragraph" w:styleId="Paantrat">
    <w:name w:val="Subtitle"/>
    <w:basedOn w:val="prastasis"/>
    <w:qFormat/>
    <w:pPr>
      <w:jc w:val="center"/>
    </w:pPr>
    <w:rPr>
      <w:b/>
      <w:bCs/>
    </w:rPr>
  </w:style>
  <w:style w:type="paragraph" w:styleId="Pagrindiniotekstotrauka2">
    <w:name w:val="Body Text Indent 2"/>
    <w:basedOn w:val="prastasis"/>
    <w:qFormat/>
    <w:pPr>
      <w:spacing w:after="120" w:line="480" w:lineRule="auto"/>
      <w:ind w:left="283"/>
    </w:pPr>
  </w:style>
  <w:style w:type="paragraph" w:customStyle="1" w:styleId="CommentText">
    <w:name w:val="Comment Text"/>
    <w:basedOn w:val="prastasis"/>
    <w:qFormat/>
    <w:rPr>
      <w:sz w:val="20"/>
      <w:szCs w:val="20"/>
    </w:rPr>
  </w:style>
  <w:style w:type="paragraph" w:styleId="Debesliotekstas">
    <w:name w:val="Balloon Text"/>
    <w:basedOn w:val="prastasis"/>
    <w:qFormat/>
    <w:rPr>
      <w:rFonts w:ascii="Tahoma" w:hAnsi="Tahoma" w:cs="Tahoma"/>
      <w:sz w:val="16"/>
      <w:szCs w:val="16"/>
    </w:rPr>
  </w:style>
  <w:style w:type="paragraph" w:customStyle="1" w:styleId="CommentSubject">
    <w:name w:val="Comment Subject"/>
    <w:basedOn w:val="CommentText"/>
    <w:qFormat/>
    <w:rPr>
      <w:b/>
      <w:bCs/>
    </w:rPr>
  </w:style>
  <w:style w:type="paragraph" w:customStyle="1" w:styleId="CharDiagramaCharCharDiagramaDiagramaDiagramaDiagramaCharCharDiagramaCharChar1">
    <w:name w:val="Char Diagrama Char Char Diagrama Diagrama Diagrama Diagrama Char Char Diagrama Char Char1"/>
    <w:basedOn w:val="prastasis"/>
    <w:qFormat/>
    <w:pPr>
      <w:spacing w:after="160" w:line="240" w:lineRule="exact"/>
    </w:pPr>
    <w:rPr>
      <w:rFonts w:ascii="Tahoma" w:hAnsi="Tahoma" w:cs="Tahoma"/>
      <w:sz w:val="20"/>
      <w:szCs w:val="20"/>
    </w:r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paragraph" w:customStyle="1" w:styleId="LO-Normal">
    <w:name w:val="LO-Normal"/>
    <w:qFormat/>
    <w:pPr>
      <w:widowControl w:val="0"/>
      <w:suppressAutoHyphens/>
    </w:pPr>
    <w:rPr>
      <w:color w:val="00000A"/>
      <w:sz w:val="24"/>
      <w:lang w:eastAsia="en-US"/>
    </w:rPr>
  </w:style>
  <w:style w:type="paragraph" w:customStyle="1" w:styleId="Adresas">
    <w:name w:val="Adresas"/>
    <w:basedOn w:val="LO-Normal"/>
    <w:qFormat/>
    <w:pPr>
      <w:ind w:right="318"/>
    </w:pPr>
  </w:style>
  <w:style w:type="paragraph" w:customStyle="1" w:styleId="PreformattedText">
    <w:name w:val="Preformatted Text"/>
    <w:basedOn w:val="prastasis"/>
    <w:qFormat/>
  </w:style>
  <w:style w:type="paragraph" w:customStyle="1" w:styleId="Standard">
    <w:name w:val="Standard"/>
    <w:qFormat/>
    <w:pPr>
      <w:jc w:val="both"/>
    </w:pPr>
    <w:rPr>
      <w:color w:val="00000A"/>
      <w:lang w:eastAsia="en-US"/>
    </w:rPr>
  </w:style>
  <w:style w:type="paragraph" w:styleId="Sraopastraipa">
    <w:name w:val="List Paragraph"/>
    <w:basedOn w:val="Standard"/>
    <w:uiPriority w:val="34"/>
    <w:qFormat/>
    <w:pPr>
      <w:ind w:left="720"/>
    </w:pPr>
  </w:style>
  <w:style w:type="paragraph" w:customStyle="1" w:styleId="LO-Normal1">
    <w:name w:val="LO-Normal1"/>
    <w:qFormat/>
    <w:pPr>
      <w:widowControl w:val="0"/>
      <w:suppressAutoHyphens/>
    </w:pPr>
    <w:rPr>
      <w:color w:val="00000A"/>
      <w:sz w:val="24"/>
    </w:rPr>
  </w:style>
  <w:style w:type="paragraph" w:customStyle="1" w:styleId="Default">
    <w:name w:val="Default"/>
    <w:qFormat/>
    <w:pPr>
      <w:widowControl w:val="0"/>
    </w:pPr>
    <w:rPr>
      <w:rFonts w:ascii="Times New Roman" w:hAnsi="Times New Roman"/>
      <w:color w:val="000000"/>
      <w:sz w:val="24"/>
    </w:rPr>
  </w:style>
  <w:style w:type="paragraph" w:styleId="Puslapioinaostekstas">
    <w:name w:val="footnote text"/>
    <w:basedOn w:val="prastasis"/>
    <w:qFormat/>
    <w:rPr>
      <w:sz w:val="20"/>
      <w:szCs w:val="20"/>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character" w:styleId="Komentaronuoroda">
    <w:name w:val="annotation reference"/>
    <w:basedOn w:val="Numatytasispastraiposriftas"/>
    <w:uiPriority w:val="99"/>
    <w:semiHidden/>
    <w:unhideWhenUsed/>
    <w:rsid w:val="004C5E17"/>
    <w:rPr>
      <w:sz w:val="16"/>
      <w:szCs w:val="16"/>
    </w:rPr>
  </w:style>
  <w:style w:type="paragraph" w:styleId="Komentarotekstas">
    <w:name w:val="annotation text"/>
    <w:basedOn w:val="prastasis"/>
    <w:link w:val="KomentarotekstasDiagrama"/>
    <w:uiPriority w:val="99"/>
    <w:semiHidden/>
    <w:unhideWhenUsed/>
    <w:rsid w:val="004C5E17"/>
    <w:rPr>
      <w:sz w:val="20"/>
      <w:szCs w:val="20"/>
    </w:rPr>
  </w:style>
  <w:style w:type="character" w:customStyle="1" w:styleId="KomentarotekstasDiagrama">
    <w:name w:val="Komentaro tekstas Diagrama"/>
    <w:basedOn w:val="Numatytasispastraiposriftas"/>
    <w:link w:val="Komentarotekstas"/>
    <w:uiPriority w:val="99"/>
    <w:semiHidden/>
    <w:rsid w:val="004C5E17"/>
    <w:rPr>
      <w:rFonts w:ascii="Times New Roman" w:eastAsia="Times New Roman" w:hAnsi="Times New Roman" w:cs="Times New Roman"/>
      <w:color w:val="00000A"/>
      <w:szCs w:val="20"/>
      <w:lang w:bidi="ar-SA"/>
    </w:rPr>
  </w:style>
  <w:style w:type="paragraph" w:styleId="Komentarotema">
    <w:name w:val="annotation subject"/>
    <w:basedOn w:val="Komentarotekstas"/>
    <w:next w:val="Komentarotekstas"/>
    <w:link w:val="KomentarotemaDiagrama"/>
    <w:uiPriority w:val="99"/>
    <w:semiHidden/>
    <w:unhideWhenUsed/>
    <w:rsid w:val="004C5E17"/>
    <w:rPr>
      <w:b/>
      <w:bCs/>
    </w:rPr>
  </w:style>
  <w:style w:type="character" w:customStyle="1" w:styleId="KomentarotemaDiagrama">
    <w:name w:val="Komentaro tema Diagrama"/>
    <w:basedOn w:val="KomentarotekstasDiagrama"/>
    <w:link w:val="Komentarotema"/>
    <w:uiPriority w:val="99"/>
    <w:semiHidden/>
    <w:rsid w:val="004C5E17"/>
    <w:rPr>
      <w:rFonts w:ascii="Times New Roman" w:eastAsia="Times New Roman" w:hAnsi="Times New Roman" w:cs="Times New Roman"/>
      <w:b/>
      <w:bCs/>
      <w:color w:val="00000A"/>
      <w:szCs w:val="20"/>
      <w:lang w:bidi="ar-SA"/>
    </w:rPr>
  </w:style>
  <w:style w:type="paragraph" w:styleId="Porat">
    <w:name w:val="footer"/>
    <w:basedOn w:val="prastasis"/>
    <w:link w:val="PoratDiagrama"/>
    <w:uiPriority w:val="99"/>
    <w:unhideWhenUsed/>
    <w:rsid w:val="007060E0"/>
    <w:pPr>
      <w:tabs>
        <w:tab w:val="center" w:pos="4819"/>
        <w:tab w:val="right" w:pos="9638"/>
      </w:tabs>
    </w:pPr>
  </w:style>
  <w:style w:type="character" w:customStyle="1" w:styleId="PoratDiagrama">
    <w:name w:val="Poraštė Diagrama"/>
    <w:basedOn w:val="Numatytasispastraiposriftas"/>
    <w:link w:val="Porat"/>
    <w:uiPriority w:val="99"/>
    <w:rsid w:val="007060E0"/>
    <w:rPr>
      <w:rFonts w:ascii="Times New Roman" w:eastAsia="Times New Roman" w:hAnsi="Times New Roman" w:cs="Times New Roman"/>
      <w:color w:val="00000A"/>
      <w:sz w:val="24"/>
      <w:lang w:bidi="ar-SA"/>
    </w:rPr>
  </w:style>
  <w:style w:type="character" w:customStyle="1" w:styleId="AntratsDiagrama">
    <w:name w:val="Antraštės Diagrama"/>
    <w:basedOn w:val="Numatytasispastraiposriftas"/>
    <w:link w:val="Antrats"/>
    <w:uiPriority w:val="99"/>
    <w:rsid w:val="007060E0"/>
    <w:rPr>
      <w:rFonts w:ascii="Times New Roman" w:eastAsia="Times New Roman" w:hAnsi="Times New Roman" w:cs="Times New Roman"/>
      <w:color w:val="00000A"/>
      <w:sz w:val="24"/>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10195">
      <w:bodyDiv w:val="1"/>
      <w:marLeft w:val="0"/>
      <w:marRight w:val="0"/>
      <w:marTop w:val="0"/>
      <w:marBottom w:val="0"/>
      <w:divBdr>
        <w:top w:val="none" w:sz="0" w:space="0" w:color="auto"/>
        <w:left w:val="none" w:sz="0" w:space="0" w:color="auto"/>
        <w:bottom w:val="none" w:sz="0" w:space="0" w:color="auto"/>
        <w:right w:val="none" w:sz="0" w:space="0" w:color="auto"/>
      </w:divBdr>
    </w:div>
    <w:div w:id="171022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5840</Words>
  <Characters>3329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DERINIMO PAŽYMA</vt:lpstr>
    </vt:vector>
  </TitlesOfParts>
  <Company/>
  <LinksUpToDate>false</LinksUpToDate>
  <CharactersWithSpaces>9151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DERINIMO PAŽYMA</dc:title>
  <dc:subject/>
  <dc:creator>Peliusenko Jelena</dc:creator>
  <dc:description/>
  <cp:lastModifiedBy>Darius Vasaris</cp:lastModifiedBy>
  <cp:revision>2</cp:revision>
  <cp:lastPrinted>2009-07-28T13:24:00Z</cp:lastPrinted>
  <dcterms:created xsi:type="dcterms:W3CDTF">2019-04-19T11:14:00Z</dcterms:created>
  <dcterms:modified xsi:type="dcterms:W3CDTF">2019-04-19T11:14:00Z</dcterms:modified>
  <dc:language>lt-LT</dc:language>
</cp:coreProperties>
</file>