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3809B" w14:textId="10FCDB26" w:rsidR="00E26901" w:rsidRPr="00E26901" w:rsidRDefault="00503C80" w:rsidP="00E26901">
      <w:pPr>
        <w:pStyle w:val="Antrat1"/>
        <w:jc w:val="center"/>
        <w:rPr>
          <w:bCs/>
          <w:szCs w:val="24"/>
        </w:rPr>
      </w:pPr>
      <w:bookmarkStart w:id="0" w:name="_GoBack"/>
      <w:bookmarkEnd w:id="0"/>
      <w:r w:rsidRPr="009C687A">
        <w:rPr>
          <w:bCs/>
          <w:szCs w:val="24"/>
        </w:rPr>
        <w:t xml:space="preserve">Europos Parlamento ir Tarybos reglamento (ES) 2016/1191, kuriuo skatinamas laisvas piliečių judėjimas supaprastinant tam tikrų viešųjų dokumentų pateikimo Europos Sąjungoje reikalavimus ir iš dalies keičiamas Reglamentas (ES) Nr. 1024/2012 </w:t>
      </w:r>
      <w:r w:rsidR="00A80BE8" w:rsidRPr="009C687A">
        <w:rPr>
          <w:bCs/>
          <w:szCs w:val="24"/>
        </w:rPr>
        <w:t xml:space="preserve">IR </w:t>
      </w:r>
      <w:r w:rsidR="00E26901" w:rsidRPr="00E26901">
        <w:rPr>
          <w:bCs/>
          <w:szCs w:val="24"/>
        </w:rPr>
        <w:t>LIETUVOS RESPUBLIKOS VYRIAUSYBĖS NUTARIMO „DĖL lietuvos Respublikos vyriausybės 2012 m. balandžio 18 d. nutarimo nr. 435 „dėl ĮTARIAMŲJŲ, KALTINAMŲJŲ IR NUTEISTŲJŲ REGISTRO NUOSTATŲ PATVIRTINIMO ir veiklos pradžios nustatymo“  pakeitimo“ PROJEKTO</w:t>
      </w:r>
    </w:p>
    <w:p w14:paraId="5660179A" w14:textId="77777777" w:rsidR="00A80BE8" w:rsidRPr="009C687A" w:rsidRDefault="00A80BE8" w:rsidP="00151E0C">
      <w:pPr>
        <w:jc w:val="center"/>
        <w:rPr>
          <w:b/>
          <w:bCs/>
          <w:caps/>
        </w:rPr>
      </w:pPr>
      <w:r w:rsidRPr="009C687A">
        <w:rPr>
          <w:b/>
          <w:bCs/>
        </w:rPr>
        <w:t>ATITIKTIES LENTELĖ</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6804"/>
        <w:gridCol w:w="2410"/>
      </w:tblGrid>
      <w:tr w:rsidR="005E55F5" w:rsidRPr="009C687A" w14:paraId="70D95F74" w14:textId="77777777" w:rsidTr="006364BB">
        <w:trPr>
          <w:trHeight w:val="1740"/>
        </w:trPr>
        <w:tc>
          <w:tcPr>
            <w:tcW w:w="5920" w:type="dxa"/>
          </w:tcPr>
          <w:p w14:paraId="502EEDEC" w14:textId="0CB8E4EC" w:rsidR="00CC73A9" w:rsidRPr="009C687A" w:rsidRDefault="00503C80" w:rsidP="006364BB">
            <w:pPr>
              <w:jc w:val="both"/>
              <w:rPr>
                <w:b/>
                <w:szCs w:val="24"/>
              </w:rPr>
            </w:pPr>
            <w:r w:rsidRPr="009C687A">
              <w:rPr>
                <w:b/>
              </w:rPr>
              <w:t>2016 m. liepos 6 d. Europos Parlamento ir Tarybos reglamento (ES) 2016/1191, kuriuo skatinamas laisvas piliečių judėjimas supaprastinant tam tikrų viešųjų dokumentų pateikimo Europos Sąjungoje reikalavimus ir iš dalies keičiamas Reglamentas (ES) Nr. 1</w:t>
            </w:r>
            <w:r w:rsidR="006364BB" w:rsidRPr="009C687A">
              <w:rPr>
                <w:b/>
              </w:rPr>
              <w:t>024/2012 (toliau – Reglamentas)</w:t>
            </w:r>
          </w:p>
        </w:tc>
        <w:tc>
          <w:tcPr>
            <w:tcW w:w="6804" w:type="dxa"/>
            <w:tcBorders>
              <w:bottom w:val="single" w:sz="4" w:space="0" w:color="auto"/>
            </w:tcBorders>
          </w:tcPr>
          <w:p w14:paraId="75F3226E" w14:textId="0526AA49" w:rsidR="00BB3391" w:rsidRPr="009C687A" w:rsidRDefault="007C2904" w:rsidP="007C2904">
            <w:pPr>
              <w:jc w:val="both"/>
            </w:pPr>
            <w:r w:rsidRPr="009C687A">
              <w:rPr>
                <w:b/>
              </w:rPr>
              <w:t xml:space="preserve">Lietuvos Respublikos Vyriausybės nutarimo </w:t>
            </w:r>
            <w:r w:rsidRPr="009C687A">
              <w:rPr>
                <w:b/>
                <w:color w:val="000000"/>
              </w:rPr>
              <w:t>„</w:t>
            </w:r>
            <w:r w:rsidR="00E26901" w:rsidRPr="00E26901">
              <w:rPr>
                <w:b/>
                <w:bCs/>
                <w:color w:val="000000"/>
              </w:rPr>
              <w:t>Dėl Lietuvos Respublikos Vyriausybės 2012 m. balandžio 18 d. nutarimo Nr. 435 „Dėl Į</w:t>
            </w:r>
            <w:r w:rsidR="00E26901" w:rsidRPr="00E26901">
              <w:rPr>
                <w:b/>
                <w:color w:val="000000"/>
              </w:rPr>
              <w:t>tariamųjų, kaltinamųjų ir nuteistųjų registro nuostatų patvirtinimo ir veiklos pradžios nustatymo“  pakeitimo“</w:t>
            </w:r>
            <w:r w:rsidR="00E26901">
              <w:rPr>
                <w:b/>
                <w:color w:val="000000"/>
              </w:rPr>
              <w:t xml:space="preserve"> </w:t>
            </w:r>
            <w:r w:rsidRPr="009C687A">
              <w:rPr>
                <w:b/>
              </w:rPr>
              <w:t>projektas (toliau – Projektas)</w:t>
            </w:r>
          </w:p>
          <w:p w14:paraId="6E2657B8" w14:textId="77777777" w:rsidR="006364BB" w:rsidRPr="009C687A" w:rsidRDefault="006364BB" w:rsidP="007C2904">
            <w:pPr>
              <w:jc w:val="both"/>
              <w:rPr>
                <w:b/>
                <w:szCs w:val="24"/>
              </w:rPr>
            </w:pPr>
          </w:p>
          <w:p w14:paraId="0B7CDE7C" w14:textId="2EA07A63" w:rsidR="00BB3391" w:rsidRPr="006C3F38" w:rsidRDefault="006364BB" w:rsidP="007C2904">
            <w:pPr>
              <w:jc w:val="both"/>
              <w:rPr>
                <w:szCs w:val="24"/>
              </w:rPr>
            </w:pPr>
            <w:r w:rsidRPr="006C3F38">
              <w:rPr>
                <w:szCs w:val="24"/>
              </w:rPr>
              <w:t>Lietuvos Respublikos Vyriausybės 2018 m. rugpjūčio 22 d. nutarimas Nr. 835 „Dėl institucijų, atsakingų už Europos Parlamento ir Tarybos reglamente (ES) 2016/1191 nustatytų funkcijų vykdymą, paskyrimo“ (toliau – Nutarimas)</w:t>
            </w:r>
          </w:p>
        </w:tc>
        <w:tc>
          <w:tcPr>
            <w:tcW w:w="2410" w:type="dxa"/>
          </w:tcPr>
          <w:p w14:paraId="506FECB9" w14:textId="6F72CB9E" w:rsidR="005E55F5" w:rsidRPr="009C687A" w:rsidRDefault="00503C80" w:rsidP="00F30CE6">
            <w:pPr>
              <w:jc w:val="both"/>
              <w:rPr>
                <w:b/>
                <w:szCs w:val="24"/>
              </w:rPr>
            </w:pPr>
            <w:r w:rsidRPr="009C687A">
              <w:rPr>
                <w:b/>
                <w:szCs w:val="24"/>
              </w:rPr>
              <w:t>Reglamento</w:t>
            </w:r>
            <w:r w:rsidR="005E55F5" w:rsidRPr="009C687A">
              <w:rPr>
                <w:b/>
                <w:szCs w:val="24"/>
              </w:rPr>
              <w:t xml:space="preserve"> įgyvendinimo lygis</w:t>
            </w:r>
          </w:p>
        </w:tc>
      </w:tr>
      <w:tr w:rsidR="00553B5D" w:rsidRPr="009C687A" w14:paraId="7DF91107" w14:textId="77777777" w:rsidTr="00606D50">
        <w:tc>
          <w:tcPr>
            <w:tcW w:w="5920" w:type="dxa"/>
          </w:tcPr>
          <w:p w14:paraId="5EB9F9A4" w14:textId="77777777" w:rsidR="00824B5F" w:rsidRPr="009C687A" w:rsidRDefault="00824B5F" w:rsidP="00824B5F">
            <w:pPr>
              <w:autoSpaceDE w:val="0"/>
              <w:autoSpaceDN w:val="0"/>
              <w:adjustRightInd w:val="0"/>
              <w:jc w:val="both"/>
              <w:rPr>
                <w:i/>
                <w:iCs/>
                <w:color w:val="000000"/>
                <w:szCs w:val="24"/>
              </w:rPr>
            </w:pPr>
            <w:bookmarkStart w:id="1" w:name="part_7d33e4e35bc343f296cb75b2e9633134"/>
            <w:bookmarkEnd w:id="1"/>
            <w:r w:rsidRPr="009C687A">
              <w:rPr>
                <w:i/>
                <w:iCs/>
                <w:color w:val="000000"/>
                <w:szCs w:val="24"/>
              </w:rPr>
              <w:t>7 straipsnis</w:t>
            </w:r>
          </w:p>
          <w:p w14:paraId="1FAADF1F" w14:textId="77777777" w:rsidR="00824B5F" w:rsidRPr="009C687A" w:rsidRDefault="00824B5F" w:rsidP="00824B5F">
            <w:pPr>
              <w:autoSpaceDE w:val="0"/>
              <w:autoSpaceDN w:val="0"/>
              <w:adjustRightInd w:val="0"/>
              <w:jc w:val="both"/>
              <w:rPr>
                <w:b/>
                <w:bCs/>
                <w:color w:val="000000"/>
                <w:szCs w:val="24"/>
              </w:rPr>
            </w:pPr>
            <w:r w:rsidRPr="009C687A">
              <w:rPr>
                <w:b/>
                <w:bCs/>
                <w:color w:val="000000"/>
                <w:szCs w:val="24"/>
              </w:rPr>
              <w:t>Daugiakalbės standartinės formos</w:t>
            </w:r>
          </w:p>
          <w:p w14:paraId="793E7A3B" w14:textId="77777777" w:rsidR="00824B5F" w:rsidRPr="009C687A" w:rsidRDefault="00824B5F" w:rsidP="00824B5F">
            <w:pPr>
              <w:autoSpaceDE w:val="0"/>
              <w:autoSpaceDN w:val="0"/>
              <w:adjustRightInd w:val="0"/>
              <w:jc w:val="both"/>
              <w:rPr>
                <w:color w:val="000000"/>
                <w:szCs w:val="24"/>
              </w:rPr>
            </w:pPr>
            <w:r w:rsidRPr="009C687A">
              <w:rPr>
                <w:color w:val="000000"/>
                <w:szCs w:val="24"/>
              </w:rPr>
              <w:t>1.   Asmens, kuris turi teisę gauti viešąjį dokumentą, prašymu viešieji dokumentai, susiję su gimimu, faktu, kad asmuo yra gyvas, mirtimi, santuoka (įskaitant santuokinį veiksnumą ir santuokinę padėtį), registruota partneryste (įskaitant teisę sudaryti registruotą partnerystę ir registruotos partnerystės padėtį), nuolatine gyvenamąja vieta ir (arba) gyvenamąja vieta ir teistumo nebuvimo fakto patvirtinimu, kuriuos valstybės narės nurodo pagal 24 straipsnio 1 dalies c punktą, pateikiami kartu su pagal šį reglamentą nustatyta daugiakalbe standartine forma.</w:t>
            </w:r>
          </w:p>
          <w:p w14:paraId="1F4EB658" w14:textId="60F45C3A" w:rsidR="00561373" w:rsidRPr="009C687A" w:rsidRDefault="00824B5F" w:rsidP="00FF69BD">
            <w:pPr>
              <w:autoSpaceDE w:val="0"/>
              <w:autoSpaceDN w:val="0"/>
              <w:adjustRightInd w:val="0"/>
              <w:jc w:val="both"/>
              <w:rPr>
                <w:b/>
              </w:rPr>
            </w:pPr>
            <w:r w:rsidRPr="009C687A">
              <w:rPr>
                <w:color w:val="000000"/>
                <w:szCs w:val="24"/>
              </w:rPr>
              <w:t>2.   1 dalyje nurodytas daugiakalbes standartines formas išduoda valdžios institucija ir jose turi būti jų išdavimo data, taip pat parašas ir, kai taikoma, išduodančiosios valdžios institucijos spaudas arba antspaudas.</w:t>
            </w:r>
          </w:p>
        </w:tc>
        <w:tc>
          <w:tcPr>
            <w:tcW w:w="6804" w:type="dxa"/>
          </w:tcPr>
          <w:p w14:paraId="26014400" w14:textId="77777777" w:rsidR="00FF69BD" w:rsidRPr="009C687A" w:rsidRDefault="00FF69BD" w:rsidP="00FF69BD">
            <w:pPr>
              <w:jc w:val="both"/>
              <w:rPr>
                <w:b/>
                <w:szCs w:val="24"/>
              </w:rPr>
            </w:pPr>
            <w:r w:rsidRPr="009C687A">
              <w:rPr>
                <w:b/>
                <w:szCs w:val="24"/>
              </w:rPr>
              <w:t>Projektas</w:t>
            </w:r>
          </w:p>
          <w:p w14:paraId="37906F90" w14:textId="41EE0F41" w:rsidR="00824B5F" w:rsidRPr="009C687A" w:rsidRDefault="00FF69BD" w:rsidP="00D53E48">
            <w:pPr>
              <w:jc w:val="both"/>
              <w:rPr>
                <w:b/>
                <w:szCs w:val="24"/>
              </w:rPr>
            </w:pPr>
            <w:r w:rsidRPr="009C687A">
              <w:rPr>
                <w:b/>
                <w:szCs w:val="24"/>
              </w:rPr>
              <w:t>79.</w:t>
            </w:r>
            <w:r w:rsidRPr="009C687A">
              <w:rPr>
                <w:b/>
                <w:szCs w:val="24"/>
              </w:rPr>
              <w:tab/>
              <w:t>Registro duomenų gavėjams, turintiems teisę gauti Registro duomenis ir Registro dokumentus, nenurodytiems Nuostatų 78 punkte, Registro duomenys ir Registro dokumentai, taip pat daugiakalbė standartinė forma pagal Reglamentą (ES) 2016/1191 teikiami už atlyginimą, kurio dydį nustato Vyriausybė.</w:t>
            </w:r>
          </w:p>
          <w:p w14:paraId="3B14BF5B" w14:textId="77777777" w:rsidR="00824B5F" w:rsidRPr="009C687A" w:rsidRDefault="00824B5F" w:rsidP="00D53E48">
            <w:pPr>
              <w:jc w:val="both"/>
              <w:rPr>
                <w:b/>
                <w:szCs w:val="24"/>
              </w:rPr>
            </w:pPr>
          </w:p>
          <w:p w14:paraId="25FDC9F2" w14:textId="77777777" w:rsidR="00824B5F" w:rsidRPr="009C687A" w:rsidRDefault="00824B5F" w:rsidP="00D53E48">
            <w:pPr>
              <w:jc w:val="both"/>
              <w:rPr>
                <w:b/>
                <w:szCs w:val="24"/>
              </w:rPr>
            </w:pPr>
          </w:p>
          <w:p w14:paraId="1439121F" w14:textId="77777777" w:rsidR="00824B5F" w:rsidRPr="009C687A" w:rsidRDefault="00824B5F" w:rsidP="00D53E48">
            <w:pPr>
              <w:jc w:val="both"/>
              <w:rPr>
                <w:b/>
                <w:szCs w:val="24"/>
              </w:rPr>
            </w:pPr>
          </w:p>
          <w:p w14:paraId="6C78F47E" w14:textId="77777777" w:rsidR="00824B5F" w:rsidRPr="009C687A" w:rsidRDefault="00824B5F" w:rsidP="00D53E48">
            <w:pPr>
              <w:jc w:val="both"/>
              <w:rPr>
                <w:b/>
                <w:szCs w:val="24"/>
              </w:rPr>
            </w:pPr>
          </w:p>
          <w:p w14:paraId="77487FAE" w14:textId="77777777" w:rsidR="00824B5F" w:rsidRPr="009C687A" w:rsidRDefault="00824B5F" w:rsidP="00D53E48">
            <w:pPr>
              <w:jc w:val="both"/>
              <w:rPr>
                <w:b/>
                <w:szCs w:val="24"/>
              </w:rPr>
            </w:pPr>
          </w:p>
          <w:p w14:paraId="0B06D2D7" w14:textId="77777777" w:rsidR="00824B5F" w:rsidRPr="009C687A" w:rsidRDefault="00824B5F" w:rsidP="00A41C83">
            <w:pPr>
              <w:jc w:val="both"/>
              <w:rPr>
                <w:szCs w:val="24"/>
              </w:rPr>
            </w:pPr>
          </w:p>
          <w:p w14:paraId="076B09B6" w14:textId="77777777" w:rsidR="0015037A" w:rsidRPr="009C687A" w:rsidRDefault="0015037A" w:rsidP="00A41C83">
            <w:pPr>
              <w:jc w:val="both"/>
              <w:rPr>
                <w:b/>
                <w:szCs w:val="24"/>
              </w:rPr>
            </w:pPr>
          </w:p>
          <w:p w14:paraId="30604916" w14:textId="77777777" w:rsidR="0015037A" w:rsidRPr="009C687A" w:rsidRDefault="0015037A" w:rsidP="00A41C83">
            <w:pPr>
              <w:jc w:val="both"/>
              <w:rPr>
                <w:b/>
                <w:szCs w:val="24"/>
              </w:rPr>
            </w:pPr>
          </w:p>
          <w:p w14:paraId="78E08CC8" w14:textId="77777777" w:rsidR="0015037A" w:rsidRPr="009C687A" w:rsidRDefault="0015037A" w:rsidP="00A41C83">
            <w:pPr>
              <w:jc w:val="both"/>
              <w:rPr>
                <w:b/>
                <w:szCs w:val="24"/>
              </w:rPr>
            </w:pPr>
          </w:p>
        </w:tc>
        <w:tc>
          <w:tcPr>
            <w:tcW w:w="2410" w:type="dxa"/>
          </w:tcPr>
          <w:p w14:paraId="7C43BBDF" w14:textId="77777777" w:rsidR="00FF69BD" w:rsidRPr="009C687A" w:rsidRDefault="00FF69BD" w:rsidP="00824B5F">
            <w:pPr>
              <w:jc w:val="center"/>
              <w:rPr>
                <w:bCs/>
                <w:szCs w:val="24"/>
              </w:rPr>
            </w:pPr>
            <w:r w:rsidRPr="009C687A">
              <w:rPr>
                <w:bCs/>
                <w:szCs w:val="24"/>
              </w:rPr>
              <w:t>Dalinis.</w:t>
            </w:r>
          </w:p>
          <w:p w14:paraId="7444BBE0" w14:textId="6FA55603" w:rsidR="00FF69BD" w:rsidRPr="009C687A" w:rsidRDefault="00FF69BD" w:rsidP="00FF69BD">
            <w:pPr>
              <w:jc w:val="both"/>
              <w:rPr>
                <w:bCs/>
                <w:szCs w:val="24"/>
              </w:rPr>
            </w:pPr>
            <w:r w:rsidRPr="009C687A">
              <w:rPr>
                <w:bCs/>
                <w:szCs w:val="24"/>
              </w:rPr>
              <w:t xml:space="preserve">Visiškai straipsnis bus perkeltas ir įgyvendintas priėmus </w:t>
            </w:r>
          </w:p>
          <w:p w14:paraId="011CDD38" w14:textId="024FE491" w:rsidR="00FF69BD" w:rsidRPr="009C687A" w:rsidRDefault="00FF69BD" w:rsidP="00FF69BD">
            <w:pPr>
              <w:jc w:val="both"/>
              <w:rPr>
                <w:bCs/>
                <w:szCs w:val="24"/>
              </w:rPr>
            </w:pPr>
            <w:r w:rsidRPr="009C687A">
              <w:rPr>
                <w:bCs/>
                <w:szCs w:val="24"/>
              </w:rPr>
              <w:t>Įtariamųjų, kaltinamųjų ir nuteistųjų registro objekto registravimo ir duomenų teikimo taisyklių, patvirtintų</w:t>
            </w:r>
            <w:r w:rsidRPr="009C687A">
              <w:t xml:space="preserve"> </w:t>
            </w:r>
            <w:r w:rsidRPr="009C687A">
              <w:rPr>
                <w:bCs/>
                <w:szCs w:val="24"/>
              </w:rPr>
              <w:t xml:space="preserve">Informatikos ir ryšių departamento direktoriaus 2012 m. rugpjūčio 10 d. įsakymu Nr. 5V-67, pakeitimo projektą.  </w:t>
            </w:r>
          </w:p>
          <w:p w14:paraId="5985D2E9" w14:textId="0A9AFF86" w:rsidR="00553B5D" w:rsidRPr="009C687A" w:rsidRDefault="00FF69BD" w:rsidP="00FF69BD">
            <w:pPr>
              <w:jc w:val="both"/>
              <w:rPr>
                <w:b/>
                <w:szCs w:val="24"/>
              </w:rPr>
            </w:pPr>
            <w:r w:rsidRPr="009C687A">
              <w:rPr>
                <w:bCs/>
                <w:szCs w:val="24"/>
              </w:rPr>
              <w:t xml:space="preserve">Numatyta priėmimo data – 2019-02-15. </w:t>
            </w:r>
          </w:p>
        </w:tc>
      </w:tr>
      <w:tr w:rsidR="00606D50" w:rsidRPr="009C687A" w14:paraId="0D9773EA" w14:textId="77777777" w:rsidTr="00606D50">
        <w:tc>
          <w:tcPr>
            <w:tcW w:w="5920" w:type="dxa"/>
          </w:tcPr>
          <w:p w14:paraId="0962A159" w14:textId="77777777" w:rsidR="00606D50" w:rsidRPr="009C687A" w:rsidRDefault="00606D50" w:rsidP="00606D50">
            <w:pPr>
              <w:autoSpaceDE w:val="0"/>
              <w:autoSpaceDN w:val="0"/>
              <w:adjustRightInd w:val="0"/>
              <w:jc w:val="both"/>
              <w:rPr>
                <w:i/>
                <w:iCs/>
                <w:color w:val="000000"/>
                <w:szCs w:val="24"/>
              </w:rPr>
            </w:pPr>
            <w:r w:rsidRPr="009C687A">
              <w:rPr>
                <w:i/>
                <w:iCs/>
                <w:color w:val="000000"/>
                <w:szCs w:val="24"/>
              </w:rPr>
              <w:lastRenderedPageBreak/>
              <w:t>11 straipsnis</w:t>
            </w:r>
          </w:p>
          <w:p w14:paraId="27D48443" w14:textId="77777777" w:rsidR="00606D50" w:rsidRPr="009C687A" w:rsidRDefault="00606D50" w:rsidP="00606D50">
            <w:pPr>
              <w:autoSpaceDE w:val="0"/>
              <w:autoSpaceDN w:val="0"/>
              <w:adjustRightInd w:val="0"/>
              <w:jc w:val="both"/>
              <w:rPr>
                <w:b/>
                <w:bCs/>
                <w:iCs/>
                <w:color w:val="000000"/>
                <w:szCs w:val="24"/>
              </w:rPr>
            </w:pPr>
            <w:r w:rsidRPr="009C687A">
              <w:rPr>
                <w:b/>
                <w:bCs/>
                <w:iCs/>
                <w:color w:val="000000"/>
                <w:szCs w:val="24"/>
              </w:rPr>
              <w:t>Daugiakalbės standartinės formos mokestis</w:t>
            </w:r>
          </w:p>
          <w:p w14:paraId="2F27C034" w14:textId="375F5EF4" w:rsidR="00606D50" w:rsidRPr="009C687A" w:rsidRDefault="00606D50" w:rsidP="00E26901">
            <w:pPr>
              <w:autoSpaceDE w:val="0"/>
              <w:autoSpaceDN w:val="0"/>
              <w:adjustRightInd w:val="0"/>
              <w:jc w:val="both"/>
              <w:rPr>
                <w:i/>
                <w:iCs/>
                <w:color w:val="000000"/>
                <w:szCs w:val="24"/>
              </w:rPr>
            </w:pPr>
            <w:r w:rsidRPr="009C687A">
              <w:rPr>
                <w:iCs/>
                <w:color w:val="000000"/>
                <w:szCs w:val="24"/>
              </w:rPr>
              <w:t>Siekiant dar labiau palengvinti laisvą viešųjų dokumentų judėjimą Sąjungoje, valstybės narės užtikrina, kad daugiakalbės standartinės formos mokestis neviršytų daugiakalbės standartinės formos arba viešojo dokumento, su kuriuo tokia forma pateikiama, parengimo išlaidų (taikoma mažesnė suma).</w:t>
            </w:r>
          </w:p>
        </w:tc>
        <w:tc>
          <w:tcPr>
            <w:tcW w:w="6804" w:type="dxa"/>
          </w:tcPr>
          <w:p w14:paraId="51028626" w14:textId="77777777" w:rsidR="00606D50" w:rsidRPr="009C687A" w:rsidRDefault="00606D50" w:rsidP="00606D50">
            <w:pPr>
              <w:jc w:val="both"/>
              <w:rPr>
                <w:b/>
                <w:szCs w:val="24"/>
              </w:rPr>
            </w:pPr>
            <w:r w:rsidRPr="009C687A">
              <w:rPr>
                <w:b/>
                <w:szCs w:val="24"/>
              </w:rPr>
              <w:t>Projektas</w:t>
            </w:r>
          </w:p>
          <w:p w14:paraId="68E13200" w14:textId="77777777" w:rsidR="00606D50" w:rsidRPr="009C687A" w:rsidRDefault="00606D50" w:rsidP="00606D50">
            <w:pPr>
              <w:jc w:val="both"/>
              <w:rPr>
                <w:b/>
                <w:szCs w:val="24"/>
              </w:rPr>
            </w:pPr>
            <w:r w:rsidRPr="009C687A">
              <w:rPr>
                <w:b/>
                <w:szCs w:val="24"/>
              </w:rPr>
              <w:t>79.</w:t>
            </w:r>
            <w:r w:rsidRPr="009C687A">
              <w:rPr>
                <w:b/>
                <w:szCs w:val="24"/>
              </w:rPr>
              <w:tab/>
              <w:t>Registro duomenų gavėjams, turintiems teisę gauti Registro duomenis ir Registro dokumentus, nenurodytiems Nuostatų 78 punkte, Registro duomenys ir Registro dokumentai, taip pat daugiakalbė standartinė forma pagal Reglamentą (ES) 2016/1191 teikiami už atlyginimą, kurio dydį nustato Vyriausybė.</w:t>
            </w:r>
          </w:p>
          <w:p w14:paraId="23055632" w14:textId="77777777" w:rsidR="00606D50" w:rsidRPr="009C687A" w:rsidRDefault="00606D50" w:rsidP="00E105F6">
            <w:pPr>
              <w:jc w:val="both"/>
              <w:rPr>
                <w:b/>
                <w:szCs w:val="24"/>
              </w:rPr>
            </w:pPr>
          </w:p>
        </w:tc>
        <w:tc>
          <w:tcPr>
            <w:tcW w:w="2410" w:type="dxa"/>
          </w:tcPr>
          <w:p w14:paraId="1EC884B2" w14:textId="5231E44F" w:rsidR="00606D50" w:rsidRPr="009C687A" w:rsidRDefault="00FF69BD" w:rsidP="00824B5F">
            <w:pPr>
              <w:jc w:val="center"/>
              <w:rPr>
                <w:bCs/>
                <w:szCs w:val="24"/>
              </w:rPr>
            </w:pPr>
            <w:r w:rsidRPr="009C687A">
              <w:rPr>
                <w:bCs/>
                <w:szCs w:val="24"/>
              </w:rPr>
              <w:t>Visiškas</w:t>
            </w:r>
          </w:p>
        </w:tc>
      </w:tr>
      <w:tr w:rsidR="00606D50" w:rsidRPr="009C687A" w14:paraId="524797C1" w14:textId="77777777" w:rsidTr="006364BB">
        <w:trPr>
          <w:trHeight w:val="840"/>
        </w:trPr>
        <w:tc>
          <w:tcPr>
            <w:tcW w:w="5920" w:type="dxa"/>
          </w:tcPr>
          <w:p w14:paraId="4C74ECC9" w14:textId="77777777" w:rsidR="00606D50" w:rsidRPr="009C687A" w:rsidRDefault="00606D50" w:rsidP="00606D50">
            <w:pPr>
              <w:autoSpaceDE w:val="0"/>
              <w:autoSpaceDN w:val="0"/>
              <w:adjustRightInd w:val="0"/>
              <w:jc w:val="both"/>
              <w:rPr>
                <w:i/>
                <w:iCs/>
                <w:color w:val="000000"/>
                <w:szCs w:val="24"/>
              </w:rPr>
            </w:pPr>
            <w:r w:rsidRPr="009C687A">
              <w:rPr>
                <w:i/>
                <w:iCs/>
                <w:color w:val="000000"/>
                <w:szCs w:val="24"/>
              </w:rPr>
              <w:t>15 straipsnis</w:t>
            </w:r>
          </w:p>
          <w:p w14:paraId="3CACADD1" w14:textId="77777777" w:rsidR="00606D50" w:rsidRPr="009C687A" w:rsidRDefault="00606D50" w:rsidP="00606D50">
            <w:pPr>
              <w:autoSpaceDE w:val="0"/>
              <w:autoSpaceDN w:val="0"/>
              <w:adjustRightInd w:val="0"/>
              <w:jc w:val="both"/>
              <w:rPr>
                <w:b/>
                <w:bCs/>
                <w:iCs/>
                <w:color w:val="000000"/>
                <w:szCs w:val="24"/>
              </w:rPr>
            </w:pPr>
            <w:r w:rsidRPr="009C687A">
              <w:rPr>
                <w:b/>
                <w:bCs/>
                <w:iCs/>
                <w:color w:val="000000"/>
                <w:szCs w:val="24"/>
              </w:rPr>
              <w:t>Centrinių valdžios institucijų skyrimas</w:t>
            </w:r>
          </w:p>
          <w:p w14:paraId="4794F9C0" w14:textId="77777777" w:rsidR="00606D50" w:rsidRPr="009C687A" w:rsidRDefault="00606D50" w:rsidP="00606D50">
            <w:pPr>
              <w:autoSpaceDE w:val="0"/>
              <w:autoSpaceDN w:val="0"/>
              <w:adjustRightInd w:val="0"/>
              <w:jc w:val="both"/>
              <w:rPr>
                <w:iCs/>
                <w:color w:val="000000"/>
                <w:szCs w:val="24"/>
              </w:rPr>
            </w:pPr>
            <w:r w:rsidRPr="009C687A">
              <w:rPr>
                <w:iCs/>
                <w:color w:val="000000"/>
                <w:szCs w:val="24"/>
              </w:rPr>
              <w:t>1.   Šio reglamento tikslais kiekviena valstybė narė paskiria bent vieną centrinę valdžios instituciją.</w:t>
            </w:r>
          </w:p>
          <w:p w14:paraId="393E17E3" w14:textId="77777777" w:rsidR="00606D50" w:rsidRPr="009C687A" w:rsidRDefault="00606D50" w:rsidP="00606D50">
            <w:pPr>
              <w:autoSpaceDE w:val="0"/>
              <w:autoSpaceDN w:val="0"/>
              <w:adjustRightInd w:val="0"/>
              <w:jc w:val="both"/>
              <w:rPr>
                <w:iCs/>
                <w:color w:val="000000"/>
                <w:szCs w:val="24"/>
              </w:rPr>
            </w:pPr>
            <w:r w:rsidRPr="009C687A">
              <w:rPr>
                <w:iCs/>
                <w:color w:val="000000"/>
                <w:szCs w:val="24"/>
              </w:rPr>
              <w:t>2.   Tais atvejais, kai valstybė narė paskyrė daugiau nei vieną centrinę valdžios instituciją, ji nurodo centrinę valdžios instituciją, kuriai galima perduoti informaciją, kad pastaroji ją perduotų atitinkamai tos valstybės narės valdžios institucijai.</w:t>
            </w:r>
          </w:p>
          <w:p w14:paraId="0C9F308C" w14:textId="77777777" w:rsidR="00606D50" w:rsidRPr="009C687A" w:rsidRDefault="00606D50" w:rsidP="00824B5F">
            <w:pPr>
              <w:autoSpaceDE w:val="0"/>
              <w:autoSpaceDN w:val="0"/>
              <w:adjustRightInd w:val="0"/>
              <w:jc w:val="both"/>
              <w:rPr>
                <w:i/>
                <w:iCs/>
                <w:color w:val="000000"/>
                <w:szCs w:val="24"/>
              </w:rPr>
            </w:pPr>
          </w:p>
        </w:tc>
        <w:tc>
          <w:tcPr>
            <w:tcW w:w="6804" w:type="dxa"/>
          </w:tcPr>
          <w:p w14:paraId="687FE297" w14:textId="77777777" w:rsidR="00606D50" w:rsidRPr="009C687A" w:rsidRDefault="00606D50" w:rsidP="00606D50">
            <w:pPr>
              <w:jc w:val="both"/>
              <w:rPr>
                <w:b/>
                <w:szCs w:val="24"/>
              </w:rPr>
            </w:pPr>
            <w:r w:rsidRPr="009C687A">
              <w:rPr>
                <w:b/>
                <w:szCs w:val="24"/>
              </w:rPr>
              <w:t>Projektas</w:t>
            </w:r>
          </w:p>
          <w:p w14:paraId="0D249D77" w14:textId="77777777" w:rsidR="00606D50" w:rsidRPr="009C687A" w:rsidRDefault="00606D50" w:rsidP="00606D50">
            <w:pPr>
              <w:jc w:val="both"/>
              <w:rPr>
                <w:b/>
                <w:szCs w:val="24"/>
              </w:rPr>
            </w:pPr>
            <w:r w:rsidRPr="009C687A">
              <w:rPr>
                <w:b/>
                <w:szCs w:val="24"/>
              </w:rPr>
              <w:t>9.7.</w:t>
            </w:r>
            <w:r w:rsidRPr="009C687A">
              <w:rPr>
                <w:b/>
                <w:szCs w:val="24"/>
              </w:rPr>
              <w:tab/>
              <w:t xml:space="preserve"> atlieka centrinės institucijos, atliekančios 2016 m. liepos 6 d. Europos Parlamento ir Tarybos reglamento (ES) 2016/1191, kuriuo skatinamas laisvas piliečių judėjimas supaprastinant tam tikrų viešųjų dokumentų pateikimo Europos Sąjungoje reikalavimus ir iš dalies keičiamas Reglamentas (ES) Nr. 1024/2012 (</w:t>
            </w:r>
            <w:r w:rsidRPr="009C687A">
              <w:rPr>
                <w:b/>
                <w:iCs/>
                <w:szCs w:val="24"/>
              </w:rPr>
              <w:t>OL 2016 L 200, p. 1</w:t>
            </w:r>
            <w:r w:rsidRPr="009C687A">
              <w:rPr>
                <w:b/>
                <w:szCs w:val="24"/>
              </w:rPr>
              <w:t>) (toliau – Reglamentas (ES) 2016/1191) 16 straipsnyje nustatytas funkcijas, teikiant pagalbą dėl prašymų pateikti informaciją dėl dokumentų, patvirtinančių Reglamento (ES) 2016/1191 2 straipsnio 1 dalies m punkte nurodytą faktą.</w:t>
            </w:r>
          </w:p>
          <w:p w14:paraId="50B99334" w14:textId="77777777" w:rsidR="00606D50" w:rsidRPr="009C687A" w:rsidRDefault="00606D50" w:rsidP="00606D50">
            <w:pPr>
              <w:jc w:val="both"/>
              <w:rPr>
                <w:b/>
                <w:szCs w:val="24"/>
              </w:rPr>
            </w:pPr>
          </w:p>
          <w:p w14:paraId="7A511BD6" w14:textId="77777777" w:rsidR="00606D50" w:rsidRPr="00E26901" w:rsidRDefault="00606D50" w:rsidP="00606D50">
            <w:pPr>
              <w:jc w:val="both"/>
              <w:rPr>
                <w:szCs w:val="24"/>
              </w:rPr>
            </w:pPr>
            <w:r w:rsidRPr="00E26901">
              <w:rPr>
                <w:szCs w:val="24"/>
              </w:rPr>
              <w:t>Nutarimas</w:t>
            </w:r>
          </w:p>
          <w:p w14:paraId="14A5DACE" w14:textId="77777777" w:rsidR="00606D50" w:rsidRPr="009C687A" w:rsidRDefault="00606D50" w:rsidP="00606D50">
            <w:pPr>
              <w:jc w:val="both"/>
              <w:rPr>
                <w:szCs w:val="24"/>
              </w:rPr>
            </w:pPr>
            <w:r w:rsidRPr="009C687A">
              <w:rPr>
                <w:szCs w:val="24"/>
              </w:rPr>
              <w:t>Įgyvendindama 2016 m. liepos 6 d. Europos Parlamento ir Tarybos reglamento (ES) 2016/1191, kuriuo skatinamas laisvas piliečių judėjimas supaprastinant tam tikrų viešųjų dokumentų pateikimo Europos Sąjungoje reikalavimus ir iš dalies keičiamas Reglamentas (ES) Nr. 1024/2012 (OL 2016 L 200, p. 1) (toliau – Reglamentas), 15 straipsnį, Lietuvos Respublikos Vyriausybė  n u t a r i a:</w:t>
            </w:r>
          </w:p>
          <w:p w14:paraId="52161AAA" w14:textId="60D36C71" w:rsidR="00606D50" w:rsidRPr="009C687A" w:rsidRDefault="00606D50" w:rsidP="009C687A">
            <w:pPr>
              <w:jc w:val="both"/>
              <w:rPr>
                <w:b/>
                <w:szCs w:val="24"/>
              </w:rPr>
            </w:pPr>
            <w:r w:rsidRPr="009C687A">
              <w:rPr>
                <w:szCs w:val="24"/>
              </w:rPr>
              <w:t>2. Paskirti Informatikos ir ryšių departamentą prie Lietuvos Respublikos vidaus reikalų ministerijos centrine institucija, atliekančia Reglamento 16 straipsnyje nustatytas funkcijas: teikti pagalbą dėl prašymų pateikti informaciją dėl dokumentų, patvirtinančių Reglamento 2 straipsnio 1 dalies m punkte nurodytą faktą.</w:t>
            </w:r>
          </w:p>
        </w:tc>
        <w:tc>
          <w:tcPr>
            <w:tcW w:w="2410" w:type="dxa"/>
          </w:tcPr>
          <w:p w14:paraId="3509C141" w14:textId="5E35258C" w:rsidR="00606D50" w:rsidRPr="009C687A" w:rsidRDefault="006364BB" w:rsidP="00824B5F">
            <w:pPr>
              <w:jc w:val="center"/>
              <w:rPr>
                <w:bCs/>
                <w:szCs w:val="24"/>
              </w:rPr>
            </w:pPr>
            <w:r w:rsidRPr="009C687A">
              <w:rPr>
                <w:bCs/>
                <w:szCs w:val="24"/>
              </w:rPr>
              <w:t>Visiškas</w:t>
            </w:r>
          </w:p>
        </w:tc>
      </w:tr>
    </w:tbl>
    <w:p w14:paraId="570F3852" w14:textId="77777777" w:rsidR="004C78A8" w:rsidRDefault="004C78A8" w:rsidP="00F14AD5"/>
    <w:sectPr w:rsidR="004C78A8" w:rsidSect="00066E49">
      <w:headerReference w:type="even" r:id="rId7"/>
      <w:headerReference w:type="default" r:id="rId8"/>
      <w:footerReference w:type="even" r:id="rId9"/>
      <w:pgSz w:w="16840" w:h="11907" w:orient="landscape" w:code="9"/>
      <w:pgMar w:top="1134" w:right="56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BE418" w14:textId="77777777" w:rsidR="006E7FCF" w:rsidRDefault="006E7FCF">
      <w:r>
        <w:separator/>
      </w:r>
    </w:p>
  </w:endnote>
  <w:endnote w:type="continuationSeparator" w:id="0">
    <w:p w14:paraId="4764C367" w14:textId="77777777" w:rsidR="006E7FCF" w:rsidRDefault="006E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C96F" w14:textId="77777777" w:rsidR="00971E63" w:rsidRDefault="00971E63" w:rsidP="000A4A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FC78DA" w14:textId="77777777" w:rsidR="00971E63" w:rsidRDefault="00971E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F2251" w14:textId="77777777" w:rsidR="006E7FCF" w:rsidRDefault="006E7FCF">
      <w:r>
        <w:separator/>
      </w:r>
    </w:p>
  </w:footnote>
  <w:footnote w:type="continuationSeparator" w:id="0">
    <w:p w14:paraId="73E5369B" w14:textId="77777777" w:rsidR="006E7FCF" w:rsidRDefault="006E7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655BE" w14:textId="77777777" w:rsidR="00971E63" w:rsidRDefault="00971E63" w:rsidP="00D243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13FD8B" w14:textId="77777777" w:rsidR="00971E63" w:rsidRDefault="00971E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48BAA" w14:textId="77777777" w:rsidR="00971E63" w:rsidRPr="00BB3391" w:rsidRDefault="00971E63" w:rsidP="00D243C6">
    <w:pPr>
      <w:pStyle w:val="Antrats"/>
      <w:framePr w:wrap="around" w:vAnchor="text" w:hAnchor="margin" w:xAlign="center" w:y="1"/>
      <w:rPr>
        <w:rStyle w:val="Puslapionumeris"/>
        <w:sz w:val="24"/>
        <w:szCs w:val="24"/>
      </w:rPr>
    </w:pPr>
    <w:r w:rsidRPr="00BB3391">
      <w:rPr>
        <w:rStyle w:val="Puslapionumeris"/>
        <w:sz w:val="24"/>
        <w:szCs w:val="24"/>
      </w:rPr>
      <w:fldChar w:fldCharType="begin"/>
    </w:r>
    <w:r w:rsidRPr="00BB3391">
      <w:rPr>
        <w:rStyle w:val="Puslapionumeris"/>
        <w:sz w:val="24"/>
        <w:szCs w:val="24"/>
      </w:rPr>
      <w:instrText xml:space="preserve">PAGE  </w:instrText>
    </w:r>
    <w:r w:rsidRPr="00BB3391">
      <w:rPr>
        <w:rStyle w:val="Puslapionumeris"/>
        <w:sz w:val="24"/>
        <w:szCs w:val="24"/>
      </w:rPr>
      <w:fldChar w:fldCharType="separate"/>
    </w:r>
    <w:r w:rsidR="004A2C47">
      <w:rPr>
        <w:rStyle w:val="Puslapionumeris"/>
        <w:noProof/>
        <w:sz w:val="24"/>
        <w:szCs w:val="24"/>
      </w:rPr>
      <w:t>2</w:t>
    </w:r>
    <w:r w:rsidRPr="00BB3391">
      <w:rPr>
        <w:rStyle w:val="Puslapionumeris"/>
        <w:sz w:val="24"/>
        <w:szCs w:val="24"/>
      </w:rPr>
      <w:fldChar w:fldCharType="end"/>
    </w:r>
  </w:p>
  <w:p w14:paraId="601EC3E9" w14:textId="77777777" w:rsidR="00971E63" w:rsidRDefault="00971E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84B"/>
    <w:multiLevelType w:val="hybridMultilevel"/>
    <w:tmpl w:val="1C02D564"/>
    <w:lvl w:ilvl="0" w:tplc="C4765C9A">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D63572"/>
    <w:multiLevelType w:val="hybridMultilevel"/>
    <w:tmpl w:val="B20AC0A4"/>
    <w:lvl w:ilvl="0" w:tplc="32648CD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1F9"/>
    <w:rsid w:val="00000066"/>
    <w:rsid w:val="000227A1"/>
    <w:rsid w:val="000262C0"/>
    <w:rsid w:val="00043380"/>
    <w:rsid w:val="00047BDD"/>
    <w:rsid w:val="00066E49"/>
    <w:rsid w:val="000720BC"/>
    <w:rsid w:val="00083A55"/>
    <w:rsid w:val="000871AD"/>
    <w:rsid w:val="000A4A74"/>
    <w:rsid w:val="000B03D8"/>
    <w:rsid w:val="000B5135"/>
    <w:rsid w:val="000D345D"/>
    <w:rsid w:val="000E0862"/>
    <w:rsid w:val="000F099A"/>
    <w:rsid w:val="000F4EEC"/>
    <w:rsid w:val="000F60BA"/>
    <w:rsid w:val="00131777"/>
    <w:rsid w:val="00141275"/>
    <w:rsid w:val="0014236B"/>
    <w:rsid w:val="00143EC3"/>
    <w:rsid w:val="0015037A"/>
    <w:rsid w:val="00151E0C"/>
    <w:rsid w:val="001606CD"/>
    <w:rsid w:val="00164255"/>
    <w:rsid w:val="00165F6D"/>
    <w:rsid w:val="001967E8"/>
    <w:rsid w:val="001A2BE1"/>
    <w:rsid w:val="001C43AF"/>
    <w:rsid w:val="001D18F0"/>
    <w:rsid w:val="001D6D71"/>
    <w:rsid w:val="001E1763"/>
    <w:rsid w:val="001E237D"/>
    <w:rsid w:val="00230E7A"/>
    <w:rsid w:val="00232C29"/>
    <w:rsid w:val="0024604D"/>
    <w:rsid w:val="0025168D"/>
    <w:rsid w:val="00254E0F"/>
    <w:rsid w:val="0026351A"/>
    <w:rsid w:val="00274966"/>
    <w:rsid w:val="00287208"/>
    <w:rsid w:val="002959F8"/>
    <w:rsid w:val="00296D8C"/>
    <w:rsid w:val="002A20F2"/>
    <w:rsid w:val="002A3B3A"/>
    <w:rsid w:val="002A7018"/>
    <w:rsid w:val="002B2DA0"/>
    <w:rsid w:val="002B7E1A"/>
    <w:rsid w:val="002C4618"/>
    <w:rsid w:val="002C7562"/>
    <w:rsid w:val="002D3B84"/>
    <w:rsid w:val="002F0E86"/>
    <w:rsid w:val="002F34CB"/>
    <w:rsid w:val="00344078"/>
    <w:rsid w:val="00346431"/>
    <w:rsid w:val="003476C2"/>
    <w:rsid w:val="00363C3E"/>
    <w:rsid w:val="00370A8E"/>
    <w:rsid w:val="00372E87"/>
    <w:rsid w:val="003C76F7"/>
    <w:rsid w:val="003D1154"/>
    <w:rsid w:val="003E3726"/>
    <w:rsid w:val="003E5C01"/>
    <w:rsid w:val="003E76F2"/>
    <w:rsid w:val="003F4B2C"/>
    <w:rsid w:val="00416AD7"/>
    <w:rsid w:val="00420CC0"/>
    <w:rsid w:val="00445AD9"/>
    <w:rsid w:val="00463DB7"/>
    <w:rsid w:val="00484F10"/>
    <w:rsid w:val="00485C04"/>
    <w:rsid w:val="004A2C47"/>
    <w:rsid w:val="004A5FEA"/>
    <w:rsid w:val="004B1121"/>
    <w:rsid w:val="004B5790"/>
    <w:rsid w:val="004C78A8"/>
    <w:rsid w:val="004D0A8A"/>
    <w:rsid w:val="004E7578"/>
    <w:rsid w:val="00503C80"/>
    <w:rsid w:val="005049F8"/>
    <w:rsid w:val="0051062A"/>
    <w:rsid w:val="00521131"/>
    <w:rsid w:val="005238A4"/>
    <w:rsid w:val="00523D93"/>
    <w:rsid w:val="00527AC4"/>
    <w:rsid w:val="005357AE"/>
    <w:rsid w:val="0054716F"/>
    <w:rsid w:val="00547A4F"/>
    <w:rsid w:val="00552EBD"/>
    <w:rsid w:val="00553B5D"/>
    <w:rsid w:val="0055457E"/>
    <w:rsid w:val="00561373"/>
    <w:rsid w:val="00583001"/>
    <w:rsid w:val="005916DF"/>
    <w:rsid w:val="005C0E4C"/>
    <w:rsid w:val="005C184A"/>
    <w:rsid w:val="005E1AB3"/>
    <w:rsid w:val="005E22DD"/>
    <w:rsid w:val="005E370D"/>
    <w:rsid w:val="005E55F5"/>
    <w:rsid w:val="00606D50"/>
    <w:rsid w:val="00610654"/>
    <w:rsid w:val="0061615E"/>
    <w:rsid w:val="00623175"/>
    <w:rsid w:val="00624B97"/>
    <w:rsid w:val="006364BB"/>
    <w:rsid w:val="00654EEE"/>
    <w:rsid w:val="00656854"/>
    <w:rsid w:val="0066471E"/>
    <w:rsid w:val="00666F1E"/>
    <w:rsid w:val="00683DCE"/>
    <w:rsid w:val="00691238"/>
    <w:rsid w:val="006A1BF5"/>
    <w:rsid w:val="006A4C95"/>
    <w:rsid w:val="006A6EAF"/>
    <w:rsid w:val="006B08CC"/>
    <w:rsid w:val="006B229D"/>
    <w:rsid w:val="006B2B35"/>
    <w:rsid w:val="006C2956"/>
    <w:rsid w:val="006C3F38"/>
    <w:rsid w:val="006C6EA6"/>
    <w:rsid w:val="006D61F9"/>
    <w:rsid w:val="006E460B"/>
    <w:rsid w:val="006E7FCF"/>
    <w:rsid w:val="006F5A22"/>
    <w:rsid w:val="006F6127"/>
    <w:rsid w:val="00700BF0"/>
    <w:rsid w:val="00727224"/>
    <w:rsid w:val="00741DB9"/>
    <w:rsid w:val="00765B7D"/>
    <w:rsid w:val="00775E4D"/>
    <w:rsid w:val="00797F15"/>
    <w:rsid w:val="007A2C8A"/>
    <w:rsid w:val="007C2904"/>
    <w:rsid w:val="007D3592"/>
    <w:rsid w:val="007D45D8"/>
    <w:rsid w:val="007F385D"/>
    <w:rsid w:val="00801453"/>
    <w:rsid w:val="00811F00"/>
    <w:rsid w:val="00813158"/>
    <w:rsid w:val="00820118"/>
    <w:rsid w:val="008243F7"/>
    <w:rsid w:val="00824B5F"/>
    <w:rsid w:val="00843D7D"/>
    <w:rsid w:val="00843E6A"/>
    <w:rsid w:val="0085657F"/>
    <w:rsid w:val="00857155"/>
    <w:rsid w:val="008576A0"/>
    <w:rsid w:val="00857AE3"/>
    <w:rsid w:val="00875252"/>
    <w:rsid w:val="008838AB"/>
    <w:rsid w:val="008B3FF8"/>
    <w:rsid w:val="008B4BDF"/>
    <w:rsid w:val="008C57A9"/>
    <w:rsid w:val="008E570A"/>
    <w:rsid w:val="008E713B"/>
    <w:rsid w:val="008F76B3"/>
    <w:rsid w:val="009142FC"/>
    <w:rsid w:val="00925AAE"/>
    <w:rsid w:val="00927AB4"/>
    <w:rsid w:val="009324CB"/>
    <w:rsid w:val="00934520"/>
    <w:rsid w:val="00940B2F"/>
    <w:rsid w:val="009543BA"/>
    <w:rsid w:val="009573FD"/>
    <w:rsid w:val="0096689E"/>
    <w:rsid w:val="00971A2B"/>
    <w:rsid w:val="00971E63"/>
    <w:rsid w:val="0099017F"/>
    <w:rsid w:val="009975D3"/>
    <w:rsid w:val="009A5206"/>
    <w:rsid w:val="009B3772"/>
    <w:rsid w:val="009B6557"/>
    <w:rsid w:val="009C687A"/>
    <w:rsid w:val="009E1950"/>
    <w:rsid w:val="009E3DD3"/>
    <w:rsid w:val="009F2770"/>
    <w:rsid w:val="009F67FA"/>
    <w:rsid w:val="00A07FDD"/>
    <w:rsid w:val="00A161ED"/>
    <w:rsid w:val="00A16688"/>
    <w:rsid w:val="00A203E6"/>
    <w:rsid w:val="00A26F7A"/>
    <w:rsid w:val="00A32AF0"/>
    <w:rsid w:val="00A41C83"/>
    <w:rsid w:val="00A421D1"/>
    <w:rsid w:val="00A45881"/>
    <w:rsid w:val="00A605F6"/>
    <w:rsid w:val="00A70F28"/>
    <w:rsid w:val="00A7134A"/>
    <w:rsid w:val="00A80BE8"/>
    <w:rsid w:val="00A839F2"/>
    <w:rsid w:val="00A844AC"/>
    <w:rsid w:val="00AA6866"/>
    <w:rsid w:val="00AB04C2"/>
    <w:rsid w:val="00AD0FD6"/>
    <w:rsid w:val="00AD198E"/>
    <w:rsid w:val="00AD5488"/>
    <w:rsid w:val="00AE5875"/>
    <w:rsid w:val="00AF047B"/>
    <w:rsid w:val="00AF079B"/>
    <w:rsid w:val="00AF219E"/>
    <w:rsid w:val="00B073C5"/>
    <w:rsid w:val="00B14EB5"/>
    <w:rsid w:val="00B30DE5"/>
    <w:rsid w:val="00B46327"/>
    <w:rsid w:val="00B534D8"/>
    <w:rsid w:val="00B76346"/>
    <w:rsid w:val="00B95C07"/>
    <w:rsid w:val="00BA1363"/>
    <w:rsid w:val="00BA75BA"/>
    <w:rsid w:val="00BB057B"/>
    <w:rsid w:val="00BB1638"/>
    <w:rsid w:val="00BB3391"/>
    <w:rsid w:val="00BD0146"/>
    <w:rsid w:val="00BF47F8"/>
    <w:rsid w:val="00C10B25"/>
    <w:rsid w:val="00C1578F"/>
    <w:rsid w:val="00C452D2"/>
    <w:rsid w:val="00C545A9"/>
    <w:rsid w:val="00C61A6B"/>
    <w:rsid w:val="00C656C7"/>
    <w:rsid w:val="00C668A0"/>
    <w:rsid w:val="00C70136"/>
    <w:rsid w:val="00C710ED"/>
    <w:rsid w:val="00C80D04"/>
    <w:rsid w:val="00C81C12"/>
    <w:rsid w:val="00CB7542"/>
    <w:rsid w:val="00CC5A6B"/>
    <w:rsid w:val="00CC712A"/>
    <w:rsid w:val="00CC73A9"/>
    <w:rsid w:val="00CE35FE"/>
    <w:rsid w:val="00CF7373"/>
    <w:rsid w:val="00D007D0"/>
    <w:rsid w:val="00D03190"/>
    <w:rsid w:val="00D05CD0"/>
    <w:rsid w:val="00D243C6"/>
    <w:rsid w:val="00D43022"/>
    <w:rsid w:val="00D45AF9"/>
    <w:rsid w:val="00D50064"/>
    <w:rsid w:val="00D53E48"/>
    <w:rsid w:val="00D92B1D"/>
    <w:rsid w:val="00DA777B"/>
    <w:rsid w:val="00DC0B43"/>
    <w:rsid w:val="00DE28D3"/>
    <w:rsid w:val="00DE7AF8"/>
    <w:rsid w:val="00DF49A9"/>
    <w:rsid w:val="00DF4E13"/>
    <w:rsid w:val="00DF55CD"/>
    <w:rsid w:val="00E105F6"/>
    <w:rsid w:val="00E2093E"/>
    <w:rsid w:val="00E23745"/>
    <w:rsid w:val="00E23790"/>
    <w:rsid w:val="00E26901"/>
    <w:rsid w:val="00E43B2E"/>
    <w:rsid w:val="00E61475"/>
    <w:rsid w:val="00E70890"/>
    <w:rsid w:val="00E82CC8"/>
    <w:rsid w:val="00E874CE"/>
    <w:rsid w:val="00E9656E"/>
    <w:rsid w:val="00EB5525"/>
    <w:rsid w:val="00EC082B"/>
    <w:rsid w:val="00F13DD0"/>
    <w:rsid w:val="00F14AD5"/>
    <w:rsid w:val="00F17E6A"/>
    <w:rsid w:val="00F243FB"/>
    <w:rsid w:val="00F30CE6"/>
    <w:rsid w:val="00F54398"/>
    <w:rsid w:val="00F73C35"/>
    <w:rsid w:val="00F7651A"/>
    <w:rsid w:val="00F80EAA"/>
    <w:rsid w:val="00F8431C"/>
    <w:rsid w:val="00F84953"/>
    <w:rsid w:val="00F86F55"/>
    <w:rsid w:val="00F93B6B"/>
    <w:rsid w:val="00FA2B28"/>
    <w:rsid w:val="00FB1E77"/>
    <w:rsid w:val="00FB41AD"/>
    <w:rsid w:val="00FC62E0"/>
    <w:rsid w:val="00FD204B"/>
    <w:rsid w:val="00FF47EF"/>
    <w:rsid w:val="00FF6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07435"/>
  <w15:docId w15:val="{5BCB748D-AC09-4B13-ADC2-A2DC01E6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both"/>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b/>
    </w:rPr>
  </w:style>
  <w:style w:type="paragraph" w:styleId="Pagrindinistekstas2">
    <w:name w:val="Body Text 2"/>
    <w:basedOn w:val="prastasis"/>
    <w:pPr>
      <w:jc w:val="both"/>
    </w:pPr>
  </w:style>
  <w:style w:type="paragraph" w:styleId="Porat">
    <w:name w:val="footer"/>
    <w:basedOn w:val="prastasis"/>
    <w:rsid w:val="000A4A74"/>
    <w:pPr>
      <w:tabs>
        <w:tab w:val="center" w:pos="4819"/>
        <w:tab w:val="right" w:pos="9638"/>
      </w:tabs>
    </w:pPr>
  </w:style>
  <w:style w:type="character" w:styleId="Puslapionumeris">
    <w:name w:val="page number"/>
    <w:basedOn w:val="Numatytasispastraiposriftas"/>
    <w:rsid w:val="000A4A74"/>
  </w:style>
  <w:style w:type="character" w:styleId="Komentaronuoroda">
    <w:name w:val="annotation reference"/>
    <w:uiPriority w:val="99"/>
    <w:semiHidden/>
    <w:unhideWhenUsed/>
    <w:rsid w:val="00700BF0"/>
    <w:rPr>
      <w:sz w:val="16"/>
      <w:szCs w:val="16"/>
    </w:rPr>
  </w:style>
  <w:style w:type="paragraph" w:styleId="Komentarotekstas">
    <w:name w:val="annotation text"/>
    <w:basedOn w:val="prastasis"/>
    <w:link w:val="KomentarotekstasDiagrama"/>
    <w:uiPriority w:val="99"/>
    <w:semiHidden/>
    <w:unhideWhenUsed/>
    <w:rsid w:val="00700BF0"/>
    <w:rPr>
      <w:sz w:val="20"/>
      <w:lang w:eastAsia="en-US"/>
    </w:rPr>
  </w:style>
  <w:style w:type="character" w:customStyle="1" w:styleId="KomentarotekstasDiagrama">
    <w:name w:val="Komentaro tekstas Diagrama"/>
    <w:link w:val="Komentarotekstas"/>
    <w:uiPriority w:val="99"/>
    <w:semiHidden/>
    <w:rsid w:val="00700BF0"/>
    <w:rPr>
      <w:lang w:val="lt-LT" w:eastAsia="en-US" w:bidi="ar-SA"/>
    </w:rPr>
  </w:style>
  <w:style w:type="paragraph" w:styleId="Debesliotekstas">
    <w:name w:val="Balloon Text"/>
    <w:basedOn w:val="prastasis"/>
    <w:semiHidden/>
    <w:rsid w:val="00700BF0"/>
    <w:rPr>
      <w:rFonts w:ascii="Tahoma" w:hAnsi="Tahoma" w:cs="Tahoma"/>
      <w:sz w:val="16"/>
      <w:szCs w:val="16"/>
    </w:rPr>
  </w:style>
  <w:style w:type="paragraph" w:styleId="prastasiniatinklio">
    <w:name w:val="Normal (Web)"/>
    <w:basedOn w:val="prastasis"/>
    <w:rsid w:val="005C184A"/>
    <w:pPr>
      <w:spacing w:before="100" w:beforeAutospacing="1" w:after="100" w:afterAutospacing="1"/>
    </w:pPr>
    <w:rPr>
      <w:szCs w:val="24"/>
    </w:rPr>
  </w:style>
  <w:style w:type="paragraph" w:styleId="Antrats">
    <w:name w:val="header"/>
    <w:basedOn w:val="prastasis"/>
    <w:link w:val="AntratsDiagrama"/>
    <w:rsid w:val="005C184A"/>
    <w:pPr>
      <w:tabs>
        <w:tab w:val="center" w:pos="4320"/>
        <w:tab w:val="right" w:pos="8640"/>
      </w:tabs>
    </w:pPr>
    <w:rPr>
      <w:sz w:val="20"/>
      <w:lang w:eastAsia="en-US"/>
    </w:rPr>
  </w:style>
  <w:style w:type="character" w:customStyle="1" w:styleId="AntratsDiagrama">
    <w:name w:val="Antraštės Diagrama"/>
    <w:link w:val="Antrats"/>
    <w:rsid w:val="005C184A"/>
    <w:rPr>
      <w:lang w:val="lt-LT" w:eastAsia="en-US" w:bidi="ar-SA"/>
    </w:rPr>
  </w:style>
  <w:style w:type="character" w:styleId="Grietas">
    <w:name w:val="Strong"/>
    <w:qFormat/>
    <w:rsid w:val="00CB7542"/>
    <w:rPr>
      <w:b/>
      <w:bCs/>
    </w:rPr>
  </w:style>
  <w:style w:type="paragraph" w:styleId="Komentarotema">
    <w:name w:val="annotation subject"/>
    <w:basedOn w:val="Komentarotekstas"/>
    <w:next w:val="Komentarotekstas"/>
    <w:semiHidden/>
    <w:rsid w:val="006A1BF5"/>
    <w:rPr>
      <w:b/>
      <w:bCs/>
      <w:lang w:eastAsia="lt-LT"/>
    </w:rPr>
  </w:style>
  <w:style w:type="character" w:customStyle="1" w:styleId="datadiena">
    <w:name w:val="datadiena"/>
    <w:basedOn w:val="Numatytasispastraiposriftas"/>
    <w:rsid w:val="00527AC4"/>
  </w:style>
  <w:style w:type="character" w:styleId="Emfaz">
    <w:name w:val="Emphasis"/>
    <w:qFormat/>
    <w:rsid w:val="000E0862"/>
    <w:rPr>
      <w:i/>
      <w:iCs/>
    </w:rPr>
  </w:style>
  <w:style w:type="paragraph" w:customStyle="1" w:styleId="preformatted">
    <w:name w:val="preformatted"/>
    <w:basedOn w:val="prastasis"/>
    <w:rsid w:val="00A80BE8"/>
    <w:pPr>
      <w:snapToGrid w:val="0"/>
    </w:pPr>
    <w:rPr>
      <w:rFonts w:ascii="Courier New" w:hAnsi="Courier New" w:cs="Courier New"/>
      <w:sz w:val="20"/>
    </w:rPr>
  </w:style>
  <w:style w:type="paragraph" w:customStyle="1" w:styleId="CM4">
    <w:name w:val="CM4"/>
    <w:basedOn w:val="prastasis"/>
    <w:next w:val="prastasis"/>
    <w:uiPriority w:val="99"/>
    <w:rsid w:val="00B30DE5"/>
    <w:pPr>
      <w:autoSpaceDE w:val="0"/>
      <w:autoSpaceDN w:val="0"/>
      <w:adjustRightInd w:val="0"/>
    </w:pPr>
    <w:rPr>
      <w:rFonts w:ascii="EUAlbertina" w:eastAsia="Calibri" w:hAnsi="EUAlbertina"/>
      <w:szCs w:val="24"/>
      <w:lang w:eastAsia="en-US"/>
    </w:rPr>
  </w:style>
  <w:style w:type="paragraph" w:customStyle="1" w:styleId="tajtip">
    <w:name w:val="tajtip"/>
    <w:basedOn w:val="prastasis"/>
    <w:uiPriority w:val="99"/>
    <w:rsid w:val="006E460B"/>
    <w:pPr>
      <w:spacing w:before="100" w:beforeAutospacing="1" w:after="100" w:afterAutospacing="1"/>
    </w:pPr>
    <w:rPr>
      <w:szCs w:val="24"/>
    </w:rPr>
  </w:style>
  <w:style w:type="paragraph" w:customStyle="1" w:styleId="tactin">
    <w:name w:val="tactin"/>
    <w:basedOn w:val="prastasis"/>
    <w:uiPriority w:val="99"/>
    <w:rsid w:val="006E460B"/>
    <w:pPr>
      <w:spacing w:before="100" w:beforeAutospacing="1" w:after="100" w:afterAutospacing="1"/>
    </w:pPr>
    <w:rPr>
      <w:szCs w:val="24"/>
    </w:rPr>
  </w:style>
  <w:style w:type="paragraph" w:customStyle="1" w:styleId="Preformatted0">
    <w:name w:val="Preformatted"/>
    <w:basedOn w:val="prastasis"/>
    <w:uiPriority w:val="99"/>
    <w:rsid w:val="00A421D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styleId="Hipersaitas">
    <w:name w:val="Hyperlink"/>
    <w:uiPriority w:val="99"/>
    <w:unhideWhenUsed/>
    <w:rsid w:val="00AD5488"/>
    <w:rPr>
      <w:strike w:val="0"/>
      <w:dstrike w:val="0"/>
      <w:color w:val="0000FF"/>
      <w:u w:val="none"/>
      <w:effect w:val="none"/>
    </w:rPr>
  </w:style>
  <w:style w:type="paragraph" w:styleId="Pataisymai">
    <w:name w:val="Revision"/>
    <w:hidden/>
    <w:uiPriority w:val="99"/>
    <w:semiHidden/>
    <w:rsid w:val="005049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6898">
      <w:bodyDiv w:val="1"/>
      <w:marLeft w:val="0"/>
      <w:marRight w:val="0"/>
      <w:marTop w:val="0"/>
      <w:marBottom w:val="0"/>
      <w:divBdr>
        <w:top w:val="none" w:sz="0" w:space="0" w:color="auto"/>
        <w:left w:val="none" w:sz="0" w:space="0" w:color="auto"/>
        <w:bottom w:val="none" w:sz="0" w:space="0" w:color="auto"/>
        <w:right w:val="none" w:sz="0" w:space="0" w:color="auto"/>
      </w:divBdr>
    </w:div>
    <w:div w:id="361127772">
      <w:bodyDiv w:val="1"/>
      <w:marLeft w:val="0"/>
      <w:marRight w:val="0"/>
      <w:marTop w:val="0"/>
      <w:marBottom w:val="0"/>
      <w:divBdr>
        <w:top w:val="none" w:sz="0" w:space="0" w:color="auto"/>
        <w:left w:val="none" w:sz="0" w:space="0" w:color="auto"/>
        <w:bottom w:val="none" w:sz="0" w:space="0" w:color="auto"/>
        <w:right w:val="none" w:sz="0" w:space="0" w:color="auto"/>
      </w:divBdr>
    </w:div>
    <w:div w:id="516231695">
      <w:bodyDiv w:val="1"/>
      <w:marLeft w:val="0"/>
      <w:marRight w:val="0"/>
      <w:marTop w:val="0"/>
      <w:marBottom w:val="0"/>
      <w:divBdr>
        <w:top w:val="none" w:sz="0" w:space="0" w:color="auto"/>
        <w:left w:val="none" w:sz="0" w:space="0" w:color="auto"/>
        <w:bottom w:val="none" w:sz="0" w:space="0" w:color="auto"/>
        <w:right w:val="none" w:sz="0" w:space="0" w:color="auto"/>
      </w:divBdr>
    </w:div>
    <w:div w:id="603222754">
      <w:bodyDiv w:val="1"/>
      <w:marLeft w:val="0"/>
      <w:marRight w:val="0"/>
      <w:marTop w:val="0"/>
      <w:marBottom w:val="0"/>
      <w:divBdr>
        <w:top w:val="none" w:sz="0" w:space="0" w:color="auto"/>
        <w:left w:val="none" w:sz="0" w:space="0" w:color="auto"/>
        <w:bottom w:val="none" w:sz="0" w:space="0" w:color="auto"/>
        <w:right w:val="none" w:sz="0" w:space="0" w:color="auto"/>
      </w:divBdr>
      <w:divsChild>
        <w:div w:id="338392662">
          <w:marLeft w:val="0"/>
          <w:marRight w:val="0"/>
          <w:marTop w:val="0"/>
          <w:marBottom w:val="0"/>
          <w:divBdr>
            <w:top w:val="none" w:sz="0" w:space="0" w:color="auto"/>
            <w:left w:val="none" w:sz="0" w:space="0" w:color="auto"/>
            <w:bottom w:val="none" w:sz="0" w:space="0" w:color="auto"/>
            <w:right w:val="none" w:sz="0" w:space="0" w:color="auto"/>
          </w:divBdr>
        </w:div>
        <w:div w:id="1972593623">
          <w:marLeft w:val="0"/>
          <w:marRight w:val="0"/>
          <w:marTop w:val="0"/>
          <w:marBottom w:val="0"/>
          <w:divBdr>
            <w:top w:val="none" w:sz="0" w:space="0" w:color="auto"/>
            <w:left w:val="none" w:sz="0" w:space="0" w:color="auto"/>
            <w:bottom w:val="none" w:sz="0" w:space="0" w:color="auto"/>
            <w:right w:val="none" w:sz="0" w:space="0" w:color="auto"/>
          </w:divBdr>
        </w:div>
        <w:div w:id="1211499936">
          <w:marLeft w:val="0"/>
          <w:marRight w:val="0"/>
          <w:marTop w:val="0"/>
          <w:marBottom w:val="0"/>
          <w:divBdr>
            <w:top w:val="none" w:sz="0" w:space="0" w:color="auto"/>
            <w:left w:val="none" w:sz="0" w:space="0" w:color="auto"/>
            <w:bottom w:val="none" w:sz="0" w:space="0" w:color="auto"/>
            <w:right w:val="none" w:sz="0" w:space="0" w:color="auto"/>
          </w:divBdr>
        </w:div>
        <w:div w:id="1537740376">
          <w:marLeft w:val="0"/>
          <w:marRight w:val="0"/>
          <w:marTop w:val="0"/>
          <w:marBottom w:val="0"/>
          <w:divBdr>
            <w:top w:val="none" w:sz="0" w:space="0" w:color="auto"/>
            <w:left w:val="none" w:sz="0" w:space="0" w:color="auto"/>
            <w:bottom w:val="none" w:sz="0" w:space="0" w:color="auto"/>
            <w:right w:val="none" w:sz="0" w:space="0" w:color="auto"/>
          </w:divBdr>
        </w:div>
        <w:div w:id="1294361013">
          <w:marLeft w:val="0"/>
          <w:marRight w:val="0"/>
          <w:marTop w:val="0"/>
          <w:marBottom w:val="0"/>
          <w:divBdr>
            <w:top w:val="none" w:sz="0" w:space="0" w:color="auto"/>
            <w:left w:val="none" w:sz="0" w:space="0" w:color="auto"/>
            <w:bottom w:val="none" w:sz="0" w:space="0" w:color="auto"/>
            <w:right w:val="none" w:sz="0" w:space="0" w:color="auto"/>
          </w:divBdr>
        </w:div>
        <w:div w:id="182911631">
          <w:marLeft w:val="0"/>
          <w:marRight w:val="0"/>
          <w:marTop w:val="0"/>
          <w:marBottom w:val="0"/>
          <w:divBdr>
            <w:top w:val="none" w:sz="0" w:space="0" w:color="auto"/>
            <w:left w:val="none" w:sz="0" w:space="0" w:color="auto"/>
            <w:bottom w:val="none" w:sz="0" w:space="0" w:color="auto"/>
            <w:right w:val="none" w:sz="0" w:space="0" w:color="auto"/>
          </w:divBdr>
        </w:div>
      </w:divsChild>
    </w:div>
    <w:div w:id="1108083138">
      <w:bodyDiv w:val="1"/>
      <w:marLeft w:val="0"/>
      <w:marRight w:val="0"/>
      <w:marTop w:val="0"/>
      <w:marBottom w:val="0"/>
      <w:divBdr>
        <w:top w:val="none" w:sz="0" w:space="0" w:color="auto"/>
        <w:left w:val="none" w:sz="0" w:space="0" w:color="auto"/>
        <w:bottom w:val="none" w:sz="0" w:space="0" w:color="auto"/>
        <w:right w:val="none" w:sz="0" w:space="0" w:color="auto"/>
      </w:divBdr>
      <w:divsChild>
        <w:div w:id="330913920">
          <w:marLeft w:val="0"/>
          <w:marRight w:val="0"/>
          <w:marTop w:val="0"/>
          <w:marBottom w:val="0"/>
          <w:divBdr>
            <w:top w:val="none" w:sz="0" w:space="0" w:color="auto"/>
            <w:left w:val="none" w:sz="0" w:space="0" w:color="auto"/>
            <w:bottom w:val="none" w:sz="0" w:space="0" w:color="auto"/>
            <w:right w:val="none" w:sz="0" w:space="0" w:color="auto"/>
          </w:divBdr>
        </w:div>
        <w:div w:id="1262949835">
          <w:marLeft w:val="0"/>
          <w:marRight w:val="0"/>
          <w:marTop w:val="0"/>
          <w:marBottom w:val="0"/>
          <w:divBdr>
            <w:top w:val="none" w:sz="0" w:space="0" w:color="auto"/>
            <w:left w:val="none" w:sz="0" w:space="0" w:color="auto"/>
            <w:bottom w:val="none" w:sz="0" w:space="0" w:color="auto"/>
            <w:right w:val="none" w:sz="0" w:space="0" w:color="auto"/>
          </w:divBdr>
        </w:div>
        <w:div w:id="463012155">
          <w:marLeft w:val="0"/>
          <w:marRight w:val="0"/>
          <w:marTop w:val="0"/>
          <w:marBottom w:val="0"/>
          <w:divBdr>
            <w:top w:val="none" w:sz="0" w:space="0" w:color="auto"/>
            <w:left w:val="none" w:sz="0" w:space="0" w:color="auto"/>
            <w:bottom w:val="none" w:sz="0" w:space="0" w:color="auto"/>
            <w:right w:val="none" w:sz="0" w:space="0" w:color="auto"/>
          </w:divBdr>
        </w:div>
      </w:divsChild>
    </w:div>
    <w:div w:id="1172791913">
      <w:bodyDiv w:val="1"/>
      <w:marLeft w:val="0"/>
      <w:marRight w:val="0"/>
      <w:marTop w:val="0"/>
      <w:marBottom w:val="0"/>
      <w:divBdr>
        <w:top w:val="none" w:sz="0" w:space="0" w:color="auto"/>
        <w:left w:val="none" w:sz="0" w:space="0" w:color="auto"/>
        <w:bottom w:val="none" w:sz="0" w:space="0" w:color="auto"/>
        <w:right w:val="none" w:sz="0" w:space="0" w:color="auto"/>
      </w:divBdr>
    </w:div>
    <w:div w:id="1687637659">
      <w:bodyDiv w:val="1"/>
      <w:marLeft w:val="0"/>
      <w:marRight w:val="0"/>
      <w:marTop w:val="0"/>
      <w:marBottom w:val="0"/>
      <w:divBdr>
        <w:top w:val="none" w:sz="0" w:space="0" w:color="auto"/>
        <w:left w:val="none" w:sz="0" w:space="0" w:color="auto"/>
        <w:bottom w:val="none" w:sz="0" w:space="0" w:color="auto"/>
        <w:right w:val="none" w:sz="0" w:space="0" w:color="auto"/>
      </w:divBdr>
      <w:divsChild>
        <w:div w:id="1487475279">
          <w:marLeft w:val="0"/>
          <w:marRight w:val="0"/>
          <w:marTop w:val="0"/>
          <w:marBottom w:val="0"/>
          <w:divBdr>
            <w:top w:val="none" w:sz="0" w:space="0" w:color="auto"/>
            <w:left w:val="none" w:sz="0" w:space="0" w:color="auto"/>
            <w:bottom w:val="none" w:sz="0" w:space="0" w:color="auto"/>
            <w:right w:val="none" w:sz="0" w:space="0" w:color="auto"/>
          </w:divBdr>
        </w:div>
        <w:div w:id="2053380167">
          <w:marLeft w:val="0"/>
          <w:marRight w:val="0"/>
          <w:marTop w:val="0"/>
          <w:marBottom w:val="0"/>
          <w:divBdr>
            <w:top w:val="none" w:sz="0" w:space="0" w:color="auto"/>
            <w:left w:val="none" w:sz="0" w:space="0" w:color="auto"/>
            <w:bottom w:val="none" w:sz="0" w:space="0" w:color="auto"/>
            <w:right w:val="none" w:sz="0" w:space="0" w:color="auto"/>
          </w:divBdr>
        </w:div>
      </w:divsChild>
    </w:div>
    <w:div w:id="1769504131">
      <w:bodyDiv w:val="1"/>
      <w:marLeft w:val="0"/>
      <w:marRight w:val="0"/>
      <w:marTop w:val="0"/>
      <w:marBottom w:val="0"/>
      <w:divBdr>
        <w:top w:val="none" w:sz="0" w:space="0" w:color="auto"/>
        <w:left w:val="none" w:sz="0" w:space="0" w:color="auto"/>
        <w:bottom w:val="none" w:sz="0" w:space="0" w:color="auto"/>
        <w:right w:val="none" w:sz="0" w:space="0" w:color="auto"/>
      </w:divBdr>
    </w:div>
    <w:div w:id="1845195524">
      <w:bodyDiv w:val="1"/>
      <w:marLeft w:val="0"/>
      <w:marRight w:val="0"/>
      <w:marTop w:val="0"/>
      <w:marBottom w:val="0"/>
      <w:divBdr>
        <w:top w:val="none" w:sz="0" w:space="0" w:color="auto"/>
        <w:left w:val="none" w:sz="0" w:space="0" w:color="auto"/>
        <w:bottom w:val="none" w:sz="0" w:space="0" w:color="auto"/>
        <w:right w:val="none" w:sz="0" w:space="0" w:color="auto"/>
      </w:divBdr>
      <w:divsChild>
        <w:div w:id="37624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3287</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2004/77/EB IR NACIONALINIŲ TEISĖS AKTŲ ATITIKTIES LENTELĖ</vt:lpstr>
      <vt:lpstr>DIREKTYVOS 2004/77/EB IR NACIONALINIŲ TEISĖS AKTŲ ATITIKTIES LENTELĖ</vt:lpstr>
    </vt:vector>
  </TitlesOfParts>
  <Company>Respublikinis Mitybos Centras</Company>
  <LinksUpToDate>false</LinksUpToDate>
  <CharactersWithSpaces>5152</CharactersWithSpaces>
  <SharedDoc>false</SharedDoc>
  <HLinks>
    <vt:vector size="6" baseType="variant">
      <vt:variant>
        <vt:i4>2949179</vt:i4>
      </vt:variant>
      <vt:variant>
        <vt:i4>0</vt:i4>
      </vt:variant>
      <vt:variant>
        <vt:i4>0</vt:i4>
      </vt:variant>
      <vt:variant>
        <vt:i4>5</vt:i4>
      </vt:variant>
      <vt:variant>
        <vt:lpwstr>http://www.infolex.lt/ta/78169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2019-03-19T08:06:00Z</dcterms:created>
  <dc:creator>m01869</dc:creator>
  <cp:lastModifiedBy>Nelė Zuj</cp:lastModifiedBy>
  <cp:lastPrinted>2012-03-08T10:28:00Z</cp:lastPrinted>
  <dcterms:modified xsi:type="dcterms:W3CDTF">2019-03-19T08:06:00Z</dcterms:modified>
  <cp:revision>2</cp:revision>
  <dc:title>DIREKTYVOS 2004/77/EB IR NACIONALINIŲ TEISĖS AKTŲ ATITIKTIES LENTELĖ</dc:title>
</cp:coreProperties>
</file>