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089424C2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4B75713" w14:textId="77777777" w:rsidR="00033F22" w:rsidRDefault="00033F22" w:rsidP="00F5548F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CB007C">
              <w:t>20</w:t>
            </w:r>
            <w:r>
              <w:t>-</w:t>
            </w:r>
            <w:r w:rsidR="00C261BD">
              <w:t>0</w:t>
            </w:r>
            <w:r w:rsidR="00F5548F">
              <w:t>6</w:t>
            </w:r>
            <w:r>
              <w:t>-</w:t>
            </w:r>
            <w:r w:rsidR="009127B2">
              <w:t xml:space="preserve">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14:paraId="25F89ADD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3652EA70" w14:textId="77777777" w:rsidR="00033F22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p w14:paraId="4D59D166" w14:textId="77777777" w:rsidR="00E75D83" w:rsidRDefault="00C261BD" w:rsidP="00E75D83">
      <w:pPr>
        <w:pStyle w:val="Adresas"/>
      </w:pPr>
      <w:r>
        <w:t>Finansų ministerijai</w:t>
      </w:r>
    </w:p>
    <w:p w14:paraId="09C309FA" w14:textId="77777777" w:rsidR="00E75D83" w:rsidRDefault="00E75D83" w:rsidP="00E75D83">
      <w:pPr>
        <w:pStyle w:val="Adresas"/>
      </w:pPr>
    </w:p>
    <w:p w14:paraId="1A628015" w14:textId="77777777" w:rsidR="00E75D83" w:rsidRDefault="00E75D83" w:rsidP="00E75D83">
      <w:pPr>
        <w:pStyle w:val="Adresas"/>
      </w:pPr>
    </w:p>
    <w:p w14:paraId="4FD86B50" w14:textId="77777777" w:rsidR="009127B2" w:rsidRPr="009127B2" w:rsidRDefault="009127B2" w:rsidP="009127B2">
      <w:pPr>
        <w:pStyle w:val="Kopija"/>
        <w:ind w:right="279"/>
        <w:jc w:val="both"/>
        <w:rPr>
          <w:b/>
          <w:lang w:eastAsia="en-US"/>
        </w:rPr>
      </w:pPr>
      <w:r w:rsidRPr="009127B2">
        <w:rPr>
          <w:b/>
          <w:lang w:eastAsia="en-US"/>
        </w:rPr>
        <w:t>DĖL 20</w:t>
      </w:r>
      <w:r w:rsidR="00CB007C">
        <w:rPr>
          <w:b/>
          <w:lang w:eastAsia="en-US"/>
        </w:rPr>
        <w:t>20</w:t>
      </w:r>
      <w:r w:rsidRPr="009127B2">
        <w:rPr>
          <w:b/>
          <w:lang w:eastAsia="en-US"/>
        </w:rPr>
        <w:t xml:space="preserve"> METŲ LIETUVOS RESPUBLIKOS VALSTYBĖS BIUDŽETO PATVIRTINTŲ ASIGNAVIMŲ PASKIRSTYMO PAGAL PROGRAMAS PATIKSLINIMO</w:t>
      </w:r>
    </w:p>
    <w:p w14:paraId="3C99B30E" w14:textId="77777777" w:rsidR="009127B2" w:rsidRPr="009127B2" w:rsidRDefault="009127B2" w:rsidP="009127B2">
      <w:pPr>
        <w:suppressAutoHyphens w:val="0"/>
        <w:jc w:val="both"/>
        <w:rPr>
          <w:b/>
          <w:lang w:eastAsia="en-US"/>
        </w:rPr>
      </w:pPr>
    </w:p>
    <w:p w14:paraId="6F76F580" w14:textId="77777777" w:rsidR="009127B2" w:rsidRDefault="009127B2" w:rsidP="008E50A5">
      <w:pPr>
        <w:suppressAutoHyphens w:val="0"/>
        <w:ind w:firstLine="1296"/>
        <w:jc w:val="both"/>
        <w:rPr>
          <w:lang w:eastAsia="en-US"/>
        </w:rPr>
      </w:pPr>
      <w:r w:rsidRPr="009127B2">
        <w:rPr>
          <w:noProof/>
        </w:rPr>
        <w:t>Teisingumo ministerija prašo patikslinti 20</w:t>
      </w:r>
      <w:r w:rsidR="00CB007C">
        <w:rPr>
          <w:noProof/>
        </w:rPr>
        <w:t>20</w:t>
      </w:r>
      <w:r w:rsidRPr="009127B2">
        <w:rPr>
          <w:noProof/>
        </w:rPr>
        <w:t xml:space="preserve"> metų Lietuvos Respublikos valstybės biudžeto patvirtintų asignavimų paskirstymą pagal programas, patvirtintą Lietuvos Respublikos Vyriausybės </w:t>
      </w:r>
      <w:r w:rsidRPr="00CB007C">
        <w:rPr>
          <w:noProof/>
        </w:rPr>
        <w:t>20</w:t>
      </w:r>
      <w:r w:rsidR="00CB007C" w:rsidRPr="00CB007C">
        <w:rPr>
          <w:noProof/>
        </w:rPr>
        <w:t>20</w:t>
      </w:r>
      <w:r w:rsidRPr="00CB007C">
        <w:rPr>
          <w:noProof/>
        </w:rPr>
        <w:t xml:space="preserve"> m. vasario 1</w:t>
      </w:r>
      <w:r w:rsidR="00CB007C" w:rsidRPr="00CB007C">
        <w:rPr>
          <w:noProof/>
        </w:rPr>
        <w:t>2</w:t>
      </w:r>
      <w:r w:rsidRPr="00CB007C">
        <w:rPr>
          <w:noProof/>
        </w:rPr>
        <w:t xml:space="preserve"> d. nutarimu Nr. 1</w:t>
      </w:r>
      <w:r w:rsidR="00CB007C" w:rsidRPr="00CB007C">
        <w:rPr>
          <w:noProof/>
        </w:rPr>
        <w:t>08</w:t>
      </w:r>
      <w:r w:rsidRPr="00CB007C">
        <w:rPr>
          <w:noProof/>
          <w:lang w:eastAsia="en-US"/>
        </w:rPr>
        <w:t xml:space="preserve"> </w:t>
      </w:r>
      <w:r w:rsidRPr="009127B2">
        <w:rPr>
          <w:noProof/>
          <w:lang w:eastAsia="en-US"/>
        </w:rPr>
        <w:t>„Dėl 20</w:t>
      </w:r>
      <w:r w:rsidR="00CB007C">
        <w:rPr>
          <w:noProof/>
          <w:lang w:eastAsia="en-US"/>
        </w:rPr>
        <w:t>20</w:t>
      </w:r>
      <w:r w:rsidRPr="009127B2">
        <w:rPr>
          <w:noProof/>
          <w:lang w:eastAsia="en-US"/>
        </w:rPr>
        <w:t xml:space="preserve"> metų Lietuvos Respublikos valstybės biudžeto patvirtintų asignavimų paskirstymo pagal programas“, </w:t>
      </w:r>
      <w:r w:rsidRPr="009127B2">
        <w:rPr>
          <w:lang w:eastAsia="en-US"/>
        </w:rPr>
        <w:t>nekeičiant bendros 20</w:t>
      </w:r>
      <w:r w:rsidR="00CB007C">
        <w:rPr>
          <w:lang w:eastAsia="en-US"/>
        </w:rPr>
        <w:t>20</w:t>
      </w:r>
      <w:r w:rsidRPr="009127B2">
        <w:rPr>
          <w:lang w:eastAsia="en-US"/>
        </w:rPr>
        <w:t xml:space="preserve"> m</w:t>
      </w:r>
      <w:r w:rsidR="00401036">
        <w:rPr>
          <w:lang w:eastAsia="en-US"/>
        </w:rPr>
        <w:t>etų</w:t>
      </w:r>
      <w:r w:rsidRPr="009127B2">
        <w:rPr>
          <w:lang w:eastAsia="en-US"/>
        </w:rPr>
        <w:t xml:space="preserve"> asignavimų sumos.</w:t>
      </w:r>
    </w:p>
    <w:p w14:paraId="41B53266" w14:textId="77777777" w:rsidR="001705BF" w:rsidRPr="00CB007C" w:rsidRDefault="00A26451" w:rsidP="008E50A5">
      <w:pPr>
        <w:suppressAutoHyphens w:val="0"/>
        <w:ind w:firstLine="1296"/>
        <w:jc w:val="both"/>
        <w:rPr>
          <w:color w:val="FF0000"/>
          <w:lang w:eastAsia="lt-LT"/>
        </w:rPr>
      </w:pPr>
      <w:r>
        <w:rPr>
          <w:lang w:eastAsia="en-US"/>
        </w:rPr>
        <w:t xml:space="preserve">Teisingumo ministerijai </w:t>
      </w:r>
      <w:r w:rsidRPr="00367F00">
        <w:rPr>
          <w:noProof/>
        </w:rPr>
        <w:t>03 01 „</w:t>
      </w:r>
      <w:r w:rsidRPr="00367F00">
        <w:t>Bausmių sistema“</w:t>
      </w:r>
      <w:r w:rsidRPr="00367F00">
        <w:rPr>
          <w:noProof/>
        </w:rPr>
        <w:t xml:space="preserve"> </w:t>
      </w:r>
      <w:r w:rsidRPr="008E50A5">
        <w:rPr>
          <w:lang w:eastAsia="en-US"/>
        </w:rPr>
        <w:t>priemon</w:t>
      </w:r>
      <w:r>
        <w:rPr>
          <w:lang w:eastAsia="en-US"/>
        </w:rPr>
        <w:t>ėje</w:t>
      </w:r>
      <w:r w:rsidRPr="008E50A5">
        <w:rPr>
          <w:lang w:eastAsia="en-US"/>
        </w:rPr>
        <w:t xml:space="preserve"> 03.001.01.03.09 „</w:t>
      </w:r>
      <w:r w:rsidRPr="001705BF">
        <w:rPr>
          <w:lang w:eastAsia="lt-LT"/>
        </w:rPr>
        <w:t>Pagal vykdytinus dokumentus atlyginti žalą dėl netinkamų kalinimo sąlygų</w:t>
      </w:r>
      <w:r w:rsidRPr="008E50A5">
        <w:rPr>
          <w:lang w:eastAsia="lt-LT"/>
        </w:rPr>
        <w:t>“</w:t>
      </w:r>
      <w:r w:rsidRPr="00A26451">
        <w:rPr>
          <w:noProof/>
          <w:color w:val="0070C0"/>
        </w:rPr>
        <w:t xml:space="preserve"> </w:t>
      </w:r>
      <w:r w:rsidRPr="00A26451">
        <w:rPr>
          <w:noProof/>
        </w:rPr>
        <w:t>2020 metams patvirtinti</w:t>
      </w:r>
      <w:r w:rsidR="00F5548F">
        <w:rPr>
          <w:noProof/>
        </w:rPr>
        <w:t xml:space="preserve"> </w:t>
      </w:r>
      <w:r w:rsidR="00F5548F" w:rsidRPr="00F5548F">
        <w:rPr>
          <w:b/>
          <w:i/>
          <w:noProof/>
        </w:rPr>
        <w:t>patikslinti</w:t>
      </w:r>
      <w:r w:rsidR="00F5548F">
        <w:rPr>
          <w:noProof/>
        </w:rPr>
        <w:t xml:space="preserve"> asignavimai - 602</w:t>
      </w:r>
      <w:r w:rsidRPr="00A26451">
        <w:rPr>
          <w:noProof/>
        </w:rPr>
        <w:t xml:space="preserve">,0 tūkst. Eur </w:t>
      </w:r>
      <w:r w:rsidRPr="00F5548F">
        <w:rPr>
          <w:noProof/>
        </w:rPr>
        <w:t xml:space="preserve">(atitinkamai - I ketv. – 181,0 tūkst. Eur; II ketv. – </w:t>
      </w:r>
      <w:r w:rsidR="00F5548F">
        <w:rPr>
          <w:noProof/>
        </w:rPr>
        <w:t>61</w:t>
      </w:r>
      <w:r w:rsidRPr="00F5548F">
        <w:rPr>
          <w:noProof/>
        </w:rPr>
        <w:t>,0 tūkst. Eur; III ketv. – 180,0 tūkst. Eur; IV ketv. – 180,0 tūkst. Eur).</w:t>
      </w:r>
      <w:r w:rsidRPr="00F5548F">
        <w:rPr>
          <w:noProof/>
          <w:color w:val="FF0000"/>
        </w:rPr>
        <w:t xml:space="preserve"> </w:t>
      </w:r>
      <w:r w:rsidR="00666C85" w:rsidRPr="00F5548F">
        <w:rPr>
          <w:noProof/>
        </w:rPr>
        <w:t>Įgyvendinant programos 03 01 „</w:t>
      </w:r>
      <w:r w:rsidR="00666C85" w:rsidRPr="00F5548F">
        <w:t>Bausmių sistema“</w:t>
      </w:r>
      <w:r w:rsidR="00666C85" w:rsidRPr="00F5548F">
        <w:rPr>
          <w:noProof/>
        </w:rPr>
        <w:t xml:space="preserve"> </w:t>
      </w:r>
      <w:r w:rsidR="00CB007C" w:rsidRPr="00F5548F">
        <w:rPr>
          <w:lang w:eastAsia="en-US"/>
        </w:rPr>
        <w:t>priemonę 03.001.01.03.09 „</w:t>
      </w:r>
      <w:r w:rsidR="00CB007C" w:rsidRPr="00F5548F">
        <w:rPr>
          <w:lang w:eastAsia="lt-LT"/>
        </w:rPr>
        <w:t xml:space="preserve">Pagal vykdytinus dokumentus atlyginti žalą dėl netinkamų kalinimo sąlygų“ ir </w:t>
      </w:r>
      <w:r w:rsidR="001705BF" w:rsidRPr="00F5548F">
        <w:rPr>
          <w:lang w:eastAsia="en-US"/>
        </w:rPr>
        <w:t>stebint žalų atlyginimo dėl netinkamų kalinimo sąlygų išmokėjimo tendencijas</w:t>
      </w:r>
      <w:r w:rsidR="00CB007C" w:rsidRPr="00F5548F">
        <w:rPr>
          <w:lang w:eastAsia="en-US"/>
        </w:rPr>
        <w:t xml:space="preserve"> </w:t>
      </w:r>
      <w:r w:rsidR="00F5548F" w:rsidRPr="00F5548F">
        <w:rPr>
          <w:lang w:eastAsia="en-US"/>
        </w:rPr>
        <w:t xml:space="preserve">per </w:t>
      </w:r>
      <w:r w:rsidRPr="00F5548F">
        <w:rPr>
          <w:lang w:eastAsia="en-US"/>
        </w:rPr>
        <w:t xml:space="preserve">š. m. </w:t>
      </w:r>
      <w:r w:rsidR="00F5548F" w:rsidRPr="00F5548F">
        <w:rPr>
          <w:lang w:eastAsia="en-US"/>
        </w:rPr>
        <w:t>I-II ketvirčius</w:t>
      </w:r>
      <w:r w:rsidR="00022FF3" w:rsidRPr="00F5548F">
        <w:rPr>
          <w:lang w:eastAsia="en-US"/>
        </w:rPr>
        <w:t xml:space="preserve"> panaudota </w:t>
      </w:r>
      <w:r w:rsidR="00FC78C5" w:rsidRPr="00F5548F">
        <w:rPr>
          <w:lang w:eastAsia="en-US"/>
        </w:rPr>
        <w:t>–</w:t>
      </w:r>
      <w:r w:rsidR="00480DCF" w:rsidRPr="00F5548F">
        <w:rPr>
          <w:lang w:eastAsia="en-US"/>
        </w:rPr>
        <w:t xml:space="preserve"> </w:t>
      </w:r>
      <w:r w:rsidR="00F5548F" w:rsidRPr="00F5548F">
        <w:rPr>
          <w:lang w:eastAsia="en-US"/>
        </w:rPr>
        <w:t>125</w:t>
      </w:r>
      <w:r w:rsidR="00022FF3" w:rsidRPr="00F5548F">
        <w:rPr>
          <w:lang w:eastAsia="en-US"/>
        </w:rPr>
        <w:t xml:space="preserve"> tūkst. eurų</w:t>
      </w:r>
      <w:r w:rsidR="001705BF" w:rsidRPr="00F5548F">
        <w:rPr>
          <w:lang w:eastAsia="en-US"/>
        </w:rPr>
        <w:t xml:space="preserve">, </w:t>
      </w:r>
      <w:r w:rsidR="001705BF" w:rsidRPr="008E50A5">
        <w:rPr>
          <w:lang w:eastAsia="en-US"/>
        </w:rPr>
        <w:t>ma</w:t>
      </w:r>
      <w:r w:rsidR="00CB007C">
        <w:rPr>
          <w:lang w:eastAsia="en-US"/>
        </w:rPr>
        <w:t>nytina,</w:t>
      </w:r>
      <w:r w:rsidR="001705BF" w:rsidRPr="008E50A5">
        <w:rPr>
          <w:lang w:eastAsia="en-US"/>
        </w:rPr>
        <w:t xml:space="preserve"> kad programos 03 01 „Bausmių sistema“ priemonėje 03.001.01.03.09 „</w:t>
      </w:r>
      <w:r w:rsidR="001705BF" w:rsidRPr="001705BF">
        <w:rPr>
          <w:lang w:eastAsia="lt-LT"/>
        </w:rPr>
        <w:t>Pagal vykdytinus dokumentus atlyginti žalą dėl netinkamų kalinimo sąlygų</w:t>
      </w:r>
      <w:r w:rsidR="001705BF" w:rsidRPr="008E50A5">
        <w:rPr>
          <w:lang w:eastAsia="lt-LT"/>
        </w:rPr>
        <w:t xml:space="preserve">“ </w:t>
      </w:r>
      <w:r w:rsidR="001705BF" w:rsidRPr="00A26451">
        <w:rPr>
          <w:lang w:eastAsia="lt-LT"/>
        </w:rPr>
        <w:t>susidarys lėšų ekonomija.</w:t>
      </w:r>
      <w:r w:rsidR="00A80EFF">
        <w:rPr>
          <w:lang w:eastAsia="lt-LT"/>
        </w:rPr>
        <w:t xml:space="preserve"> Manytina, kad įtakos faktiniam lėšų panaudojimui turėjo ir COVID-19 pandemijos laikotarpis ir aplinkybės.</w:t>
      </w:r>
      <w:r w:rsidR="001705BF" w:rsidRPr="00A26451">
        <w:rPr>
          <w:lang w:eastAsia="lt-LT"/>
        </w:rPr>
        <w:t xml:space="preserve"> </w:t>
      </w:r>
    </w:p>
    <w:p w14:paraId="5F5B597B" w14:textId="77777777" w:rsidR="00F5548F" w:rsidRDefault="00207097" w:rsidP="006D3DDF">
      <w:pPr>
        <w:ind w:firstLine="1429"/>
        <w:jc w:val="both"/>
        <w:rPr>
          <w:noProof/>
        </w:rPr>
      </w:pPr>
      <w:r w:rsidRPr="002B6057">
        <w:rPr>
          <w:noProof/>
        </w:rPr>
        <w:t xml:space="preserve">Teisingumo ministerijai </w:t>
      </w:r>
      <w:r>
        <w:rPr>
          <w:noProof/>
        </w:rPr>
        <w:t xml:space="preserve">programos </w:t>
      </w:r>
      <w:r w:rsidRPr="002B6057">
        <w:rPr>
          <w:noProof/>
        </w:rPr>
        <w:t>01 04 „Teisės sistema“ priemonėje 01.04.01.03.02 „Pagal vykdytinus dokumentus atlyginti asmenims turtinę ir neturtinę žalą, atsiradusią dėl valdžios institucijų neteisėtų veiksmų, ir atstovauti Lietuvos Respublikos interesams tarptautiniuose arbitražo teismuose“ 20</w:t>
      </w:r>
      <w:r>
        <w:rPr>
          <w:noProof/>
        </w:rPr>
        <w:t>20</w:t>
      </w:r>
      <w:r w:rsidRPr="002B6057">
        <w:rPr>
          <w:noProof/>
        </w:rPr>
        <w:t xml:space="preserve"> metams patvirtinti</w:t>
      </w:r>
      <w:r w:rsidR="00C71BEA">
        <w:rPr>
          <w:noProof/>
        </w:rPr>
        <w:t xml:space="preserve"> </w:t>
      </w:r>
      <w:r w:rsidR="00C71BEA" w:rsidRPr="00C71BEA">
        <w:rPr>
          <w:b/>
          <w:i/>
          <w:noProof/>
        </w:rPr>
        <w:t>patikslinti</w:t>
      </w:r>
      <w:r w:rsidRPr="002B6057">
        <w:rPr>
          <w:noProof/>
        </w:rPr>
        <w:t xml:space="preserve"> asignavimai</w:t>
      </w:r>
      <w:r>
        <w:rPr>
          <w:noProof/>
        </w:rPr>
        <w:t xml:space="preserve"> </w:t>
      </w:r>
      <w:r w:rsidRPr="002B6057">
        <w:rPr>
          <w:noProof/>
        </w:rPr>
        <w:t xml:space="preserve">- </w:t>
      </w:r>
      <w:r w:rsidR="00C71BEA">
        <w:rPr>
          <w:noProof/>
        </w:rPr>
        <w:t>429</w:t>
      </w:r>
      <w:r w:rsidRPr="002B6057">
        <w:rPr>
          <w:noProof/>
        </w:rPr>
        <w:t xml:space="preserve">,0 tūkst. Eur (atitinkamai - I ketv. – </w:t>
      </w:r>
      <w:r>
        <w:rPr>
          <w:noProof/>
        </w:rPr>
        <w:t>230</w:t>
      </w:r>
      <w:r w:rsidRPr="002B6057">
        <w:rPr>
          <w:noProof/>
        </w:rPr>
        <w:t xml:space="preserve">,0 tūkst. Eur; II ketv. – </w:t>
      </w:r>
      <w:r w:rsidR="00C71BEA">
        <w:rPr>
          <w:noProof/>
        </w:rPr>
        <w:t>150</w:t>
      </w:r>
      <w:r w:rsidRPr="002B6057">
        <w:rPr>
          <w:noProof/>
        </w:rPr>
        <w:t xml:space="preserve">,0 tūkst. Eur; III ketv. – </w:t>
      </w:r>
      <w:r>
        <w:rPr>
          <w:noProof/>
        </w:rPr>
        <w:t>3</w:t>
      </w:r>
      <w:r w:rsidRPr="002B6057">
        <w:rPr>
          <w:noProof/>
        </w:rPr>
        <w:t xml:space="preserve">0,0 tūkst. Eur; IV ketv. – </w:t>
      </w:r>
      <w:r>
        <w:rPr>
          <w:noProof/>
        </w:rPr>
        <w:t>1</w:t>
      </w:r>
      <w:r w:rsidRPr="002B6057">
        <w:rPr>
          <w:noProof/>
        </w:rPr>
        <w:t xml:space="preserve">9,0 tūkst. Eur). </w:t>
      </w:r>
      <w:r w:rsidRPr="006D3DDF">
        <w:rPr>
          <w:noProof/>
        </w:rPr>
        <w:t xml:space="preserve">Šiuo metu I ir II ketvirčių asignavimai jau yra panaudoti ir </w:t>
      </w:r>
      <w:r w:rsidRPr="00CA6A65">
        <w:rPr>
          <w:noProof/>
        </w:rPr>
        <w:t xml:space="preserve">š. m. </w:t>
      </w:r>
      <w:r w:rsidR="00C71BEA" w:rsidRPr="00CA6A65">
        <w:rPr>
          <w:noProof/>
        </w:rPr>
        <w:t xml:space="preserve">birželio </w:t>
      </w:r>
      <w:r w:rsidR="00CD494B" w:rsidRPr="00CA6A65">
        <w:rPr>
          <w:noProof/>
        </w:rPr>
        <w:t>5</w:t>
      </w:r>
      <w:r w:rsidR="00C71BEA" w:rsidRPr="00CA6A65">
        <w:rPr>
          <w:noProof/>
        </w:rPr>
        <w:t xml:space="preserve"> </w:t>
      </w:r>
      <w:r w:rsidRPr="00CA6A65">
        <w:rPr>
          <w:noProof/>
        </w:rPr>
        <w:t xml:space="preserve"> d. </w:t>
      </w:r>
      <w:r w:rsidR="00022FF3" w:rsidRPr="00CA6A65">
        <w:rPr>
          <w:noProof/>
        </w:rPr>
        <w:t>buvo</w:t>
      </w:r>
      <w:r w:rsidRPr="00CA6A65">
        <w:rPr>
          <w:noProof/>
        </w:rPr>
        <w:t xml:space="preserve"> užfiksuotas </w:t>
      </w:r>
      <w:r w:rsidR="00CD494B" w:rsidRPr="00CA6A65">
        <w:t>58,7</w:t>
      </w:r>
      <w:r w:rsidR="006D3DDF" w:rsidRPr="00CA6A65">
        <w:t xml:space="preserve"> tūkst. eurų kreditorinis įsiskolinimas </w:t>
      </w:r>
      <w:r w:rsidR="006D3DDF" w:rsidRPr="006D3DDF">
        <w:t xml:space="preserve">(neįskaitant įsiskolinimų, kuriems padengti lėšos buvo gautos </w:t>
      </w:r>
      <w:r w:rsidR="006D3DDF">
        <w:t>iš Lietuvos Respublikos Vyriausybės rezervo)</w:t>
      </w:r>
      <w:r w:rsidRPr="00480DCF">
        <w:rPr>
          <w:noProof/>
        </w:rPr>
        <w:t xml:space="preserve">. </w:t>
      </w:r>
    </w:p>
    <w:p w14:paraId="4E84A923" w14:textId="77777777" w:rsidR="00C71BEA" w:rsidRPr="00C71BEA" w:rsidRDefault="00C71BEA" w:rsidP="00C71BEA">
      <w:pPr>
        <w:suppressAutoHyphens w:val="0"/>
        <w:ind w:right="-31" w:firstLine="1296"/>
        <w:jc w:val="both"/>
        <w:rPr>
          <w:lang w:eastAsia="en-US"/>
        </w:rPr>
      </w:pPr>
      <w:r w:rsidRPr="00C71BEA">
        <w:rPr>
          <w:lang w:eastAsia="en-US"/>
        </w:rPr>
        <w:t>Šiuo metu Teisingumo ministerija jau turi įsipareigojimą pagal Europos Žmogaus Teisių Teismo 2020 m. gegužės 12 d.  priimtą sprendimą</w:t>
      </w:r>
      <w:r w:rsidRPr="00C71BEA">
        <w:t xml:space="preserve"> dėl teisingo atlyginimo byloje </w:t>
      </w:r>
      <w:r w:rsidRPr="00C71BEA">
        <w:rPr>
          <w:i/>
          <w:iCs/>
        </w:rPr>
        <w:t>Vasilevska ir Bartoševič prieš Lietuvą</w:t>
      </w:r>
      <w:r w:rsidRPr="00C71BEA">
        <w:t xml:space="preserve"> (Nr. Nr. 38206/11, 18054/12) &lt;</w:t>
      </w:r>
      <w:hyperlink r:id="rId8" w:history="1">
        <w:r w:rsidRPr="00C71BEA">
          <w:rPr>
            <w:rStyle w:val="Hipersaitas"/>
            <w:color w:val="auto"/>
          </w:rPr>
          <w:t>http://hudoc.echr.coe.int/eng?i=001-202430</w:t>
        </w:r>
      </w:hyperlink>
      <w:r w:rsidRPr="00C71BEA">
        <w:t xml:space="preserve">&gt;, kuriuo priteisė pareiškėjams bendrai </w:t>
      </w:r>
      <w:r w:rsidRPr="00C71BEA">
        <w:rPr>
          <w:bCs/>
        </w:rPr>
        <w:t>40 165 eurų</w:t>
      </w:r>
      <w:r w:rsidRPr="00C71BEA">
        <w:t xml:space="preserve"> turtinei žalai atlyginti (kompensacijos sumokėjimo terminas - iki 2020 m. rugpjūčio 12 d.)</w:t>
      </w:r>
    </w:p>
    <w:p w14:paraId="52597B4E" w14:textId="77777777" w:rsidR="00401036" w:rsidRDefault="009127B2" w:rsidP="008E50A5">
      <w:pPr>
        <w:suppressAutoHyphens w:val="0"/>
        <w:ind w:firstLine="1296"/>
        <w:jc w:val="both"/>
        <w:rPr>
          <w:lang w:eastAsia="en-US"/>
        </w:rPr>
      </w:pPr>
      <w:r w:rsidRPr="009127B2">
        <w:rPr>
          <w:lang w:eastAsia="en-US"/>
        </w:rPr>
        <w:t>Vadovaudamasi Lietuvos Respublikos valstybės biudžeto ir savivaldybių biudžetų sudarymo ir vykdymo taisyklėmis, patvirtintomis Lietuvos Respublikos Vyriausybės 2001 m. gegužės 14 d. nutarimu Nr. 543</w:t>
      </w:r>
      <w:r w:rsidRPr="00A072A6">
        <w:rPr>
          <w:lang w:eastAsia="en-US"/>
        </w:rPr>
        <w:t xml:space="preserve"> </w:t>
      </w:r>
      <w:r w:rsidRPr="00A072A6">
        <w:t>„Dėl Lietuvos Respublikos valstybės biudžeto ir savivaldybių biudžetų sudarymo ir vykdymo taisyklių patvirtinimo“</w:t>
      </w:r>
      <w:r w:rsidRPr="009127B2">
        <w:rPr>
          <w:lang w:eastAsia="en-US"/>
        </w:rPr>
        <w:t>, Teisingumo ministerija prašo</w:t>
      </w:r>
      <w:r w:rsidR="00401036">
        <w:rPr>
          <w:lang w:eastAsia="en-US"/>
        </w:rPr>
        <w:t>:</w:t>
      </w:r>
    </w:p>
    <w:p w14:paraId="4DDC4623" w14:textId="77777777" w:rsidR="001705BF" w:rsidRDefault="001705BF" w:rsidP="008E50A5">
      <w:pPr>
        <w:ind w:firstLine="1276"/>
        <w:jc w:val="both"/>
        <w:rPr>
          <w:b/>
          <w:lang w:eastAsia="en-US"/>
        </w:rPr>
      </w:pPr>
      <w:r>
        <w:rPr>
          <w:b/>
          <w:lang w:eastAsia="en-US"/>
        </w:rPr>
        <w:t>p</w:t>
      </w:r>
      <w:r w:rsidR="009127B2" w:rsidRPr="009127B2">
        <w:rPr>
          <w:b/>
          <w:lang w:eastAsia="en-US"/>
        </w:rPr>
        <w:t>adidinti</w:t>
      </w:r>
      <w:r>
        <w:rPr>
          <w:b/>
          <w:lang w:eastAsia="en-US"/>
        </w:rPr>
        <w:t>:</w:t>
      </w:r>
    </w:p>
    <w:p w14:paraId="167B8EA6" w14:textId="77777777" w:rsidR="00401036" w:rsidRPr="00CA6A65" w:rsidRDefault="009127B2" w:rsidP="008E50A5">
      <w:pPr>
        <w:ind w:firstLine="1276"/>
        <w:jc w:val="both"/>
        <w:rPr>
          <w:noProof/>
          <w:lang w:eastAsia="en-US"/>
        </w:rPr>
      </w:pPr>
      <w:r w:rsidRPr="009127B2">
        <w:rPr>
          <w:lang w:eastAsia="en-US"/>
        </w:rPr>
        <w:lastRenderedPageBreak/>
        <w:t xml:space="preserve"> </w:t>
      </w:r>
      <w:r w:rsidR="001705BF">
        <w:rPr>
          <w:lang w:eastAsia="en-US"/>
        </w:rPr>
        <w:t xml:space="preserve">- </w:t>
      </w:r>
      <w:r w:rsidRPr="009127B2">
        <w:rPr>
          <w:lang w:eastAsia="en-US"/>
        </w:rPr>
        <w:t xml:space="preserve">programos </w:t>
      </w:r>
      <w:r w:rsidRPr="00A072A6">
        <w:rPr>
          <w:b/>
          <w:noProof/>
          <w:lang w:eastAsia="en-US"/>
        </w:rPr>
        <w:t>01 04 „Teisės sistema“</w:t>
      </w:r>
      <w:r w:rsidRPr="00A072A6">
        <w:rPr>
          <w:noProof/>
          <w:lang w:eastAsia="en-US"/>
        </w:rPr>
        <w:t xml:space="preserve"> (finansavimo šaltinis – 1.1.1.1.1.; išlaidų klasifikacija pagal valstybės funkcijas – 03.03.01.01; ekonominis išlaidų straipsnis – </w:t>
      </w:r>
      <w:r w:rsidRPr="00A072A6">
        <w:t xml:space="preserve">2.2.1.1.1.30 „Kitų prekių ir paslaugų įsigijimo išlaidos“; </w:t>
      </w:r>
      <w:r w:rsidRPr="00A072A6">
        <w:rPr>
          <w:noProof/>
          <w:lang w:eastAsia="en-US"/>
        </w:rPr>
        <w:t xml:space="preserve">priemonė 01.04.01.03.02 „Pagal vykdytinus dokumentus atlyginti asmenims turtinę ir neturtinę žalą, atsiradusią dėl valdžios institucijų neteisėtų veiksmų, ir atstovauti Lietuvos Respublikos interesams tarptautiniuose arbitražo teismuose“) lėšas, skirtas išlaidoms – </w:t>
      </w:r>
      <w:r w:rsidR="00480DCF" w:rsidRPr="00CA6A65">
        <w:rPr>
          <w:b/>
          <w:noProof/>
          <w:lang w:eastAsia="en-US"/>
        </w:rPr>
        <w:t>1</w:t>
      </w:r>
      <w:r w:rsidR="00F5548F" w:rsidRPr="00CA6A65">
        <w:rPr>
          <w:b/>
          <w:noProof/>
          <w:lang w:eastAsia="en-US"/>
        </w:rPr>
        <w:t>5</w:t>
      </w:r>
      <w:r w:rsidR="00CB007C" w:rsidRPr="00CA6A65">
        <w:rPr>
          <w:b/>
          <w:noProof/>
          <w:lang w:eastAsia="en-US"/>
        </w:rPr>
        <w:t>0</w:t>
      </w:r>
      <w:r w:rsidRPr="00CA6A65">
        <w:rPr>
          <w:b/>
          <w:noProof/>
          <w:lang w:eastAsia="en-US"/>
        </w:rPr>
        <w:t xml:space="preserve"> </w:t>
      </w:r>
      <w:r w:rsidR="00A072A6" w:rsidRPr="00CA6A65">
        <w:rPr>
          <w:b/>
          <w:noProof/>
          <w:lang w:eastAsia="en-US"/>
        </w:rPr>
        <w:t>000</w:t>
      </w:r>
      <w:r w:rsidRPr="00CA6A65">
        <w:rPr>
          <w:b/>
          <w:noProof/>
          <w:lang w:eastAsia="en-US"/>
        </w:rPr>
        <w:t xml:space="preserve"> eurų</w:t>
      </w:r>
      <w:r w:rsidR="001705BF" w:rsidRPr="00CA6A65">
        <w:rPr>
          <w:noProof/>
          <w:lang w:eastAsia="en-US"/>
        </w:rPr>
        <w:t>;</w:t>
      </w:r>
    </w:p>
    <w:p w14:paraId="1D1C394B" w14:textId="77777777" w:rsidR="001705BF" w:rsidRPr="00CA6A65" w:rsidRDefault="001705BF" w:rsidP="008E50A5">
      <w:pPr>
        <w:ind w:firstLine="1276"/>
        <w:jc w:val="both"/>
        <w:rPr>
          <w:b/>
          <w:lang w:eastAsia="en-US"/>
        </w:rPr>
      </w:pPr>
      <w:r w:rsidRPr="00CA6A65">
        <w:rPr>
          <w:noProof/>
          <w:lang w:eastAsia="en-US"/>
        </w:rPr>
        <w:t xml:space="preserve">ir atitinkamai </w:t>
      </w:r>
      <w:r w:rsidR="009127B2" w:rsidRPr="00CA6A65">
        <w:rPr>
          <w:b/>
          <w:lang w:eastAsia="en-US"/>
        </w:rPr>
        <w:t>sumažin</w:t>
      </w:r>
      <w:r w:rsidR="00401036" w:rsidRPr="00CA6A65">
        <w:rPr>
          <w:b/>
          <w:lang w:eastAsia="en-US"/>
        </w:rPr>
        <w:t>ti</w:t>
      </w:r>
      <w:r w:rsidRPr="00CA6A65">
        <w:rPr>
          <w:b/>
          <w:lang w:eastAsia="en-US"/>
        </w:rPr>
        <w:t>:</w:t>
      </w:r>
    </w:p>
    <w:p w14:paraId="5ECEB48E" w14:textId="77777777" w:rsidR="006752CB" w:rsidRPr="00CA6A65" w:rsidRDefault="006752CB" w:rsidP="008E50A5">
      <w:pPr>
        <w:ind w:firstLine="1276"/>
        <w:jc w:val="both"/>
      </w:pPr>
      <w:r w:rsidRPr="00CA6A65">
        <w:rPr>
          <w:b/>
          <w:lang w:eastAsia="en-US"/>
        </w:rPr>
        <w:t>-</w:t>
      </w:r>
      <w:r w:rsidRPr="00CA6A65">
        <w:rPr>
          <w:lang w:eastAsia="en-US"/>
        </w:rPr>
        <w:t xml:space="preserve"> </w:t>
      </w:r>
      <w:r w:rsidRPr="00CA6A65">
        <w:t xml:space="preserve">programos </w:t>
      </w:r>
      <w:r w:rsidRPr="00CA6A65">
        <w:rPr>
          <w:b/>
        </w:rPr>
        <w:t xml:space="preserve">03 01 „Bausmių sistema“ </w:t>
      </w:r>
      <w:r w:rsidRPr="00CA6A65">
        <w:t>(</w:t>
      </w:r>
      <w:r w:rsidRPr="00CA6A65">
        <w:rPr>
          <w:noProof/>
          <w:lang w:eastAsia="en-US"/>
        </w:rPr>
        <w:t xml:space="preserve">finansavimo šaltinis – 1.1.1.1.1.; išlaidų klasifikacija pagal valstybės funkcijas – 03.03.01.01; ekonominis išlaidų straipsnis – </w:t>
      </w:r>
      <w:r w:rsidRPr="00CA6A65">
        <w:t xml:space="preserve">2.2.1.1.1.30 „Kitų prekių ir paslaugų įsigijimo išlaidos“; </w:t>
      </w:r>
      <w:r w:rsidRPr="00CA6A65">
        <w:rPr>
          <w:noProof/>
          <w:lang w:eastAsia="en-US"/>
        </w:rPr>
        <w:t>priemonė „Pagal vykdytinus dokumentus atlyginti žalą dėl netinkamų kalinimo sąlygų“</w:t>
      </w:r>
      <w:r w:rsidRPr="00CA6A65">
        <w:rPr>
          <w:lang w:eastAsia="lt-LT"/>
        </w:rPr>
        <w:t xml:space="preserve"> lėšas, skirtas išlaidoms – </w:t>
      </w:r>
      <w:r w:rsidR="00CB007C" w:rsidRPr="00CA6A65">
        <w:rPr>
          <w:b/>
          <w:lang w:eastAsia="lt-LT"/>
        </w:rPr>
        <w:t>1</w:t>
      </w:r>
      <w:r w:rsidR="00F5548F" w:rsidRPr="00CA6A65">
        <w:rPr>
          <w:b/>
          <w:lang w:eastAsia="lt-LT"/>
        </w:rPr>
        <w:t>5</w:t>
      </w:r>
      <w:r w:rsidRPr="00CA6A65">
        <w:rPr>
          <w:b/>
          <w:lang w:eastAsia="lt-LT"/>
        </w:rPr>
        <w:t>0 000 eurų.</w:t>
      </w:r>
    </w:p>
    <w:p w14:paraId="3AF1A246" w14:textId="77777777" w:rsidR="009127B2" w:rsidRPr="00CA6A65" w:rsidRDefault="009127B2" w:rsidP="008E50A5">
      <w:pPr>
        <w:suppressAutoHyphens w:val="0"/>
        <w:ind w:firstLine="709"/>
        <w:jc w:val="both"/>
        <w:rPr>
          <w:noProof/>
          <w:lang w:eastAsia="en-US"/>
        </w:rPr>
      </w:pPr>
    </w:p>
    <w:p w14:paraId="62EB267A" w14:textId="77777777" w:rsidR="00A9721A" w:rsidRPr="00CA6A65" w:rsidRDefault="00A9721A" w:rsidP="008E50A5">
      <w:pPr>
        <w:suppressAutoHyphens w:val="0"/>
        <w:ind w:firstLine="709"/>
        <w:jc w:val="both"/>
        <w:rPr>
          <w:noProof/>
          <w:lang w:eastAsia="en-US"/>
        </w:rPr>
      </w:pPr>
    </w:p>
    <w:p w14:paraId="7230085C" w14:textId="77777777" w:rsidR="005F33C7" w:rsidRDefault="005F33C7" w:rsidP="00C261BD">
      <w:pPr>
        <w:jc w:val="both"/>
        <w:rPr>
          <w:bCs/>
          <w:color w:val="333333"/>
        </w:rPr>
      </w:pPr>
      <w:r w:rsidRPr="005F33C7">
        <w:rPr>
          <w:color w:val="333333"/>
        </w:rPr>
        <w:t>T</w:t>
      </w:r>
      <w:r w:rsidRPr="005F33C7">
        <w:rPr>
          <w:bCs/>
          <w:color w:val="333333"/>
        </w:rPr>
        <w:t xml:space="preserve">eisingumo ministerijos Administravimo departamento </w:t>
      </w:r>
    </w:p>
    <w:p w14:paraId="37BD9CCC" w14:textId="77777777" w:rsidR="00C261BD" w:rsidRDefault="005F33C7" w:rsidP="005F33C7">
      <w:pPr>
        <w:jc w:val="both"/>
      </w:pPr>
      <w:r w:rsidRPr="005F33C7">
        <w:rPr>
          <w:bCs/>
          <w:color w:val="333333"/>
        </w:rPr>
        <w:t>direktorė, atliekanti kanclerio funkcijas</w:t>
      </w:r>
      <w:r w:rsidR="00C261BD" w:rsidRPr="005F33C7">
        <w:t xml:space="preserve">   </w:t>
      </w:r>
      <w:r w:rsidR="00C261BD">
        <w:t xml:space="preserve">                                                                    Lina Lukoševičiūtė</w:t>
      </w:r>
    </w:p>
    <w:p w14:paraId="0034FCD4" w14:textId="77777777" w:rsidR="00C261BD" w:rsidRDefault="00C261BD" w:rsidP="00C261BD">
      <w:pPr>
        <w:jc w:val="both"/>
        <w:rPr>
          <w:b/>
        </w:rPr>
      </w:pPr>
    </w:p>
    <w:p w14:paraId="0BD405C5" w14:textId="77777777" w:rsidR="00401036" w:rsidRDefault="00401036" w:rsidP="00C261BD">
      <w:pPr>
        <w:jc w:val="both"/>
        <w:rPr>
          <w:b/>
        </w:rPr>
      </w:pPr>
    </w:p>
    <w:p w14:paraId="5FEE053F" w14:textId="77777777" w:rsidR="00401036" w:rsidRDefault="00401036" w:rsidP="00C261BD">
      <w:pPr>
        <w:jc w:val="both"/>
        <w:rPr>
          <w:b/>
        </w:rPr>
      </w:pPr>
    </w:p>
    <w:p w14:paraId="494C3052" w14:textId="77777777" w:rsidR="00401036" w:rsidRDefault="00401036" w:rsidP="00C261BD">
      <w:pPr>
        <w:jc w:val="both"/>
        <w:rPr>
          <w:b/>
        </w:rPr>
      </w:pPr>
    </w:p>
    <w:p w14:paraId="0AE6A0AB" w14:textId="77777777" w:rsidR="00480DCF" w:rsidRDefault="00480DCF" w:rsidP="00C261BD">
      <w:pPr>
        <w:jc w:val="both"/>
        <w:rPr>
          <w:b/>
        </w:rPr>
      </w:pPr>
    </w:p>
    <w:p w14:paraId="4CAE82A8" w14:textId="77777777" w:rsidR="00480DCF" w:rsidRDefault="00480DCF" w:rsidP="00C261BD">
      <w:pPr>
        <w:jc w:val="both"/>
        <w:rPr>
          <w:b/>
        </w:rPr>
      </w:pPr>
    </w:p>
    <w:p w14:paraId="5DD74C42" w14:textId="77777777" w:rsidR="00480DCF" w:rsidRDefault="00480DCF" w:rsidP="00C261BD">
      <w:pPr>
        <w:jc w:val="both"/>
        <w:rPr>
          <w:b/>
        </w:rPr>
      </w:pPr>
    </w:p>
    <w:p w14:paraId="27956907" w14:textId="77777777" w:rsidR="00480DCF" w:rsidRDefault="00480DCF" w:rsidP="00C261BD">
      <w:pPr>
        <w:jc w:val="both"/>
        <w:rPr>
          <w:b/>
        </w:rPr>
      </w:pPr>
    </w:p>
    <w:p w14:paraId="29EAFE59" w14:textId="77777777" w:rsidR="00480DCF" w:rsidRDefault="00480DCF" w:rsidP="00C261BD">
      <w:pPr>
        <w:jc w:val="both"/>
        <w:rPr>
          <w:b/>
        </w:rPr>
      </w:pPr>
      <w:bookmarkStart w:id="0" w:name="_GoBack"/>
      <w:bookmarkEnd w:id="0"/>
    </w:p>
    <w:p w14:paraId="372C56C7" w14:textId="77777777" w:rsidR="00480DCF" w:rsidRDefault="00480DCF" w:rsidP="00C261BD">
      <w:pPr>
        <w:jc w:val="both"/>
        <w:rPr>
          <w:b/>
        </w:rPr>
      </w:pPr>
    </w:p>
    <w:p w14:paraId="3B09DDD8" w14:textId="77777777" w:rsidR="00480DCF" w:rsidRDefault="00480DCF" w:rsidP="00C261BD">
      <w:pPr>
        <w:jc w:val="both"/>
        <w:rPr>
          <w:b/>
        </w:rPr>
      </w:pPr>
    </w:p>
    <w:p w14:paraId="0490813D" w14:textId="77777777" w:rsidR="00480DCF" w:rsidRDefault="00480DCF" w:rsidP="00C261BD">
      <w:pPr>
        <w:jc w:val="both"/>
        <w:rPr>
          <w:b/>
        </w:rPr>
      </w:pPr>
    </w:p>
    <w:p w14:paraId="36BAA580" w14:textId="77777777" w:rsidR="00480DCF" w:rsidRDefault="00480DCF" w:rsidP="00C261BD">
      <w:pPr>
        <w:jc w:val="both"/>
        <w:rPr>
          <w:b/>
        </w:rPr>
      </w:pPr>
    </w:p>
    <w:p w14:paraId="316BFD03" w14:textId="77777777" w:rsidR="00480DCF" w:rsidRDefault="00480DCF" w:rsidP="00C261BD">
      <w:pPr>
        <w:jc w:val="both"/>
        <w:rPr>
          <w:b/>
        </w:rPr>
      </w:pPr>
    </w:p>
    <w:p w14:paraId="16D629F1" w14:textId="77777777" w:rsidR="00480DCF" w:rsidRDefault="00480DCF" w:rsidP="00C261BD">
      <w:pPr>
        <w:jc w:val="both"/>
        <w:rPr>
          <w:b/>
        </w:rPr>
      </w:pPr>
    </w:p>
    <w:p w14:paraId="3113D1D3" w14:textId="77777777" w:rsidR="00480DCF" w:rsidRDefault="00480DCF" w:rsidP="00C261BD">
      <w:pPr>
        <w:jc w:val="both"/>
        <w:rPr>
          <w:b/>
        </w:rPr>
      </w:pPr>
    </w:p>
    <w:p w14:paraId="60656C3C" w14:textId="77777777" w:rsidR="00480DCF" w:rsidRDefault="00480DCF" w:rsidP="00C261BD">
      <w:pPr>
        <w:jc w:val="both"/>
        <w:rPr>
          <w:b/>
        </w:rPr>
      </w:pPr>
    </w:p>
    <w:p w14:paraId="2DF618CF" w14:textId="77777777" w:rsidR="00480DCF" w:rsidRDefault="00480DCF" w:rsidP="00C261BD">
      <w:pPr>
        <w:jc w:val="both"/>
        <w:rPr>
          <w:b/>
        </w:rPr>
      </w:pPr>
    </w:p>
    <w:p w14:paraId="55227CF6" w14:textId="77777777" w:rsidR="00480DCF" w:rsidRDefault="00480DCF" w:rsidP="00C261BD">
      <w:pPr>
        <w:jc w:val="both"/>
        <w:rPr>
          <w:b/>
        </w:rPr>
      </w:pPr>
    </w:p>
    <w:p w14:paraId="2720D950" w14:textId="77777777" w:rsidR="00480DCF" w:rsidRDefault="00480DCF" w:rsidP="00C261BD">
      <w:pPr>
        <w:jc w:val="both"/>
        <w:rPr>
          <w:b/>
        </w:rPr>
      </w:pPr>
    </w:p>
    <w:p w14:paraId="323D93C7" w14:textId="77777777" w:rsidR="00480DCF" w:rsidRDefault="00480DCF" w:rsidP="00C261BD">
      <w:pPr>
        <w:jc w:val="both"/>
        <w:rPr>
          <w:b/>
        </w:rPr>
      </w:pPr>
    </w:p>
    <w:p w14:paraId="7F5AF83B" w14:textId="77777777" w:rsidR="00480DCF" w:rsidRDefault="00480DCF" w:rsidP="00C261BD">
      <w:pPr>
        <w:jc w:val="both"/>
        <w:rPr>
          <w:b/>
        </w:rPr>
      </w:pPr>
    </w:p>
    <w:p w14:paraId="5FF1DF73" w14:textId="77777777" w:rsidR="00480DCF" w:rsidRDefault="00480DCF" w:rsidP="00C261BD">
      <w:pPr>
        <w:jc w:val="both"/>
        <w:rPr>
          <w:b/>
        </w:rPr>
      </w:pPr>
    </w:p>
    <w:p w14:paraId="5D162DE5" w14:textId="77777777" w:rsidR="00480DCF" w:rsidRDefault="00480DCF" w:rsidP="00C261BD">
      <w:pPr>
        <w:jc w:val="both"/>
        <w:rPr>
          <w:b/>
        </w:rPr>
      </w:pPr>
    </w:p>
    <w:p w14:paraId="36EB9258" w14:textId="77777777" w:rsidR="00480DCF" w:rsidRDefault="00480DCF" w:rsidP="00C261BD">
      <w:pPr>
        <w:jc w:val="both"/>
        <w:rPr>
          <w:b/>
        </w:rPr>
      </w:pPr>
    </w:p>
    <w:p w14:paraId="0659FFE1" w14:textId="77777777" w:rsidR="00480DCF" w:rsidRDefault="00480DCF" w:rsidP="00C261BD">
      <w:pPr>
        <w:jc w:val="both"/>
        <w:rPr>
          <w:b/>
        </w:rPr>
      </w:pPr>
    </w:p>
    <w:p w14:paraId="45BA2046" w14:textId="77777777" w:rsidR="00480DCF" w:rsidRDefault="00480DCF" w:rsidP="00C261BD">
      <w:pPr>
        <w:jc w:val="both"/>
        <w:rPr>
          <w:b/>
        </w:rPr>
      </w:pPr>
    </w:p>
    <w:p w14:paraId="1074E67D" w14:textId="77777777" w:rsidR="00480DCF" w:rsidRDefault="00480DCF" w:rsidP="00C261BD">
      <w:pPr>
        <w:jc w:val="both"/>
        <w:rPr>
          <w:b/>
        </w:rPr>
      </w:pPr>
    </w:p>
    <w:p w14:paraId="6FBB00B4" w14:textId="77777777" w:rsidR="00480DCF" w:rsidRDefault="00480DCF" w:rsidP="00C261BD">
      <w:pPr>
        <w:jc w:val="both"/>
        <w:rPr>
          <w:b/>
        </w:rPr>
      </w:pPr>
    </w:p>
    <w:p w14:paraId="7416FB8A" w14:textId="77777777" w:rsidR="00480DCF" w:rsidRDefault="00480DCF" w:rsidP="00C261BD">
      <w:pPr>
        <w:jc w:val="both"/>
        <w:rPr>
          <w:b/>
        </w:rPr>
      </w:pPr>
    </w:p>
    <w:p w14:paraId="30BCCA9B" w14:textId="77777777" w:rsidR="00C261BD" w:rsidRDefault="00B76A6E" w:rsidP="006D70FA">
      <w:pPr>
        <w:pStyle w:val="prastasiniatinklio"/>
      </w:pPr>
      <w:r>
        <w:t> </w:t>
      </w:r>
    </w:p>
    <w:p w14:paraId="55B55E52" w14:textId="77777777" w:rsidR="00C261BD" w:rsidRDefault="00C261BD" w:rsidP="00C261BD">
      <w:pPr>
        <w:jc w:val="both"/>
      </w:pPr>
    </w:p>
    <w:p w14:paraId="29F04A9B" w14:textId="77777777" w:rsidR="00C261BD" w:rsidRDefault="00C261BD" w:rsidP="00C261BD">
      <w:pPr>
        <w:jc w:val="both"/>
      </w:pPr>
    </w:p>
    <w:p w14:paraId="026AD57C" w14:textId="77777777" w:rsidR="00E75D83" w:rsidRPr="00CA1F17" w:rsidRDefault="00276AAD" w:rsidP="00276AAD">
      <w:pPr>
        <w:spacing w:line="340" w:lineRule="exact"/>
        <w:jc w:val="both"/>
        <w:rPr>
          <w:color w:val="000000" w:themeColor="text1"/>
        </w:rPr>
      </w:pPr>
      <w:r>
        <w:rPr>
          <w:sz w:val="20"/>
          <w:szCs w:val="20"/>
        </w:rPr>
        <w:t>D</w:t>
      </w:r>
      <w:r w:rsidR="00C261BD">
        <w:rPr>
          <w:sz w:val="20"/>
          <w:szCs w:val="20"/>
        </w:rPr>
        <w:t xml:space="preserve">aiva Bliūdžiuvienė, (8 5) 266 2943, el. p. </w:t>
      </w:r>
      <w:hyperlink r:id="rId9" w:history="1">
        <w:r w:rsidR="00C261BD">
          <w:rPr>
            <w:rStyle w:val="Hipersaitas"/>
            <w:sz w:val="20"/>
            <w:szCs w:val="20"/>
          </w:rPr>
          <w:t>daiva.bliudziuviene@tm.lt</w:t>
        </w:r>
      </w:hyperlink>
      <w:r w:rsidR="00C261BD">
        <w:rPr>
          <w:sz w:val="20"/>
          <w:szCs w:val="20"/>
        </w:rPr>
        <w:t xml:space="preserve">                            </w:t>
      </w:r>
      <w:r w:rsidR="00C261BD" w:rsidRPr="00CA1F17">
        <w:rPr>
          <w:color w:val="000000" w:themeColor="text1"/>
        </w:rPr>
        <w:t>Originalas nebus siunčiamas</w:t>
      </w:r>
      <w:r w:rsidR="00C261BD">
        <w:rPr>
          <w:color w:val="000000" w:themeColor="text1"/>
        </w:rPr>
        <w:t xml:space="preserve"> </w:t>
      </w:r>
      <w:r w:rsidR="00E75D83">
        <w:rPr>
          <w:color w:val="000000" w:themeColor="text1"/>
        </w:rPr>
        <w:t xml:space="preserve"> </w:t>
      </w:r>
    </w:p>
    <w:sectPr w:rsidR="00E75D83" w:rsidRPr="00CA1F17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BD7CE" w14:textId="77777777" w:rsidR="00B15AAD" w:rsidRDefault="00B15AAD">
      <w:r>
        <w:separator/>
      </w:r>
    </w:p>
  </w:endnote>
  <w:endnote w:type="continuationSeparator" w:id="0">
    <w:p w14:paraId="62A489AC" w14:textId="77777777" w:rsidR="00B15AAD" w:rsidRDefault="00B1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12E99" w14:textId="77777777" w:rsidR="001F4940" w:rsidRDefault="001F4940" w:rsidP="00515AA4">
    <w:pPr>
      <w:pStyle w:val="Porat"/>
    </w:pPr>
  </w:p>
  <w:p w14:paraId="00359015" w14:textId="77777777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21E529B5" w14:textId="77777777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91EF" w14:textId="77777777" w:rsidR="00B15AAD" w:rsidRDefault="00B15AAD">
      <w:r>
        <w:separator/>
      </w:r>
    </w:p>
  </w:footnote>
  <w:footnote w:type="continuationSeparator" w:id="0">
    <w:p w14:paraId="44E842AE" w14:textId="77777777" w:rsidR="00B15AAD" w:rsidRDefault="00B15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1CFB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C97E" w14:textId="77777777" w:rsidR="00E657F7" w:rsidRPr="00095F50" w:rsidRDefault="00E657F7" w:rsidP="00E657F7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98F89FE" wp14:editId="22ADC093">
          <wp:extent cx="563880" cy="556260"/>
          <wp:effectExtent l="0" t="0" r="7620" b="0"/>
          <wp:docPr id="2" name="Paveikslėlis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1C51C" w14:textId="77777777" w:rsidR="00E657F7" w:rsidRPr="006A0169" w:rsidRDefault="00E657F7" w:rsidP="00E657F7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61390F2" w14:textId="77777777" w:rsidR="00E657F7" w:rsidRPr="006A0169" w:rsidRDefault="00E657F7" w:rsidP="00E657F7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7AC8295" w14:textId="77777777" w:rsidR="00E657F7" w:rsidRPr="006A0169" w:rsidRDefault="00E657F7" w:rsidP="00E657F7">
    <w:pPr>
      <w:suppressAutoHyphens w:val="0"/>
      <w:jc w:val="center"/>
      <w:rPr>
        <w:b/>
        <w:bCs/>
        <w:sz w:val="26"/>
        <w:lang w:eastAsia="en-US"/>
      </w:rPr>
    </w:pPr>
  </w:p>
  <w:p w14:paraId="401A72D5" w14:textId="77777777"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1B43403" w14:textId="77777777"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093C40BE" w14:textId="77777777"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678C70D8" w14:textId="77777777"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11D1F4AD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EA43B08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426C2"/>
    <w:multiLevelType w:val="hybridMultilevel"/>
    <w:tmpl w:val="64B29694"/>
    <w:lvl w:ilvl="0" w:tplc="FA3C82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89A0274"/>
    <w:multiLevelType w:val="hybridMultilevel"/>
    <w:tmpl w:val="215ADB36"/>
    <w:lvl w:ilvl="0" w:tplc="F94679C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22FF3"/>
    <w:rsid w:val="00033F22"/>
    <w:rsid w:val="000356BD"/>
    <w:rsid w:val="00045F11"/>
    <w:rsid w:val="0006186E"/>
    <w:rsid w:val="00072919"/>
    <w:rsid w:val="000756A8"/>
    <w:rsid w:val="00092DB2"/>
    <w:rsid w:val="00093791"/>
    <w:rsid w:val="000B0D10"/>
    <w:rsid w:val="000B1ECA"/>
    <w:rsid w:val="000D0B1C"/>
    <w:rsid w:val="000D3171"/>
    <w:rsid w:val="000E34D4"/>
    <w:rsid w:val="000E6E4F"/>
    <w:rsid w:val="000E7556"/>
    <w:rsid w:val="00106269"/>
    <w:rsid w:val="00110A05"/>
    <w:rsid w:val="001261CC"/>
    <w:rsid w:val="00133358"/>
    <w:rsid w:val="001705BF"/>
    <w:rsid w:val="001816EE"/>
    <w:rsid w:val="00190B04"/>
    <w:rsid w:val="001A2BEB"/>
    <w:rsid w:val="001B28DE"/>
    <w:rsid w:val="001B5390"/>
    <w:rsid w:val="001C1840"/>
    <w:rsid w:val="001E0731"/>
    <w:rsid w:val="001E192A"/>
    <w:rsid w:val="001E213B"/>
    <w:rsid w:val="001F4940"/>
    <w:rsid w:val="00201CE5"/>
    <w:rsid w:val="00207097"/>
    <w:rsid w:val="00216724"/>
    <w:rsid w:val="00224C7E"/>
    <w:rsid w:val="00225009"/>
    <w:rsid w:val="00247655"/>
    <w:rsid w:val="00271BCA"/>
    <w:rsid w:val="0027526A"/>
    <w:rsid w:val="00276AAD"/>
    <w:rsid w:val="002C0406"/>
    <w:rsid w:val="002D24DA"/>
    <w:rsid w:val="002F357E"/>
    <w:rsid w:val="0031547F"/>
    <w:rsid w:val="00335E75"/>
    <w:rsid w:val="00345C41"/>
    <w:rsid w:val="00350171"/>
    <w:rsid w:val="0035263F"/>
    <w:rsid w:val="00355D25"/>
    <w:rsid w:val="003570BA"/>
    <w:rsid w:val="00357B11"/>
    <w:rsid w:val="00367F00"/>
    <w:rsid w:val="00374572"/>
    <w:rsid w:val="00392BAA"/>
    <w:rsid w:val="003A0D57"/>
    <w:rsid w:val="003A403B"/>
    <w:rsid w:val="003A6CAA"/>
    <w:rsid w:val="003C1BC9"/>
    <w:rsid w:val="003C76FB"/>
    <w:rsid w:val="003D3678"/>
    <w:rsid w:val="003E0505"/>
    <w:rsid w:val="003E6A74"/>
    <w:rsid w:val="003F26F9"/>
    <w:rsid w:val="00401036"/>
    <w:rsid w:val="00422F55"/>
    <w:rsid w:val="004400C5"/>
    <w:rsid w:val="00444D3C"/>
    <w:rsid w:val="004473FF"/>
    <w:rsid w:val="004572FB"/>
    <w:rsid w:val="00480DCF"/>
    <w:rsid w:val="0048615A"/>
    <w:rsid w:val="004A352D"/>
    <w:rsid w:val="004C157C"/>
    <w:rsid w:val="004C31B3"/>
    <w:rsid w:val="004E0354"/>
    <w:rsid w:val="004E4C97"/>
    <w:rsid w:val="004F7E5E"/>
    <w:rsid w:val="00503401"/>
    <w:rsid w:val="00506545"/>
    <w:rsid w:val="0051548F"/>
    <w:rsid w:val="00515AA4"/>
    <w:rsid w:val="00526983"/>
    <w:rsid w:val="0053526F"/>
    <w:rsid w:val="005468FA"/>
    <w:rsid w:val="00573BC1"/>
    <w:rsid w:val="005934F7"/>
    <w:rsid w:val="005968CE"/>
    <w:rsid w:val="005A2039"/>
    <w:rsid w:val="005A32E3"/>
    <w:rsid w:val="005B22EF"/>
    <w:rsid w:val="005B71DB"/>
    <w:rsid w:val="005C59DC"/>
    <w:rsid w:val="005D74AA"/>
    <w:rsid w:val="005E7F01"/>
    <w:rsid w:val="005F33C7"/>
    <w:rsid w:val="005F6849"/>
    <w:rsid w:val="005F70CA"/>
    <w:rsid w:val="006117F2"/>
    <w:rsid w:val="006202AA"/>
    <w:rsid w:val="00631354"/>
    <w:rsid w:val="00632C30"/>
    <w:rsid w:val="00666C85"/>
    <w:rsid w:val="006752CB"/>
    <w:rsid w:val="00685024"/>
    <w:rsid w:val="00692B0B"/>
    <w:rsid w:val="006A0169"/>
    <w:rsid w:val="006A3AEE"/>
    <w:rsid w:val="006D3DDF"/>
    <w:rsid w:val="006D4E71"/>
    <w:rsid w:val="006D70FA"/>
    <w:rsid w:val="006E2FF8"/>
    <w:rsid w:val="0070100A"/>
    <w:rsid w:val="007155A1"/>
    <w:rsid w:val="00735C7F"/>
    <w:rsid w:val="0074745C"/>
    <w:rsid w:val="00755247"/>
    <w:rsid w:val="0075689A"/>
    <w:rsid w:val="00765A18"/>
    <w:rsid w:val="00775BDF"/>
    <w:rsid w:val="007B1F82"/>
    <w:rsid w:val="007B3C8C"/>
    <w:rsid w:val="007B4A13"/>
    <w:rsid w:val="007D2DB3"/>
    <w:rsid w:val="007F7B9B"/>
    <w:rsid w:val="00800BC4"/>
    <w:rsid w:val="008309E8"/>
    <w:rsid w:val="008A5254"/>
    <w:rsid w:val="008C162A"/>
    <w:rsid w:val="008E50A5"/>
    <w:rsid w:val="009127B2"/>
    <w:rsid w:val="00921A20"/>
    <w:rsid w:val="00935287"/>
    <w:rsid w:val="00967916"/>
    <w:rsid w:val="00977F51"/>
    <w:rsid w:val="009A11A6"/>
    <w:rsid w:val="009B0944"/>
    <w:rsid w:val="009D5D3E"/>
    <w:rsid w:val="009E11EE"/>
    <w:rsid w:val="009E135C"/>
    <w:rsid w:val="00A072A6"/>
    <w:rsid w:val="00A17E41"/>
    <w:rsid w:val="00A26451"/>
    <w:rsid w:val="00A36467"/>
    <w:rsid w:val="00A40CD2"/>
    <w:rsid w:val="00A43DDD"/>
    <w:rsid w:val="00A45A83"/>
    <w:rsid w:val="00A500C7"/>
    <w:rsid w:val="00A5068D"/>
    <w:rsid w:val="00A51241"/>
    <w:rsid w:val="00A80EFF"/>
    <w:rsid w:val="00A94549"/>
    <w:rsid w:val="00A9721A"/>
    <w:rsid w:val="00AC27D6"/>
    <w:rsid w:val="00AD37E3"/>
    <w:rsid w:val="00AE0614"/>
    <w:rsid w:val="00AE3511"/>
    <w:rsid w:val="00AF3747"/>
    <w:rsid w:val="00B15AAD"/>
    <w:rsid w:val="00B24EF1"/>
    <w:rsid w:val="00B40D2F"/>
    <w:rsid w:val="00B47174"/>
    <w:rsid w:val="00B7339D"/>
    <w:rsid w:val="00B76A6E"/>
    <w:rsid w:val="00B942CE"/>
    <w:rsid w:val="00BA60D3"/>
    <w:rsid w:val="00BB1BC1"/>
    <w:rsid w:val="00BD01B6"/>
    <w:rsid w:val="00BD62CA"/>
    <w:rsid w:val="00BF4400"/>
    <w:rsid w:val="00C17BD0"/>
    <w:rsid w:val="00C2360C"/>
    <w:rsid w:val="00C261BD"/>
    <w:rsid w:val="00C26D5D"/>
    <w:rsid w:val="00C43A57"/>
    <w:rsid w:val="00C52D99"/>
    <w:rsid w:val="00C71BEA"/>
    <w:rsid w:val="00C843F3"/>
    <w:rsid w:val="00CA6A65"/>
    <w:rsid w:val="00CB007C"/>
    <w:rsid w:val="00CB1D28"/>
    <w:rsid w:val="00CC742A"/>
    <w:rsid w:val="00CD494B"/>
    <w:rsid w:val="00CD660D"/>
    <w:rsid w:val="00CF7876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443"/>
    <w:rsid w:val="00E04931"/>
    <w:rsid w:val="00E214C4"/>
    <w:rsid w:val="00E32D88"/>
    <w:rsid w:val="00E35543"/>
    <w:rsid w:val="00E36636"/>
    <w:rsid w:val="00E4039E"/>
    <w:rsid w:val="00E41E39"/>
    <w:rsid w:val="00E63465"/>
    <w:rsid w:val="00E657F7"/>
    <w:rsid w:val="00E75D83"/>
    <w:rsid w:val="00E81F28"/>
    <w:rsid w:val="00E843B1"/>
    <w:rsid w:val="00E9412A"/>
    <w:rsid w:val="00E96B50"/>
    <w:rsid w:val="00EA3009"/>
    <w:rsid w:val="00ED73D6"/>
    <w:rsid w:val="00EE5859"/>
    <w:rsid w:val="00EE7C76"/>
    <w:rsid w:val="00EF07A0"/>
    <w:rsid w:val="00EF5630"/>
    <w:rsid w:val="00F05FB4"/>
    <w:rsid w:val="00F5548F"/>
    <w:rsid w:val="00F6147E"/>
    <w:rsid w:val="00F62B9E"/>
    <w:rsid w:val="00F73A02"/>
    <w:rsid w:val="00F75A93"/>
    <w:rsid w:val="00F85A80"/>
    <w:rsid w:val="00F947AC"/>
    <w:rsid w:val="00FB183B"/>
    <w:rsid w:val="00FB295F"/>
    <w:rsid w:val="00FB41D3"/>
    <w:rsid w:val="00FB5D01"/>
    <w:rsid w:val="00FC0237"/>
    <w:rsid w:val="00FC0E93"/>
    <w:rsid w:val="00FC78C5"/>
    <w:rsid w:val="00FD2FDD"/>
    <w:rsid w:val="00FE2B69"/>
    <w:rsid w:val="00FE4FB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4D42B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1705B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7D2DB3"/>
    <w:pPr>
      <w:suppressAutoHyphens w:val="0"/>
      <w:spacing w:before="100" w:beforeAutospacing="1" w:after="100" w:afterAutospacing="1"/>
    </w:pPr>
    <w:rPr>
      <w:rFonts w:eastAsiaTheme="minorHAnsi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CD49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D494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D494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D49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D494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hudoc.echr.coe.int/eng?i=001-202430"
                 TargetMode="External"
                 Type="http://schemas.openxmlformats.org/officeDocument/2006/relationships/hyperlink"/>
   <Relationship Id="rId9" Target="mailto:daiva.bliudziuvien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8E04-9E8A-490C-9719-F88FB862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2020-06-05T11:56:00Z</dcterms:created>
  <dc:creator>D.Glodenis</dc:creator>
  <cp:lastModifiedBy>Daiva Bliūdžiuvienė</cp:lastModifiedBy>
  <cp:lastPrinted>2014-12-18T07:34:00Z</cp:lastPrinted>
  <dcterms:modified xsi:type="dcterms:W3CDTF">2020-06-08T06:42:00Z</dcterms:modified>
  <cp:revision>5</cp:revision>
  <dc:title>[Adresatas]</dc:title>
</cp:coreProperties>
</file>