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116853" w14:paraId="3DCB7912" w14:textId="77777777" w:rsidTr="009F7411">
        <w:trPr>
          <w:trHeight w:hRule="exact" w:val="284"/>
        </w:trPr>
        <w:tc>
          <w:tcPr>
            <w:tcW w:w="2500" w:type="pct"/>
            <w:gridSpan w:val="2"/>
            <w:tcBorders>
              <w:top w:val="nil"/>
              <w:bottom w:val="nil"/>
            </w:tcBorders>
          </w:tcPr>
          <w:p w14:paraId="68B2C3D2" w14:textId="38C09990" w:rsidR="00A56613" w:rsidRPr="00116853" w:rsidRDefault="00A56613" w:rsidP="006A66FB">
            <w:pPr>
              <w:pStyle w:val="BodyText"/>
              <w:rPr>
                <w:rFonts w:cs="Times New Roman"/>
              </w:rPr>
            </w:pPr>
          </w:p>
        </w:tc>
        <w:tc>
          <w:tcPr>
            <w:tcW w:w="2500" w:type="pct"/>
            <w:gridSpan w:val="2"/>
            <w:tcBorders>
              <w:top w:val="nil"/>
              <w:bottom w:val="nil"/>
            </w:tcBorders>
          </w:tcPr>
          <w:p w14:paraId="2D0F44B4" w14:textId="77777777" w:rsidR="00A56613" w:rsidRPr="00116853" w:rsidRDefault="00A56613" w:rsidP="00AC7440">
            <w:pPr>
              <w:pStyle w:val="DraftDate"/>
              <w:rPr>
                <w:rFonts w:cs="Times New Roman"/>
              </w:rPr>
            </w:pPr>
          </w:p>
        </w:tc>
      </w:tr>
      <w:tr w:rsidR="00A56613" w:rsidRPr="00116853" w14:paraId="5716C16E" w14:textId="77777777" w:rsidTr="009F7411">
        <w:trPr>
          <w:trHeight w:hRule="exact" w:val="284"/>
        </w:trPr>
        <w:tc>
          <w:tcPr>
            <w:tcW w:w="2500" w:type="pct"/>
            <w:gridSpan w:val="2"/>
            <w:tcBorders>
              <w:top w:val="nil"/>
            </w:tcBorders>
          </w:tcPr>
          <w:p w14:paraId="41F06C8C" w14:textId="77777777" w:rsidR="00A56613" w:rsidRPr="00116853" w:rsidRDefault="00A56613" w:rsidP="001A0F04">
            <w:pPr>
              <w:rPr>
                <w:rFonts w:cs="Times New Roman"/>
              </w:rPr>
            </w:pPr>
          </w:p>
        </w:tc>
        <w:tc>
          <w:tcPr>
            <w:tcW w:w="2500" w:type="pct"/>
            <w:gridSpan w:val="2"/>
            <w:tcBorders>
              <w:top w:val="nil"/>
            </w:tcBorders>
          </w:tcPr>
          <w:p w14:paraId="3F811BDD" w14:textId="77777777" w:rsidR="00A56613" w:rsidRPr="00116853" w:rsidRDefault="00A56613" w:rsidP="00541356">
            <w:pPr>
              <w:pStyle w:val="DraftDate"/>
              <w:rPr>
                <w:rFonts w:cs="Times New Roman"/>
              </w:rPr>
            </w:pPr>
          </w:p>
        </w:tc>
      </w:tr>
      <w:tr w:rsidR="00A56613" w:rsidRPr="000F087A" w14:paraId="79E84FD0" w14:textId="77777777" w:rsidTr="009F7411">
        <w:trPr>
          <w:cantSplit/>
          <w:trHeight w:hRule="exact" w:val="851"/>
        </w:trPr>
        <w:tc>
          <w:tcPr>
            <w:tcW w:w="2500" w:type="pct"/>
            <w:gridSpan w:val="2"/>
          </w:tcPr>
          <w:p w14:paraId="1F077221" w14:textId="7F1804CC" w:rsidR="00A56613" w:rsidRPr="00AE13FA" w:rsidRDefault="005E6AA9" w:rsidP="00D642C1">
            <w:pPr>
              <w:rPr>
                <w:rFonts w:cs="Times New Roman"/>
              </w:rPr>
            </w:pPr>
            <w:r>
              <w:rPr>
                <w:rFonts w:cs="Times New Roman"/>
                <w:noProof/>
                <w:lang w:eastAsia="en-GB" w:bidi="ar-SA"/>
              </w:rPr>
              <w:drawing>
                <wp:inline distT="0" distB="0" distL="0" distR="0" wp14:anchorId="6E3EA275" wp14:editId="58CB01FC">
                  <wp:extent cx="1852295" cy="128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295" cy="1282700"/>
                          </a:xfrm>
                          <a:prstGeom prst="rect">
                            <a:avLst/>
                          </a:prstGeom>
                          <a:noFill/>
                          <a:ln>
                            <a:noFill/>
                          </a:ln>
                        </pic:spPr>
                      </pic:pic>
                    </a:graphicData>
                  </a:graphic>
                </wp:inline>
              </w:drawing>
            </w:r>
          </w:p>
        </w:tc>
        <w:tc>
          <w:tcPr>
            <w:tcW w:w="2500" w:type="pct"/>
            <w:gridSpan w:val="2"/>
          </w:tcPr>
          <w:p w14:paraId="7BB2154E" w14:textId="77777777" w:rsidR="00A56613" w:rsidRPr="00AE13FA" w:rsidRDefault="00A56613" w:rsidP="00B60D4D">
            <w:pPr>
              <w:pStyle w:val="NormalRight"/>
              <w:rPr>
                <w:rFonts w:cs="Times New Roman"/>
              </w:rPr>
            </w:pPr>
          </w:p>
        </w:tc>
      </w:tr>
      <w:tr w:rsidR="00116853" w:rsidRPr="000F087A" w14:paraId="3111F0D1" w14:textId="77777777" w:rsidTr="009F7411">
        <w:trPr>
          <w:trHeight w:hRule="exact" w:val="1045"/>
        </w:trPr>
        <w:tc>
          <w:tcPr>
            <w:tcW w:w="5000" w:type="pct"/>
            <w:gridSpan w:val="4"/>
          </w:tcPr>
          <w:p w14:paraId="604ACFC7" w14:textId="77777777" w:rsidR="00116853" w:rsidRPr="000F087A" w:rsidRDefault="00116853" w:rsidP="00714682">
            <w:pPr>
              <w:pStyle w:val="Subtitle"/>
              <w:tabs>
                <w:tab w:val="left" w:pos="5345"/>
              </w:tabs>
              <w:jc w:val="left"/>
              <w:rPr>
                <w:rFonts w:cs="Times New Roman"/>
              </w:rPr>
            </w:pPr>
          </w:p>
        </w:tc>
      </w:tr>
      <w:tr w:rsidR="00A56613" w:rsidRPr="000F087A" w14:paraId="5BE076C4" w14:textId="77777777" w:rsidTr="009F7411">
        <w:trPr>
          <w:trHeight w:hRule="exact" w:val="1045"/>
        </w:trPr>
        <w:tc>
          <w:tcPr>
            <w:tcW w:w="5000" w:type="pct"/>
            <w:gridSpan w:val="4"/>
          </w:tcPr>
          <w:p w14:paraId="18504E81" w14:textId="77777777" w:rsidR="00A56613" w:rsidRPr="000F087A" w:rsidRDefault="00714682" w:rsidP="00714682">
            <w:pPr>
              <w:pStyle w:val="Subtitle"/>
              <w:tabs>
                <w:tab w:val="left" w:pos="5345"/>
              </w:tabs>
              <w:jc w:val="left"/>
              <w:rPr>
                <w:rFonts w:cs="Times New Roman"/>
              </w:rPr>
            </w:pPr>
            <w:r w:rsidRPr="000F087A">
              <w:rPr>
                <w:rFonts w:cs="Times New Roman"/>
              </w:rPr>
              <w:tab/>
            </w:r>
          </w:p>
        </w:tc>
      </w:tr>
      <w:tr w:rsidR="00A56613" w:rsidRPr="000F087A" w14:paraId="52DDDD53" w14:textId="77777777" w:rsidTr="009F7411">
        <w:trPr>
          <w:cantSplit/>
          <w:trHeight w:val="2693"/>
        </w:trPr>
        <w:tc>
          <w:tcPr>
            <w:tcW w:w="5000" w:type="pct"/>
            <w:gridSpan w:val="4"/>
          </w:tcPr>
          <w:p w14:paraId="4D39171E" w14:textId="77777777" w:rsidR="00170BD4" w:rsidRPr="000F087A" w:rsidRDefault="00170BD4" w:rsidP="004355BC">
            <w:pPr>
              <w:pStyle w:val="Parties"/>
              <w:rPr>
                <w:rFonts w:cs="Times New Roman"/>
                <w:b/>
                <w:bCs/>
              </w:rPr>
            </w:pPr>
            <w:r w:rsidRPr="000F087A">
              <w:rPr>
                <w:rFonts w:cs="Times New Roman"/>
                <w:b/>
                <w:bCs/>
              </w:rPr>
              <w:t>THE EUROPEAN COMMISSION</w:t>
            </w:r>
          </w:p>
          <w:p w14:paraId="2238B28A" w14:textId="77777777" w:rsidR="00170BD4" w:rsidRPr="000F087A" w:rsidRDefault="00170BD4" w:rsidP="004355BC">
            <w:pPr>
              <w:pStyle w:val="Parties"/>
              <w:rPr>
                <w:rFonts w:cs="Times New Roman"/>
                <w:b/>
                <w:bCs/>
              </w:rPr>
            </w:pPr>
            <w:r w:rsidRPr="000F087A">
              <w:rPr>
                <w:rFonts w:cs="Times New Roman"/>
                <w:b/>
                <w:bCs/>
              </w:rPr>
              <w:t xml:space="preserve">and </w:t>
            </w:r>
          </w:p>
          <w:p w14:paraId="74262D66" w14:textId="77777777" w:rsidR="00AC7440" w:rsidRPr="000F087A" w:rsidRDefault="00170BD4" w:rsidP="004355BC">
            <w:pPr>
              <w:pStyle w:val="Parties"/>
              <w:rPr>
                <w:rFonts w:cs="Times New Roman"/>
                <w:b/>
                <w:bCs/>
              </w:rPr>
            </w:pPr>
            <w:r w:rsidRPr="000F087A">
              <w:rPr>
                <w:rFonts w:cs="Times New Roman"/>
                <w:b/>
                <w:bCs/>
              </w:rPr>
              <w:t xml:space="preserve">[NAME OF MEMBER STATE] </w:t>
            </w:r>
          </w:p>
          <w:p w14:paraId="77A89704" w14:textId="77777777" w:rsidR="00170BD4" w:rsidRPr="000F087A" w:rsidRDefault="00170BD4" w:rsidP="00170BD4">
            <w:pPr>
              <w:pStyle w:val="Parties"/>
              <w:jc w:val="both"/>
              <w:rPr>
                <w:rFonts w:cs="Times New Roman"/>
                <w:b/>
                <w:bCs/>
              </w:rPr>
            </w:pPr>
          </w:p>
          <w:p w14:paraId="19B66320" w14:textId="77777777" w:rsidR="00A56613" w:rsidRPr="000F087A" w:rsidRDefault="00A56613" w:rsidP="004355BC">
            <w:pPr>
              <w:pStyle w:val="Parties"/>
              <w:rPr>
                <w:rFonts w:cs="Times New Roman"/>
                <w:b/>
                <w:bCs/>
              </w:rPr>
            </w:pPr>
          </w:p>
          <w:p w14:paraId="0505810B" w14:textId="77777777" w:rsidR="00116853" w:rsidRPr="000F087A" w:rsidRDefault="00116853" w:rsidP="00170BD4">
            <w:pPr>
              <w:pStyle w:val="Parties"/>
              <w:jc w:val="both"/>
              <w:rPr>
                <w:rFonts w:cs="Times New Roman"/>
                <w:b/>
                <w:bCs/>
              </w:rPr>
            </w:pPr>
          </w:p>
          <w:p w14:paraId="3F34423C" w14:textId="77777777" w:rsidR="00116853" w:rsidRPr="000F087A" w:rsidRDefault="00116853" w:rsidP="004355BC">
            <w:pPr>
              <w:pStyle w:val="Parties"/>
              <w:rPr>
                <w:rFonts w:cs="Times New Roman"/>
                <w:b/>
                <w:bCs/>
              </w:rPr>
            </w:pPr>
          </w:p>
        </w:tc>
      </w:tr>
      <w:tr w:rsidR="00AD0B27" w:rsidRPr="006227D6" w14:paraId="2BB70C45" w14:textId="77777777" w:rsidTr="009F7411">
        <w:trPr>
          <w:trHeight w:val="1304"/>
        </w:trPr>
        <w:tc>
          <w:tcPr>
            <w:tcW w:w="902" w:type="pct"/>
            <w:tcBorders>
              <w:top w:val="nil"/>
              <w:bottom w:val="nil"/>
            </w:tcBorders>
            <w:vAlign w:val="center"/>
          </w:tcPr>
          <w:p w14:paraId="248097B7" w14:textId="77777777" w:rsidR="00AD0B27" w:rsidRPr="000F087A" w:rsidRDefault="00AD0B27" w:rsidP="00AC7440">
            <w:pPr>
              <w:pStyle w:val="Parties"/>
              <w:jc w:val="both"/>
              <w:rPr>
                <w:rFonts w:cs="Times New Roman"/>
              </w:rPr>
            </w:pPr>
          </w:p>
        </w:tc>
        <w:tc>
          <w:tcPr>
            <w:tcW w:w="3221" w:type="pct"/>
            <w:gridSpan w:val="2"/>
            <w:tcBorders>
              <w:top w:val="single" w:sz="4" w:space="0" w:color="auto"/>
              <w:bottom w:val="single" w:sz="4" w:space="0" w:color="auto"/>
            </w:tcBorders>
            <w:vAlign w:val="center"/>
          </w:tcPr>
          <w:p w14:paraId="744903CB" w14:textId="77777777" w:rsidR="00170BD4" w:rsidRPr="000F087A" w:rsidRDefault="00170BD4" w:rsidP="00727D77">
            <w:pPr>
              <w:pStyle w:val="Parties"/>
              <w:rPr>
                <w:rFonts w:cs="Times New Roman"/>
                <w:b/>
                <w:bCs/>
              </w:rPr>
            </w:pPr>
          </w:p>
          <w:p w14:paraId="30238B6B" w14:textId="2FCF2907" w:rsidR="00157BFC" w:rsidRPr="000F087A" w:rsidRDefault="00580BC7" w:rsidP="00727D77">
            <w:pPr>
              <w:pStyle w:val="Parties"/>
              <w:rPr>
                <w:rFonts w:cs="Times New Roman"/>
                <w:b/>
                <w:bCs/>
              </w:rPr>
            </w:pPr>
            <w:r>
              <w:rPr>
                <w:rFonts w:cs="Times New Roman"/>
                <w:b/>
                <w:bCs/>
              </w:rPr>
              <w:t>Voluntary</w:t>
            </w:r>
            <w:r w:rsidR="00170BD4" w:rsidRPr="000F087A">
              <w:rPr>
                <w:rFonts w:cs="Times New Roman"/>
                <w:b/>
                <w:bCs/>
              </w:rPr>
              <w:t xml:space="preserve"> </w:t>
            </w:r>
            <w:r w:rsidR="00AC7440" w:rsidRPr="000F087A">
              <w:rPr>
                <w:rFonts w:cs="Times New Roman"/>
                <w:b/>
                <w:bCs/>
              </w:rPr>
              <w:t>guarantee</w:t>
            </w:r>
            <w:r w:rsidR="00170BD4" w:rsidRPr="000F087A">
              <w:rPr>
                <w:rFonts w:cs="Times New Roman"/>
                <w:b/>
                <w:bCs/>
              </w:rPr>
              <w:t xml:space="preserve"> </w:t>
            </w:r>
            <w:r>
              <w:rPr>
                <w:rFonts w:cs="Times New Roman"/>
                <w:b/>
                <w:bCs/>
              </w:rPr>
              <w:t xml:space="preserve">Agreement Pursuant to Article 11 of </w:t>
            </w:r>
            <w:r w:rsidR="009F4488">
              <w:rPr>
                <w:rFonts w:cs="Times New Roman"/>
                <w:b/>
                <w:bCs/>
              </w:rPr>
              <w:t xml:space="preserve">Council </w:t>
            </w:r>
            <w:r>
              <w:rPr>
                <w:rFonts w:cs="Times New Roman"/>
                <w:b/>
                <w:bCs/>
              </w:rPr>
              <w:t xml:space="preserve">Regulation </w:t>
            </w:r>
            <w:r w:rsidR="009F4488">
              <w:rPr>
                <w:rFonts w:cs="Times New Roman"/>
                <w:b/>
                <w:bCs/>
              </w:rPr>
              <w:t>(EU) 2020/672</w:t>
            </w:r>
          </w:p>
          <w:p w14:paraId="5EA84755" w14:textId="77777777" w:rsidR="00157BFC" w:rsidRPr="000F087A" w:rsidRDefault="00157BFC" w:rsidP="00727D77">
            <w:pPr>
              <w:pStyle w:val="Parties"/>
              <w:rPr>
                <w:rFonts w:cs="Times New Roman"/>
                <w:b/>
                <w:bCs/>
              </w:rPr>
            </w:pPr>
          </w:p>
          <w:p w14:paraId="78C5824F" w14:textId="77777777" w:rsidR="00170BD4" w:rsidRPr="00D375FE" w:rsidRDefault="00170BD4" w:rsidP="00727D77">
            <w:pPr>
              <w:pStyle w:val="Parties"/>
              <w:rPr>
                <w:rFonts w:cs="Times New Roman"/>
                <w:b/>
                <w:bCs/>
              </w:rPr>
            </w:pPr>
            <w:r w:rsidRPr="000F087A">
              <w:rPr>
                <w:rFonts w:cs="Times New Roman"/>
                <w:b/>
                <w:bCs/>
              </w:rPr>
              <w:t>SURE – European instrument for temporary s</w:t>
            </w:r>
            <w:r w:rsidRPr="00D375FE">
              <w:rPr>
                <w:rFonts w:cs="Times New Roman"/>
                <w:b/>
                <w:bCs/>
              </w:rPr>
              <w:t>upport to mitigate unemployment risks in an emergency following the COVID-19 outbreak</w:t>
            </w:r>
          </w:p>
          <w:p w14:paraId="4C250942" w14:textId="77777777" w:rsidR="00170BD4" w:rsidRPr="004E1EDA" w:rsidRDefault="00170BD4" w:rsidP="00170BD4">
            <w:pPr>
              <w:pStyle w:val="Parties"/>
              <w:rPr>
                <w:rFonts w:cs="Times New Roman"/>
                <w:b/>
                <w:bCs/>
              </w:rPr>
            </w:pPr>
          </w:p>
        </w:tc>
        <w:tc>
          <w:tcPr>
            <w:tcW w:w="877" w:type="pct"/>
            <w:tcBorders>
              <w:top w:val="nil"/>
              <w:bottom w:val="nil"/>
            </w:tcBorders>
            <w:vAlign w:val="center"/>
          </w:tcPr>
          <w:p w14:paraId="43E10CDB" w14:textId="77777777" w:rsidR="00AD0B27" w:rsidRPr="004E7E8C" w:rsidRDefault="00AD0B27" w:rsidP="00786927">
            <w:pPr>
              <w:pStyle w:val="Parties"/>
              <w:rPr>
                <w:rFonts w:cs="Times New Roman"/>
              </w:rPr>
            </w:pPr>
          </w:p>
        </w:tc>
      </w:tr>
    </w:tbl>
    <w:p w14:paraId="285E7D52" w14:textId="77777777" w:rsidR="0091457D" w:rsidRPr="006227D6" w:rsidRDefault="0091457D" w:rsidP="001A16E2">
      <w:pPr>
        <w:rPr>
          <w:rFonts w:cs="Times New Roman"/>
        </w:rPr>
      </w:pPr>
    </w:p>
    <w:p w14:paraId="4BFA8CDA" w14:textId="77777777" w:rsidR="00AD5B3A" w:rsidRPr="006227D6" w:rsidRDefault="00AD5B3A" w:rsidP="00A56613">
      <w:pPr>
        <w:rPr>
          <w:rFonts w:cs="Times New Roman"/>
        </w:rPr>
        <w:sectPr w:rsidR="00AD5B3A" w:rsidRPr="006227D6" w:rsidSect="00905DC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pPr>
    </w:p>
    <w:tbl>
      <w:tblPr>
        <w:tblW w:w="5000" w:type="pct"/>
        <w:tblLook w:val="04A0" w:firstRow="1" w:lastRow="0" w:firstColumn="1" w:lastColumn="0" w:noHBand="0" w:noVBand="1"/>
      </w:tblPr>
      <w:tblGrid>
        <w:gridCol w:w="4621"/>
        <w:gridCol w:w="4621"/>
      </w:tblGrid>
      <w:tr w:rsidR="00A56613" w:rsidRPr="006227D6" w14:paraId="535211F5" w14:textId="77777777" w:rsidTr="009F7411">
        <w:trPr>
          <w:trHeight w:hRule="exact" w:val="567"/>
        </w:trPr>
        <w:tc>
          <w:tcPr>
            <w:tcW w:w="5000" w:type="pct"/>
            <w:gridSpan w:val="2"/>
            <w:vAlign w:val="center"/>
          </w:tcPr>
          <w:p w14:paraId="65FA6DC5" w14:textId="77777777" w:rsidR="00A56613" w:rsidRPr="006227D6" w:rsidRDefault="00F173A5" w:rsidP="00F173A5">
            <w:pPr>
              <w:pStyle w:val="TOCHeading"/>
              <w:rPr>
                <w:rFonts w:cs="Times New Roman"/>
              </w:rPr>
            </w:pPr>
            <w:r w:rsidRPr="006227D6">
              <w:rPr>
                <w:rFonts w:cs="Times New Roman"/>
              </w:rPr>
              <w:lastRenderedPageBreak/>
              <w:t>CONTENTS</w:t>
            </w:r>
          </w:p>
        </w:tc>
      </w:tr>
      <w:tr w:rsidR="00A56613" w:rsidRPr="006227D6" w14:paraId="03372AC7" w14:textId="77777777" w:rsidTr="009F7411">
        <w:trPr>
          <w:trHeight w:hRule="exact" w:val="567"/>
        </w:trPr>
        <w:tc>
          <w:tcPr>
            <w:tcW w:w="2500" w:type="pct"/>
          </w:tcPr>
          <w:p w14:paraId="0E87B35B" w14:textId="77777777" w:rsidR="00A56613" w:rsidRPr="006227D6" w:rsidRDefault="00F173A5" w:rsidP="00473312">
            <w:pPr>
              <w:rPr>
                <w:rFonts w:cs="Times New Roman"/>
              </w:rPr>
            </w:pPr>
            <w:r w:rsidRPr="006227D6">
              <w:rPr>
                <w:rFonts w:cs="Times New Roman"/>
              </w:rPr>
              <w:t>Clause</w:t>
            </w:r>
          </w:p>
        </w:tc>
        <w:tc>
          <w:tcPr>
            <w:tcW w:w="2500" w:type="pct"/>
          </w:tcPr>
          <w:p w14:paraId="06F86B40" w14:textId="77777777" w:rsidR="00A56613" w:rsidRPr="006227D6" w:rsidRDefault="00D95E93" w:rsidP="0045003F">
            <w:pPr>
              <w:pStyle w:val="NormalRight"/>
              <w:rPr>
                <w:rFonts w:cs="Times New Roman"/>
              </w:rPr>
            </w:pPr>
            <w:r w:rsidRPr="006227D6">
              <w:rPr>
                <w:rFonts w:cs="Times New Roman"/>
              </w:rPr>
              <w:t>Page</w:t>
            </w:r>
          </w:p>
        </w:tc>
      </w:tr>
    </w:tbl>
    <w:p w14:paraId="178BD2C9" w14:textId="0CF55984" w:rsidR="00543AFC" w:rsidRDefault="003249B4">
      <w:pPr>
        <w:pStyle w:val="TOC1"/>
        <w:rPr>
          <w:rFonts w:asciiTheme="minorHAnsi" w:eastAsiaTheme="minorEastAsia" w:hAnsiTheme="minorHAnsi" w:cstheme="minorBidi"/>
          <w:noProof/>
          <w:snapToGrid/>
          <w:sz w:val="22"/>
          <w:szCs w:val="22"/>
          <w:lang w:eastAsia="en-GB" w:bidi="ar-SA"/>
        </w:rPr>
      </w:pPr>
      <w:r w:rsidRPr="00AE13FA">
        <w:rPr>
          <w:rFonts w:cs="Times New Roman"/>
        </w:rPr>
        <w:fldChar w:fldCharType="begin"/>
      </w:r>
      <w:r w:rsidRPr="006227D6">
        <w:rPr>
          <w:rFonts w:cs="Times New Roman"/>
        </w:rPr>
        <w:instrText xml:space="preserve"> TOC \h \z \t "Standard L1;1" </w:instrText>
      </w:r>
      <w:r w:rsidRPr="00AE13FA">
        <w:rPr>
          <w:rFonts w:cs="Times New Roman"/>
        </w:rPr>
        <w:fldChar w:fldCharType="separate"/>
      </w:r>
      <w:hyperlink w:anchor="_Toc40016227" w:history="1">
        <w:r w:rsidR="00543AFC" w:rsidRPr="00F901CA">
          <w:rPr>
            <w:rStyle w:val="Hyperlink"/>
            <w:rFonts w:cs="Times New Roman"/>
            <w:noProof/>
          </w:rPr>
          <w:t>1.</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Guarantee and Indemnity</w:t>
        </w:r>
        <w:r w:rsidR="00543AFC">
          <w:rPr>
            <w:noProof/>
            <w:webHidden/>
          </w:rPr>
          <w:tab/>
        </w:r>
        <w:r w:rsidR="00543AFC">
          <w:rPr>
            <w:noProof/>
            <w:webHidden/>
          </w:rPr>
          <w:fldChar w:fldCharType="begin"/>
        </w:r>
        <w:r w:rsidR="00543AFC">
          <w:rPr>
            <w:noProof/>
            <w:webHidden/>
          </w:rPr>
          <w:instrText xml:space="preserve"> PAGEREF _Toc40016227 \h </w:instrText>
        </w:r>
        <w:r w:rsidR="00543AFC">
          <w:rPr>
            <w:noProof/>
            <w:webHidden/>
          </w:rPr>
        </w:r>
        <w:r w:rsidR="00543AFC">
          <w:rPr>
            <w:noProof/>
            <w:webHidden/>
          </w:rPr>
          <w:fldChar w:fldCharType="separate"/>
        </w:r>
        <w:r w:rsidR="00006EE6">
          <w:rPr>
            <w:noProof/>
            <w:webHidden/>
          </w:rPr>
          <w:t>2</w:t>
        </w:r>
        <w:r w:rsidR="00543AFC">
          <w:rPr>
            <w:noProof/>
            <w:webHidden/>
          </w:rPr>
          <w:fldChar w:fldCharType="end"/>
        </w:r>
      </w:hyperlink>
    </w:p>
    <w:p w14:paraId="6A2233CC" w14:textId="470F5B3F" w:rsidR="00543AFC" w:rsidRDefault="003F3AB9">
      <w:pPr>
        <w:pStyle w:val="TOC1"/>
        <w:rPr>
          <w:rFonts w:asciiTheme="minorHAnsi" w:eastAsiaTheme="minorEastAsia" w:hAnsiTheme="minorHAnsi" w:cstheme="minorBidi"/>
          <w:noProof/>
          <w:snapToGrid/>
          <w:sz w:val="22"/>
          <w:szCs w:val="22"/>
          <w:lang w:eastAsia="en-GB" w:bidi="ar-SA"/>
        </w:rPr>
      </w:pPr>
      <w:hyperlink w:anchor="_Toc40016228" w:history="1">
        <w:r w:rsidR="00543AFC" w:rsidRPr="00F901CA">
          <w:rPr>
            <w:rStyle w:val="Hyperlink"/>
            <w:rFonts w:cs="Times New Roman"/>
            <w:noProof/>
          </w:rPr>
          <w:t>2.</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Preservation of Rights</w:t>
        </w:r>
        <w:r w:rsidR="00543AFC">
          <w:rPr>
            <w:noProof/>
            <w:webHidden/>
          </w:rPr>
          <w:tab/>
        </w:r>
        <w:r w:rsidR="00543AFC">
          <w:rPr>
            <w:noProof/>
            <w:webHidden/>
          </w:rPr>
          <w:fldChar w:fldCharType="begin"/>
        </w:r>
        <w:r w:rsidR="00543AFC">
          <w:rPr>
            <w:noProof/>
            <w:webHidden/>
          </w:rPr>
          <w:instrText xml:space="preserve"> PAGEREF _Toc40016228 \h </w:instrText>
        </w:r>
        <w:r w:rsidR="00543AFC">
          <w:rPr>
            <w:noProof/>
            <w:webHidden/>
          </w:rPr>
        </w:r>
        <w:r w:rsidR="00543AFC">
          <w:rPr>
            <w:noProof/>
            <w:webHidden/>
          </w:rPr>
          <w:fldChar w:fldCharType="separate"/>
        </w:r>
        <w:r w:rsidR="00006EE6">
          <w:rPr>
            <w:noProof/>
            <w:webHidden/>
          </w:rPr>
          <w:t>4</w:t>
        </w:r>
        <w:r w:rsidR="00543AFC">
          <w:rPr>
            <w:noProof/>
            <w:webHidden/>
          </w:rPr>
          <w:fldChar w:fldCharType="end"/>
        </w:r>
      </w:hyperlink>
    </w:p>
    <w:p w14:paraId="3D29FD97" w14:textId="228490C2" w:rsidR="00543AFC" w:rsidRDefault="003F3AB9">
      <w:pPr>
        <w:pStyle w:val="TOC1"/>
        <w:rPr>
          <w:rFonts w:asciiTheme="minorHAnsi" w:eastAsiaTheme="minorEastAsia" w:hAnsiTheme="minorHAnsi" w:cstheme="minorBidi"/>
          <w:noProof/>
          <w:snapToGrid/>
          <w:sz w:val="22"/>
          <w:szCs w:val="22"/>
          <w:lang w:eastAsia="en-GB" w:bidi="ar-SA"/>
        </w:rPr>
      </w:pPr>
      <w:hyperlink w:anchor="_Toc40016229" w:history="1">
        <w:r w:rsidR="00543AFC" w:rsidRPr="00F901CA">
          <w:rPr>
            <w:rStyle w:val="Hyperlink"/>
            <w:rFonts w:cs="Times New Roman"/>
            <w:noProof/>
          </w:rPr>
          <w:t>3.</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Information Undertakings</w:t>
        </w:r>
        <w:r w:rsidR="00543AFC">
          <w:rPr>
            <w:noProof/>
            <w:webHidden/>
          </w:rPr>
          <w:tab/>
        </w:r>
        <w:r w:rsidR="00543AFC">
          <w:rPr>
            <w:noProof/>
            <w:webHidden/>
          </w:rPr>
          <w:fldChar w:fldCharType="begin"/>
        </w:r>
        <w:r w:rsidR="00543AFC">
          <w:rPr>
            <w:noProof/>
            <w:webHidden/>
          </w:rPr>
          <w:instrText xml:space="preserve"> PAGEREF _Toc40016229 \h </w:instrText>
        </w:r>
        <w:r w:rsidR="00543AFC">
          <w:rPr>
            <w:noProof/>
            <w:webHidden/>
          </w:rPr>
        </w:r>
        <w:r w:rsidR="00543AFC">
          <w:rPr>
            <w:noProof/>
            <w:webHidden/>
          </w:rPr>
          <w:fldChar w:fldCharType="separate"/>
        </w:r>
        <w:r w:rsidR="00006EE6">
          <w:rPr>
            <w:noProof/>
            <w:webHidden/>
          </w:rPr>
          <w:t>5</w:t>
        </w:r>
        <w:r w:rsidR="00543AFC">
          <w:rPr>
            <w:noProof/>
            <w:webHidden/>
          </w:rPr>
          <w:fldChar w:fldCharType="end"/>
        </w:r>
      </w:hyperlink>
    </w:p>
    <w:p w14:paraId="0EF25397" w14:textId="2B58D2A2" w:rsidR="00543AFC" w:rsidRDefault="003F3AB9">
      <w:pPr>
        <w:pStyle w:val="TOC1"/>
        <w:rPr>
          <w:rFonts w:asciiTheme="minorHAnsi" w:eastAsiaTheme="minorEastAsia" w:hAnsiTheme="minorHAnsi" w:cstheme="minorBidi"/>
          <w:noProof/>
          <w:snapToGrid/>
          <w:sz w:val="22"/>
          <w:szCs w:val="22"/>
          <w:lang w:eastAsia="en-GB" w:bidi="ar-SA"/>
        </w:rPr>
      </w:pPr>
      <w:hyperlink w:anchor="_Toc40016230" w:history="1">
        <w:r w:rsidR="00543AFC" w:rsidRPr="00F901CA">
          <w:rPr>
            <w:rStyle w:val="Hyperlink"/>
            <w:rFonts w:cs="Times New Roman"/>
            <w:noProof/>
          </w:rPr>
          <w:t>4.</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Benefit of the Guarantee Agreement</w:t>
        </w:r>
        <w:r w:rsidR="00543AFC">
          <w:rPr>
            <w:noProof/>
            <w:webHidden/>
          </w:rPr>
          <w:tab/>
        </w:r>
        <w:r w:rsidR="00543AFC">
          <w:rPr>
            <w:noProof/>
            <w:webHidden/>
          </w:rPr>
          <w:fldChar w:fldCharType="begin"/>
        </w:r>
        <w:r w:rsidR="00543AFC">
          <w:rPr>
            <w:noProof/>
            <w:webHidden/>
          </w:rPr>
          <w:instrText xml:space="preserve"> PAGEREF _Toc40016230 \h </w:instrText>
        </w:r>
        <w:r w:rsidR="00543AFC">
          <w:rPr>
            <w:noProof/>
            <w:webHidden/>
          </w:rPr>
        </w:r>
        <w:r w:rsidR="00543AFC">
          <w:rPr>
            <w:noProof/>
            <w:webHidden/>
          </w:rPr>
          <w:fldChar w:fldCharType="separate"/>
        </w:r>
        <w:r w:rsidR="00006EE6">
          <w:rPr>
            <w:noProof/>
            <w:webHidden/>
          </w:rPr>
          <w:t>5</w:t>
        </w:r>
        <w:r w:rsidR="00543AFC">
          <w:rPr>
            <w:noProof/>
            <w:webHidden/>
          </w:rPr>
          <w:fldChar w:fldCharType="end"/>
        </w:r>
      </w:hyperlink>
    </w:p>
    <w:p w14:paraId="017D7125" w14:textId="46DECBA8" w:rsidR="00543AFC" w:rsidRDefault="003F3AB9">
      <w:pPr>
        <w:pStyle w:val="TOC1"/>
        <w:rPr>
          <w:rFonts w:asciiTheme="minorHAnsi" w:eastAsiaTheme="minorEastAsia" w:hAnsiTheme="minorHAnsi" w:cstheme="minorBidi"/>
          <w:noProof/>
          <w:snapToGrid/>
          <w:sz w:val="22"/>
          <w:szCs w:val="22"/>
          <w:lang w:eastAsia="en-GB" w:bidi="ar-SA"/>
        </w:rPr>
      </w:pPr>
      <w:hyperlink w:anchor="_Toc40016231" w:history="1">
        <w:r w:rsidR="00543AFC" w:rsidRPr="00F901CA">
          <w:rPr>
            <w:rStyle w:val="Hyperlink"/>
            <w:rFonts w:cs="Times New Roman"/>
            <w:noProof/>
          </w:rPr>
          <w:t>5.</w:t>
        </w:r>
        <w:r w:rsidR="00543AFC">
          <w:rPr>
            <w:rFonts w:asciiTheme="minorHAnsi" w:eastAsiaTheme="minorEastAsia" w:hAnsiTheme="minorHAnsi" w:cstheme="minorBidi"/>
            <w:noProof/>
            <w:snapToGrid/>
            <w:sz w:val="22"/>
            <w:szCs w:val="22"/>
            <w:lang w:eastAsia="en-GB" w:bidi="ar-SA"/>
          </w:rPr>
          <w:tab/>
        </w:r>
        <w:r w:rsidR="00543AFC" w:rsidRPr="00F901CA">
          <w:rPr>
            <w:rStyle w:val="Hyperlink"/>
            <w:rFonts w:cs="Times New Roman"/>
            <w:noProof/>
          </w:rPr>
          <w:t>Reduction and Expiry of the Guarantee</w:t>
        </w:r>
        <w:r w:rsidR="00543AFC">
          <w:rPr>
            <w:noProof/>
            <w:webHidden/>
          </w:rPr>
          <w:tab/>
        </w:r>
        <w:r w:rsidR="00543AFC">
          <w:rPr>
            <w:noProof/>
            <w:webHidden/>
          </w:rPr>
          <w:fldChar w:fldCharType="begin"/>
        </w:r>
        <w:r w:rsidR="00543AFC">
          <w:rPr>
            <w:noProof/>
            <w:webHidden/>
          </w:rPr>
          <w:instrText xml:space="preserve"> PAGEREF _Toc40016231 \h </w:instrText>
        </w:r>
        <w:r w:rsidR="00543AFC">
          <w:rPr>
            <w:noProof/>
            <w:webHidden/>
          </w:rPr>
        </w:r>
        <w:r w:rsidR="00543AFC">
          <w:rPr>
            <w:noProof/>
            <w:webHidden/>
          </w:rPr>
          <w:fldChar w:fldCharType="separate"/>
        </w:r>
        <w:r w:rsidR="00006EE6">
          <w:rPr>
            <w:noProof/>
            <w:webHidden/>
          </w:rPr>
          <w:t>5</w:t>
        </w:r>
        <w:r w:rsidR="00543AFC">
          <w:rPr>
            <w:noProof/>
            <w:webHidden/>
          </w:rPr>
          <w:fldChar w:fldCharType="end"/>
        </w:r>
      </w:hyperlink>
    </w:p>
    <w:p w14:paraId="446A4F24" w14:textId="7AC4370E" w:rsidR="00543AFC" w:rsidRDefault="003F3AB9">
      <w:pPr>
        <w:pStyle w:val="TOC1"/>
        <w:rPr>
          <w:rFonts w:asciiTheme="minorHAnsi" w:eastAsiaTheme="minorEastAsia" w:hAnsiTheme="minorHAnsi" w:cstheme="minorBidi"/>
          <w:noProof/>
          <w:snapToGrid/>
          <w:sz w:val="22"/>
          <w:szCs w:val="22"/>
          <w:lang w:eastAsia="en-GB" w:bidi="ar-SA"/>
        </w:rPr>
      </w:pPr>
      <w:hyperlink w:anchor="_Toc40016232" w:history="1">
        <w:r w:rsidR="00543AFC" w:rsidRPr="00F901CA">
          <w:rPr>
            <w:rStyle w:val="Hyperlink"/>
            <w:rFonts w:cs="Times New Roman"/>
            <w:noProof/>
          </w:rPr>
          <w:t>6.</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Interpretation in Conformity and Partial Invalidity</w:t>
        </w:r>
        <w:r w:rsidR="00543AFC">
          <w:rPr>
            <w:noProof/>
            <w:webHidden/>
          </w:rPr>
          <w:tab/>
        </w:r>
        <w:r w:rsidR="00543AFC">
          <w:rPr>
            <w:noProof/>
            <w:webHidden/>
          </w:rPr>
          <w:fldChar w:fldCharType="begin"/>
        </w:r>
        <w:r w:rsidR="00543AFC">
          <w:rPr>
            <w:noProof/>
            <w:webHidden/>
          </w:rPr>
          <w:instrText xml:space="preserve"> PAGEREF _Toc40016232 \h </w:instrText>
        </w:r>
        <w:r w:rsidR="00543AFC">
          <w:rPr>
            <w:noProof/>
            <w:webHidden/>
          </w:rPr>
        </w:r>
        <w:r w:rsidR="00543AFC">
          <w:rPr>
            <w:noProof/>
            <w:webHidden/>
          </w:rPr>
          <w:fldChar w:fldCharType="separate"/>
        </w:r>
        <w:r w:rsidR="00006EE6">
          <w:rPr>
            <w:noProof/>
            <w:webHidden/>
          </w:rPr>
          <w:t>6</w:t>
        </w:r>
        <w:r w:rsidR="00543AFC">
          <w:rPr>
            <w:noProof/>
            <w:webHidden/>
          </w:rPr>
          <w:fldChar w:fldCharType="end"/>
        </w:r>
      </w:hyperlink>
    </w:p>
    <w:p w14:paraId="3D6AE27C" w14:textId="60EBC694" w:rsidR="00543AFC" w:rsidRDefault="003F3AB9">
      <w:pPr>
        <w:pStyle w:val="TOC1"/>
        <w:rPr>
          <w:rFonts w:asciiTheme="minorHAnsi" w:eastAsiaTheme="minorEastAsia" w:hAnsiTheme="minorHAnsi" w:cstheme="minorBidi"/>
          <w:noProof/>
          <w:snapToGrid/>
          <w:sz w:val="22"/>
          <w:szCs w:val="22"/>
          <w:lang w:eastAsia="en-GB" w:bidi="ar-SA"/>
        </w:rPr>
      </w:pPr>
      <w:hyperlink w:anchor="_Toc40016233" w:history="1">
        <w:r w:rsidR="00543AFC" w:rsidRPr="00F901CA">
          <w:rPr>
            <w:rStyle w:val="Hyperlink"/>
            <w:rFonts w:cs="Times New Roman"/>
            <w:noProof/>
          </w:rPr>
          <w:t>7.</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Notices</w:t>
        </w:r>
        <w:r w:rsidR="00543AFC">
          <w:rPr>
            <w:noProof/>
            <w:webHidden/>
          </w:rPr>
          <w:tab/>
        </w:r>
        <w:r w:rsidR="00543AFC">
          <w:rPr>
            <w:noProof/>
            <w:webHidden/>
          </w:rPr>
          <w:fldChar w:fldCharType="begin"/>
        </w:r>
        <w:r w:rsidR="00543AFC">
          <w:rPr>
            <w:noProof/>
            <w:webHidden/>
          </w:rPr>
          <w:instrText xml:space="preserve"> PAGEREF _Toc40016233 \h </w:instrText>
        </w:r>
        <w:r w:rsidR="00543AFC">
          <w:rPr>
            <w:noProof/>
            <w:webHidden/>
          </w:rPr>
        </w:r>
        <w:r w:rsidR="00543AFC">
          <w:rPr>
            <w:noProof/>
            <w:webHidden/>
          </w:rPr>
          <w:fldChar w:fldCharType="separate"/>
        </w:r>
        <w:r w:rsidR="00006EE6">
          <w:rPr>
            <w:noProof/>
            <w:webHidden/>
          </w:rPr>
          <w:t>6</w:t>
        </w:r>
        <w:r w:rsidR="00543AFC">
          <w:rPr>
            <w:noProof/>
            <w:webHidden/>
          </w:rPr>
          <w:fldChar w:fldCharType="end"/>
        </w:r>
      </w:hyperlink>
    </w:p>
    <w:p w14:paraId="487F7C26" w14:textId="46339AA6" w:rsidR="00543AFC" w:rsidRDefault="003F3AB9">
      <w:pPr>
        <w:pStyle w:val="TOC1"/>
        <w:rPr>
          <w:rFonts w:asciiTheme="minorHAnsi" w:eastAsiaTheme="minorEastAsia" w:hAnsiTheme="minorHAnsi" w:cstheme="minorBidi"/>
          <w:noProof/>
          <w:snapToGrid/>
          <w:sz w:val="22"/>
          <w:szCs w:val="22"/>
          <w:lang w:eastAsia="en-GB" w:bidi="ar-SA"/>
        </w:rPr>
      </w:pPr>
      <w:hyperlink w:anchor="_Toc40016234" w:history="1">
        <w:r w:rsidR="00543AFC" w:rsidRPr="00F901CA">
          <w:rPr>
            <w:rStyle w:val="Hyperlink"/>
            <w:rFonts w:cs="Times New Roman"/>
            <w:noProof/>
          </w:rPr>
          <w:t>8.</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Interpretation</w:t>
        </w:r>
        <w:r w:rsidR="00543AFC">
          <w:rPr>
            <w:noProof/>
            <w:webHidden/>
          </w:rPr>
          <w:tab/>
        </w:r>
        <w:r w:rsidR="00543AFC">
          <w:rPr>
            <w:noProof/>
            <w:webHidden/>
          </w:rPr>
          <w:fldChar w:fldCharType="begin"/>
        </w:r>
        <w:r w:rsidR="00543AFC">
          <w:rPr>
            <w:noProof/>
            <w:webHidden/>
          </w:rPr>
          <w:instrText xml:space="preserve"> PAGEREF _Toc40016234 \h </w:instrText>
        </w:r>
        <w:r w:rsidR="00543AFC">
          <w:rPr>
            <w:noProof/>
            <w:webHidden/>
          </w:rPr>
        </w:r>
        <w:r w:rsidR="00543AFC">
          <w:rPr>
            <w:noProof/>
            <w:webHidden/>
          </w:rPr>
          <w:fldChar w:fldCharType="separate"/>
        </w:r>
        <w:r w:rsidR="00006EE6">
          <w:rPr>
            <w:noProof/>
            <w:webHidden/>
          </w:rPr>
          <w:t>7</w:t>
        </w:r>
        <w:r w:rsidR="00543AFC">
          <w:rPr>
            <w:noProof/>
            <w:webHidden/>
          </w:rPr>
          <w:fldChar w:fldCharType="end"/>
        </w:r>
      </w:hyperlink>
    </w:p>
    <w:p w14:paraId="5DCA941F" w14:textId="37447A2F" w:rsidR="00543AFC" w:rsidRDefault="003F3AB9">
      <w:pPr>
        <w:pStyle w:val="TOC1"/>
        <w:rPr>
          <w:rFonts w:asciiTheme="minorHAnsi" w:eastAsiaTheme="minorEastAsia" w:hAnsiTheme="minorHAnsi" w:cstheme="minorBidi"/>
          <w:noProof/>
          <w:snapToGrid/>
          <w:sz w:val="22"/>
          <w:szCs w:val="22"/>
          <w:lang w:eastAsia="en-GB" w:bidi="ar-SA"/>
        </w:rPr>
      </w:pPr>
      <w:hyperlink w:anchor="_Toc40016235" w:history="1">
        <w:r w:rsidR="00543AFC" w:rsidRPr="00F901CA">
          <w:rPr>
            <w:rStyle w:val="Hyperlink"/>
            <w:rFonts w:cs="Times New Roman"/>
            <w:noProof/>
          </w:rPr>
          <w:t>9.</w:t>
        </w:r>
        <w:r w:rsidR="00543AFC">
          <w:rPr>
            <w:rFonts w:asciiTheme="minorHAnsi" w:eastAsiaTheme="minorEastAsia" w:hAnsiTheme="minorHAnsi" w:cstheme="minorBidi"/>
            <w:noProof/>
            <w:snapToGrid/>
            <w:sz w:val="22"/>
            <w:szCs w:val="22"/>
            <w:lang w:eastAsia="en-GB" w:bidi="ar-SA"/>
          </w:rPr>
          <w:tab/>
        </w:r>
        <w:r w:rsidR="00543AFC" w:rsidRPr="00F901CA">
          <w:rPr>
            <w:rStyle w:val="Hyperlink"/>
            <w:noProof/>
          </w:rPr>
          <w:t>Law and Jurisdiction</w:t>
        </w:r>
        <w:r w:rsidR="00543AFC">
          <w:rPr>
            <w:noProof/>
            <w:webHidden/>
          </w:rPr>
          <w:tab/>
        </w:r>
        <w:r w:rsidR="00543AFC">
          <w:rPr>
            <w:noProof/>
            <w:webHidden/>
          </w:rPr>
          <w:fldChar w:fldCharType="begin"/>
        </w:r>
        <w:r w:rsidR="00543AFC">
          <w:rPr>
            <w:noProof/>
            <w:webHidden/>
          </w:rPr>
          <w:instrText xml:space="preserve"> PAGEREF _Toc40016235 \h </w:instrText>
        </w:r>
        <w:r w:rsidR="00543AFC">
          <w:rPr>
            <w:noProof/>
            <w:webHidden/>
          </w:rPr>
        </w:r>
        <w:r w:rsidR="00543AFC">
          <w:rPr>
            <w:noProof/>
            <w:webHidden/>
          </w:rPr>
          <w:fldChar w:fldCharType="separate"/>
        </w:r>
        <w:r w:rsidR="00006EE6">
          <w:rPr>
            <w:noProof/>
            <w:webHidden/>
          </w:rPr>
          <w:t>7</w:t>
        </w:r>
        <w:r w:rsidR="00543AFC">
          <w:rPr>
            <w:noProof/>
            <w:webHidden/>
          </w:rPr>
          <w:fldChar w:fldCharType="end"/>
        </w:r>
      </w:hyperlink>
    </w:p>
    <w:p w14:paraId="6FEA339A" w14:textId="620C93B8" w:rsidR="00D6484F" w:rsidRPr="00AE13FA" w:rsidRDefault="003249B4" w:rsidP="006204CD">
      <w:pPr>
        <w:rPr>
          <w:rFonts w:cs="Times New Roman"/>
        </w:rPr>
      </w:pPr>
      <w:r w:rsidRPr="00AE13FA">
        <w:rPr>
          <w:rFonts w:cs="Times New Roman"/>
          <w:snapToGrid w:val="0"/>
        </w:rPr>
        <w:fldChar w:fldCharType="end"/>
      </w:r>
    </w:p>
    <w:p w14:paraId="06CA8F9D" w14:textId="77777777" w:rsidR="003249B4" w:rsidRPr="00AE13FA" w:rsidRDefault="003249B4" w:rsidP="006204CD">
      <w:pPr>
        <w:rPr>
          <w:rFonts w:cs="Times New Roman"/>
        </w:rPr>
      </w:pPr>
    </w:p>
    <w:p w14:paraId="23F42678" w14:textId="77777777" w:rsidR="000402F2" w:rsidRPr="006227D6" w:rsidRDefault="000402F2" w:rsidP="003B37CB">
      <w:pPr>
        <w:rPr>
          <w:rFonts w:cs="Times New Roman"/>
        </w:rPr>
        <w:sectPr w:rsidR="000402F2" w:rsidRPr="006227D6" w:rsidSect="00C42173">
          <w:headerReference w:type="default" r:id="rId15"/>
          <w:footerReference w:type="default" r:id="rId16"/>
          <w:headerReference w:type="first" r:id="rId17"/>
          <w:footerReference w:type="first" r:id="rId18"/>
          <w:pgSz w:w="11906" w:h="16838" w:code="9"/>
          <w:pgMar w:top="1440" w:right="1440" w:bottom="1440" w:left="1440" w:header="720" w:footer="340" w:gutter="0"/>
          <w:pgNumType w:fmt="lowerRoman"/>
          <w:cols w:space="708"/>
          <w:docGrid w:linePitch="360"/>
        </w:sectPr>
      </w:pPr>
    </w:p>
    <w:p w14:paraId="6874986B" w14:textId="77777777" w:rsidR="00D95E93" w:rsidRPr="006227D6" w:rsidRDefault="00D95E93" w:rsidP="00D95E93">
      <w:pPr>
        <w:pStyle w:val="BodyText"/>
        <w:rPr>
          <w:rFonts w:cs="Times New Roman"/>
          <w:b/>
          <w:bCs/>
        </w:rPr>
      </w:pPr>
      <w:r w:rsidRPr="006227D6">
        <w:rPr>
          <w:rFonts w:cs="Times New Roman"/>
          <w:b/>
          <w:bCs/>
        </w:rPr>
        <w:lastRenderedPageBreak/>
        <w:t>THIS GUARANTEE</w:t>
      </w:r>
      <w:r w:rsidR="00580BC7">
        <w:rPr>
          <w:rFonts w:cs="Times New Roman"/>
          <w:b/>
          <w:bCs/>
        </w:rPr>
        <w:t xml:space="preserve"> AGREEMENT</w:t>
      </w:r>
      <w:r w:rsidRPr="006227D6">
        <w:rPr>
          <w:rFonts w:cs="Times New Roman"/>
          <w:b/>
          <w:bCs/>
        </w:rPr>
        <w:t xml:space="preserve"> </w:t>
      </w:r>
      <w:r w:rsidRPr="006227D6">
        <w:rPr>
          <w:rFonts w:cs="Times New Roman"/>
        </w:rPr>
        <w:t xml:space="preserve">is </w:t>
      </w:r>
      <w:r w:rsidR="00580BC7">
        <w:rPr>
          <w:rFonts w:cs="Times New Roman"/>
        </w:rPr>
        <w:t>between</w:t>
      </w:r>
    </w:p>
    <w:p w14:paraId="5C081E01" w14:textId="77777777" w:rsidR="00D95E93" w:rsidRPr="006227D6" w:rsidRDefault="00E07490" w:rsidP="004E4282">
      <w:pPr>
        <w:pStyle w:val="SimpleL2"/>
        <w:rPr>
          <w:rFonts w:cs="Times New Roman"/>
          <w:lang w:eastAsia="en-GB"/>
        </w:rPr>
      </w:pPr>
      <w:r w:rsidRPr="006227D6">
        <w:rPr>
          <w:rFonts w:cs="Times New Roman"/>
        </w:rPr>
        <w:t xml:space="preserve">[•], </w:t>
      </w:r>
      <w:r w:rsidR="00170BD4" w:rsidRPr="006227D6">
        <w:rPr>
          <w:rFonts w:cs="Times New Roman"/>
        </w:rPr>
        <w:t>(</w:t>
      </w:r>
      <w:r w:rsidR="00170BD4" w:rsidRPr="006227D6">
        <w:rPr>
          <w:rFonts w:cs="Times New Roman"/>
          <w:b/>
        </w:rPr>
        <w:t>“Guarantor”</w:t>
      </w:r>
      <w:r w:rsidR="00170BD4" w:rsidRPr="006227D6">
        <w:rPr>
          <w:rFonts w:cs="Times New Roman"/>
        </w:rPr>
        <w:t xml:space="preserve">) </w:t>
      </w:r>
      <w:r w:rsidRPr="006227D6">
        <w:rPr>
          <w:rFonts w:cs="Times New Roman"/>
        </w:rPr>
        <w:t xml:space="preserve">one </w:t>
      </w:r>
      <w:r w:rsidRPr="006227D6">
        <w:t>of t</w:t>
      </w:r>
      <w:r w:rsidR="00BB26DB" w:rsidRPr="006227D6">
        <w:t xml:space="preserve">he </w:t>
      </w:r>
      <w:r w:rsidR="00D95E93" w:rsidRPr="006227D6">
        <w:t xml:space="preserve">Member States </w:t>
      </w:r>
      <w:r w:rsidR="00BD0617" w:rsidRPr="006227D6">
        <w:t xml:space="preserve">of the European Union </w:t>
      </w:r>
      <w:r w:rsidR="00D95E93" w:rsidRPr="006227D6">
        <w:t>listed in Schedule 1</w:t>
      </w:r>
      <w:r w:rsidR="00522B33" w:rsidRPr="006227D6">
        <w:rPr>
          <w:rFonts w:cs="Times New Roman"/>
          <w:lang w:eastAsia="en-GB"/>
        </w:rPr>
        <w:t>;</w:t>
      </w:r>
      <w:r w:rsidR="00580BC7">
        <w:rPr>
          <w:rFonts w:cs="Times New Roman"/>
          <w:lang w:eastAsia="en-GB"/>
        </w:rPr>
        <w:t xml:space="preserve"> and</w:t>
      </w:r>
    </w:p>
    <w:p w14:paraId="3E740419" w14:textId="77777777" w:rsidR="00DA5F98" w:rsidRPr="00155516" w:rsidRDefault="00BD0617" w:rsidP="004E4282">
      <w:pPr>
        <w:pStyle w:val="SimpleL2"/>
        <w:rPr>
          <w:b/>
          <w:bCs/>
        </w:rPr>
      </w:pPr>
      <w:r w:rsidRPr="00AE13FA">
        <w:t xml:space="preserve">The </w:t>
      </w:r>
      <w:r w:rsidR="00EB02C6" w:rsidRPr="000F087A">
        <w:t>European Commission (</w:t>
      </w:r>
      <w:r w:rsidR="00EB02C6" w:rsidRPr="000F087A">
        <w:rPr>
          <w:b/>
        </w:rPr>
        <w:t>“the Commission”</w:t>
      </w:r>
      <w:r w:rsidR="00EB02C6" w:rsidRPr="00D375FE">
        <w:t>)</w:t>
      </w:r>
    </w:p>
    <w:p w14:paraId="03CE16F7" w14:textId="77777777" w:rsidR="00522B33" w:rsidRPr="004E1EDA" w:rsidRDefault="00DA5F98" w:rsidP="00155516">
      <w:pPr>
        <w:pStyle w:val="SimpleL2"/>
        <w:numPr>
          <w:ilvl w:val="0"/>
          <w:numId w:val="0"/>
        </w:numPr>
        <w:rPr>
          <w:b/>
          <w:bCs/>
        </w:rPr>
      </w:pPr>
      <w:r>
        <w:t>Respectively a Party to this agreement.</w:t>
      </w:r>
    </w:p>
    <w:p w14:paraId="1453BA14" w14:textId="77777777" w:rsidR="00D95E93" w:rsidRPr="004E7E8C" w:rsidRDefault="00D95E93" w:rsidP="00D95E93">
      <w:pPr>
        <w:pStyle w:val="BodyText"/>
        <w:rPr>
          <w:rFonts w:cs="Times New Roman"/>
          <w:b/>
          <w:bCs/>
        </w:rPr>
      </w:pPr>
      <w:r w:rsidRPr="004E7E8C">
        <w:rPr>
          <w:rFonts w:cs="Times New Roman"/>
          <w:b/>
          <w:bCs/>
        </w:rPr>
        <w:t xml:space="preserve">WHEREAS </w:t>
      </w:r>
    </w:p>
    <w:p w14:paraId="6B165B84" w14:textId="4DC7BDD3" w:rsidR="00116853" w:rsidRPr="006227D6" w:rsidRDefault="003713B5" w:rsidP="00B61AAB">
      <w:pPr>
        <w:pStyle w:val="SimpleL4"/>
      </w:pPr>
      <w:r w:rsidRPr="0065131E">
        <w:t xml:space="preserve">Council Regulation </w:t>
      </w:r>
      <w:r w:rsidR="009F4488">
        <w:t>(EU) 2020/672</w:t>
      </w:r>
      <w:r w:rsidR="009F4488" w:rsidRPr="0065131E">
        <w:t xml:space="preserve"> </w:t>
      </w:r>
      <w:r w:rsidRPr="0065131E">
        <w:t xml:space="preserve">on the establishment of a European instrument for temporary support to mitigate unemployment risks in an emergency (SURE) following the COVID-19 outbreak </w:t>
      </w:r>
      <w:r w:rsidRPr="006227D6">
        <w:t>(“</w:t>
      </w:r>
      <w:r w:rsidRPr="00E62DEE">
        <w:rPr>
          <w:b/>
        </w:rPr>
        <w:t>Council Regulation</w:t>
      </w:r>
      <w:r w:rsidRPr="00AE13FA">
        <w:t xml:space="preserve"> </w:t>
      </w:r>
      <w:r w:rsidR="009F4488" w:rsidRPr="009F4488">
        <w:rPr>
          <w:b/>
        </w:rPr>
        <w:t>(EU) 2020/672</w:t>
      </w:r>
      <w:r w:rsidR="009F4488" w:rsidRPr="000F087A">
        <w:t xml:space="preserve">”) </w:t>
      </w:r>
      <w:r w:rsidRPr="000F087A">
        <w:t xml:space="preserve">permits the Union, under circumstances contained therein, to </w:t>
      </w:r>
      <w:r w:rsidR="00116853" w:rsidRPr="000F087A">
        <w:t>mak</w:t>
      </w:r>
      <w:r w:rsidRPr="000F087A">
        <w:t>e available</w:t>
      </w:r>
      <w:r w:rsidR="00116853" w:rsidRPr="00D375FE">
        <w:t xml:space="preserve"> </w:t>
      </w:r>
      <w:r w:rsidR="00AF42C8" w:rsidRPr="00D375FE">
        <w:t xml:space="preserve">financial assistance </w:t>
      </w:r>
      <w:r w:rsidRPr="00D375FE">
        <w:t xml:space="preserve">up to a maximum amount of EUR 100 000 000 000 </w:t>
      </w:r>
      <w:r w:rsidR="00AF42C8" w:rsidRPr="004E1EDA">
        <w:t xml:space="preserve">to </w:t>
      </w:r>
      <w:r w:rsidR="00116853" w:rsidRPr="005F55FE">
        <w:t>Me</w:t>
      </w:r>
      <w:r w:rsidR="00AF42C8" w:rsidRPr="004E7E8C">
        <w:t xml:space="preserve">mber States </w:t>
      </w:r>
      <w:r w:rsidRPr="004E7E8C">
        <w:t xml:space="preserve">of the European Union </w:t>
      </w:r>
      <w:r w:rsidR="00AF42C8" w:rsidRPr="004E7E8C">
        <w:t>in the form of</w:t>
      </w:r>
      <w:r w:rsidRPr="004E7E8C">
        <w:t xml:space="preserve"> a</w:t>
      </w:r>
      <w:r w:rsidR="00AF42C8" w:rsidRPr="0065131E">
        <w:t xml:space="preserve"> </w:t>
      </w:r>
      <w:r w:rsidR="00AF42C8" w:rsidRPr="00E62DEE">
        <w:t>loan</w:t>
      </w:r>
      <w:r w:rsidR="00B61AAB">
        <w:t xml:space="preserve"> facility according to a loan</w:t>
      </w:r>
      <w:r w:rsidR="00116853" w:rsidRPr="00E62DEE">
        <w:t xml:space="preserve"> agreement ("</w:t>
      </w:r>
      <w:r w:rsidR="00AF42C8" w:rsidRPr="00E62DEE">
        <w:rPr>
          <w:b/>
          <w:bCs/>
        </w:rPr>
        <w:t xml:space="preserve">Loan </w:t>
      </w:r>
      <w:r w:rsidR="00116853" w:rsidRPr="00E62DEE">
        <w:rPr>
          <w:b/>
          <w:bCs/>
        </w:rPr>
        <w:t>Agreement</w:t>
      </w:r>
      <w:r w:rsidR="00116853" w:rsidRPr="00E62DEE">
        <w:t>")</w:t>
      </w:r>
      <w:r w:rsidR="00116853" w:rsidRPr="000F087A">
        <w:t xml:space="preserve">. </w:t>
      </w:r>
      <w:r w:rsidR="00B61AAB">
        <w:t xml:space="preserve">According to Article 6(1) of Council Regulation </w:t>
      </w:r>
      <w:r w:rsidR="009F4488" w:rsidRPr="009F4488">
        <w:t>(EU) 2020/672</w:t>
      </w:r>
      <w:r w:rsidR="00B61AAB">
        <w:t>,</w:t>
      </w:r>
      <w:r w:rsidR="00082141">
        <w:t xml:space="preserve"> </w:t>
      </w:r>
      <w:r w:rsidRPr="000F087A">
        <w:t xml:space="preserve">such financial </w:t>
      </w:r>
      <w:r w:rsidR="00B61AAB">
        <w:t xml:space="preserve">assistance is to be made available </w:t>
      </w:r>
      <w:r w:rsidR="00B61AAB" w:rsidRPr="00B61AAB">
        <w:t xml:space="preserve">by </w:t>
      </w:r>
      <w:r w:rsidR="000D29CD">
        <w:t>means of a</w:t>
      </w:r>
      <w:r w:rsidR="00B61AAB" w:rsidRPr="00B61AAB">
        <w:t xml:space="preserve"> Council implementing </w:t>
      </w:r>
      <w:r w:rsidR="000D29CD">
        <w:t>decision</w:t>
      </w:r>
      <w:r w:rsidRPr="000F087A">
        <w:t>.</w:t>
      </w:r>
    </w:p>
    <w:p w14:paraId="53C1D761" w14:textId="03433BEE" w:rsidR="003713B5" w:rsidRPr="000F087A" w:rsidRDefault="00596A3E" w:rsidP="001A246E">
      <w:pPr>
        <w:pStyle w:val="SimpleL4"/>
      </w:pPr>
      <w:r w:rsidRPr="000F087A">
        <w:t xml:space="preserve">Council Regulation </w:t>
      </w:r>
      <w:r w:rsidR="00E5439D" w:rsidRPr="009F4488">
        <w:t>(EU) 2020/672</w:t>
      </w:r>
      <w:r w:rsidR="00F53871" w:rsidRPr="00D375FE">
        <w:t xml:space="preserve"> </w:t>
      </w:r>
      <w:r w:rsidR="00F53871" w:rsidRPr="000F087A">
        <w:t>has</w:t>
      </w:r>
      <w:r w:rsidR="00D95E93" w:rsidRPr="000F087A">
        <w:t xml:space="preserve"> </w:t>
      </w:r>
      <w:r w:rsidR="003713B5" w:rsidRPr="000F087A">
        <w:t xml:space="preserve">empowered </w:t>
      </w:r>
      <w:r w:rsidR="00F53871" w:rsidRPr="000F087A">
        <w:t xml:space="preserve">the </w:t>
      </w:r>
      <w:r w:rsidR="003713B5" w:rsidRPr="0065131E">
        <w:t xml:space="preserve">Commission on behalf of the Union </w:t>
      </w:r>
      <w:r w:rsidR="003713B5" w:rsidRPr="006227D6">
        <w:t>to borrow on the capital markets and with financial institutions in order to finance the loan</w:t>
      </w:r>
      <w:r w:rsidR="00B61AAB">
        <w:t xml:space="preserve"> facilitie</w:t>
      </w:r>
      <w:r w:rsidR="003713B5" w:rsidRPr="006227D6">
        <w:t>s (“</w:t>
      </w:r>
      <w:r w:rsidR="003713B5" w:rsidRPr="00E62DEE">
        <w:rPr>
          <w:b/>
        </w:rPr>
        <w:t>Borrowings</w:t>
      </w:r>
      <w:r w:rsidR="003713B5" w:rsidRPr="00AE13FA">
        <w:t>”).</w:t>
      </w:r>
      <w:r w:rsidR="003713B5" w:rsidRPr="000F087A">
        <w:t xml:space="preserve"> </w:t>
      </w:r>
    </w:p>
    <w:p w14:paraId="4E708AF7" w14:textId="77777777" w:rsidR="00960CD3" w:rsidRPr="000F087A" w:rsidRDefault="003713B5" w:rsidP="001A246E">
      <w:pPr>
        <w:pStyle w:val="SimpleL4"/>
      </w:pPr>
      <w:r w:rsidRPr="000F087A">
        <w:t xml:space="preserve">In the event of a </w:t>
      </w:r>
      <w:r w:rsidR="00666F0B">
        <w:t xml:space="preserve">partial or total </w:t>
      </w:r>
      <w:r w:rsidRPr="000F087A">
        <w:t xml:space="preserve">non-payment under a Loan Agreement, the Union may </w:t>
      </w:r>
      <w:r w:rsidR="00B61AAB">
        <w:t xml:space="preserve">risk </w:t>
      </w:r>
      <w:r w:rsidRPr="000F087A">
        <w:t>not</w:t>
      </w:r>
      <w:r w:rsidR="00B61AAB">
        <w:t xml:space="preserve"> to</w:t>
      </w:r>
      <w:r w:rsidRPr="000F087A">
        <w:t xml:space="preserve"> have available sufficient resources to </w:t>
      </w:r>
      <w:r w:rsidR="00B61AAB">
        <w:t>fulfil</w:t>
      </w:r>
      <w:r w:rsidR="00B61AAB" w:rsidRPr="000F087A">
        <w:t xml:space="preserve"> </w:t>
      </w:r>
      <w:r w:rsidRPr="000F087A">
        <w:t>the payment</w:t>
      </w:r>
      <w:r w:rsidR="00B61AAB">
        <w:t xml:space="preserve"> obligations arising from the Borrowings</w:t>
      </w:r>
      <w:r w:rsidRPr="000F087A">
        <w:t>.</w:t>
      </w:r>
    </w:p>
    <w:p w14:paraId="4E9000B1" w14:textId="7AD3107A" w:rsidR="00F05776" w:rsidRDefault="001A246E" w:rsidP="00F05776">
      <w:pPr>
        <w:pStyle w:val="SimpleL4"/>
      </w:pPr>
      <w:r w:rsidRPr="00D375FE">
        <w:rPr>
          <w:rFonts w:cs="Times New Roman"/>
        </w:rPr>
        <w:t xml:space="preserve">Council Regulation </w:t>
      </w:r>
      <w:r w:rsidR="00E5439D" w:rsidRPr="009F4488">
        <w:t>(EU) 2020/672</w:t>
      </w:r>
      <w:r w:rsidRPr="00D375FE">
        <w:rPr>
          <w:rFonts w:cs="Times New Roman"/>
        </w:rPr>
        <w:t xml:space="preserve"> provides that the Member States of the European Union </w:t>
      </w:r>
      <w:r w:rsidR="0033129E">
        <w:rPr>
          <w:rFonts w:cs="Times New Roman"/>
        </w:rPr>
        <w:t>listed in Schedule 1 (together called the “</w:t>
      </w:r>
      <w:r w:rsidR="0033129E" w:rsidRPr="0033129E">
        <w:rPr>
          <w:rFonts w:cs="Times New Roman"/>
          <w:b/>
        </w:rPr>
        <w:t>Guarantors</w:t>
      </w:r>
      <w:r w:rsidR="0033129E">
        <w:rPr>
          <w:rFonts w:cs="Times New Roman"/>
        </w:rPr>
        <w:t xml:space="preserve">”) </w:t>
      </w:r>
      <w:r w:rsidRPr="00D375FE">
        <w:rPr>
          <w:rFonts w:cs="Times New Roman"/>
        </w:rPr>
        <w:t xml:space="preserve">may contribute to SURE by counter-guaranteeing the risk borne by the Union </w:t>
      </w:r>
      <w:r w:rsidR="003713B5" w:rsidRPr="004E1EDA">
        <w:rPr>
          <w:rFonts w:cs="Times New Roman"/>
        </w:rPr>
        <w:t xml:space="preserve">and that such contributions shall be provided </w:t>
      </w:r>
      <w:r w:rsidRPr="004E1EDA">
        <w:t>in the form of irrevocable, unconditional and on</w:t>
      </w:r>
      <w:r w:rsidR="000D29CD">
        <w:t>-</w:t>
      </w:r>
      <w:r w:rsidRPr="004E1EDA">
        <w:t xml:space="preserve">demand guarantees. </w:t>
      </w:r>
      <w:r w:rsidR="00F05776">
        <w:t>Article 11(</w:t>
      </w:r>
      <w:r w:rsidR="000D29CD">
        <w:t>3</w:t>
      </w:r>
      <w:r w:rsidR="00F05776">
        <w:t xml:space="preserve">) of Council Regulation </w:t>
      </w:r>
      <w:r w:rsidR="00E5439D" w:rsidRPr="009F4488">
        <w:t>(EU) 2020/672</w:t>
      </w:r>
      <w:r w:rsidR="00F05776">
        <w:rPr>
          <w:rFonts w:cs="Times New Roman"/>
        </w:rPr>
        <w:t xml:space="preserve"> </w:t>
      </w:r>
      <w:r w:rsidR="00DF766B">
        <w:t xml:space="preserve">provides </w:t>
      </w:r>
      <w:r w:rsidR="00F05776">
        <w:t xml:space="preserve">that the Commission is to conclude an agreement with a contributing Member State on the </w:t>
      </w:r>
      <w:r w:rsidR="00F05776" w:rsidRPr="004E1EDA">
        <w:t>irrevocable, unconditional and on</w:t>
      </w:r>
      <w:r w:rsidR="00FB0AD3">
        <w:t>-</w:t>
      </w:r>
      <w:r w:rsidR="00F05776" w:rsidRPr="004E1EDA">
        <w:t>demand guarantee</w:t>
      </w:r>
      <w:r w:rsidR="00F05776">
        <w:t>, and that such agreement is to set out the payment conditions (a “</w:t>
      </w:r>
      <w:r w:rsidR="00F05776" w:rsidRPr="00F440C0">
        <w:rPr>
          <w:b/>
        </w:rPr>
        <w:t>Guarantee</w:t>
      </w:r>
      <w:r w:rsidR="00666F0B">
        <w:rPr>
          <w:b/>
        </w:rPr>
        <w:t xml:space="preserve"> Agreement</w:t>
      </w:r>
      <w:r w:rsidR="00F05776">
        <w:t xml:space="preserve">”). </w:t>
      </w:r>
      <w:r w:rsidR="00F05776" w:rsidRPr="004E1EDA">
        <w:t xml:space="preserve"> </w:t>
      </w:r>
    </w:p>
    <w:p w14:paraId="057773C6" w14:textId="1A290D69" w:rsidR="00263E1E" w:rsidRDefault="00263E1E" w:rsidP="00263E1E">
      <w:pPr>
        <w:pStyle w:val="SimpleL4"/>
      </w:pPr>
      <w:r>
        <w:t>Article 11(</w:t>
      </w:r>
      <w:r w:rsidR="000D29CD">
        <w:t>4</w:t>
      </w:r>
      <w:r>
        <w:t xml:space="preserve">) of Council Regulation </w:t>
      </w:r>
      <w:r w:rsidR="00E5439D" w:rsidRPr="009F4488">
        <w:t>(EU) 2020/672</w:t>
      </w:r>
      <w:r>
        <w:rPr>
          <w:rFonts w:cs="Times New Roman"/>
        </w:rPr>
        <w:t xml:space="preserve"> </w:t>
      </w:r>
      <w:r>
        <w:t>provides that a</w:t>
      </w:r>
      <w:r w:rsidRPr="00263E1E">
        <w:t xml:space="preserve"> Member State who has failed to honour a call shall remain liable to honour it</w:t>
      </w:r>
      <w:r>
        <w:t>.</w:t>
      </w:r>
    </w:p>
    <w:p w14:paraId="52A134DE" w14:textId="2E0AFD5E" w:rsidR="00F05776" w:rsidRPr="000F087A" w:rsidRDefault="00F05776" w:rsidP="00B61AAB">
      <w:pPr>
        <w:pStyle w:val="SimpleL4"/>
      </w:pPr>
      <w:r>
        <w:t xml:space="preserve">Article 12(1) of Council Regulation </w:t>
      </w:r>
      <w:r w:rsidR="00E5439D" w:rsidRPr="009F4488">
        <w:t>(EU) 2020/672</w:t>
      </w:r>
      <w:r>
        <w:rPr>
          <w:rFonts w:cs="Times New Roman"/>
        </w:rPr>
        <w:t xml:space="preserve"> provides that financial assistance shall only become available after all Member States have contributed to SURE</w:t>
      </w:r>
      <w:r w:rsidR="00666F0B">
        <w:rPr>
          <w:rFonts w:cs="Times New Roman"/>
        </w:rPr>
        <w:t xml:space="preserve"> by means of a Guarantee Agreement</w:t>
      </w:r>
      <w:r>
        <w:rPr>
          <w:rFonts w:cs="Times New Roman"/>
        </w:rPr>
        <w:t>.</w:t>
      </w:r>
    </w:p>
    <w:p w14:paraId="0D75FC7F" w14:textId="77777777" w:rsidR="003713B5" w:rsidRDefault="00B61AAB" w:rsidP="001A246E">
      <w:pPr>
        <w:pStyle w:val="SimpleL4"/>
      </w:pPr>
      <w:r>
        <w:t>E</w:t>
      </w:r>
      <w:r w:rsidR="003713B5" w:rsidRPr="004E1EDA">
        <w:t xml:space="preserve">ach Member State </w:t>
      </w:r>
      <w:r w:rsidR="003713B5" w:rsidRPr="005F55FE">
        <w:t xml:space="preserve">of the European Union </w:t>
      </w:r>
      <w:r w:rsidR="003713B5" w:rsidRPr="004E7E8C">
        <w:t xml:space="preserve">remains fully and individually liable for the commitments that </w:t>
      </w:r>
      <w:r>
        <w:t xml:space="preserve">it has </w:t>
      </w:r>
      <w:r w:rsidR="003713B5" w:rsidRPr="0065131E">
        <w:t xml:space="preserve">made in </w:t>
      </w:r>
      <w:r>
        <w:t>a</w:t>
      </w:r>
      <w:r w:rsidRPr="0065131E">
        <w:t xml:space="preserve"> </w:t>
      </w:r>
      <w:r w:rsidR="003713B5" w:rsidRPr="0065131E">
        <w:t xml:space="preserve">Loan Agreement or under </w:t>
      </w:r>
      <w:r>
        <w:t>a</w:t>
      </w:r>
      <w:r w:rsidRPr="0065131E">
        <w:t xml:space="preserve"> </w:t>
      </w:r>
      <w:r w:rsidR="003713B5" w:rsidRPr="0065131E">
        <w:t>Guarantee</w:t>
      </w:r>
      <w:r w:rsidR="00666F0B">
        <w:t xml:space="preserve"> Agreement</w:t>
      </w:r>
      <w:r w:rsidR="003713B5" w:rsidRPr="0065131E">
        <w:t>.</w:t>
      </w:r>
    </w:p>
    <w:p w14:paraId="0264516F" w14:textId="77777777" w:rsidR="00666F0B" w:rsidRPr="0065131E" w:rsidRDefault="00666F0B" w:rsidP="00B77D20">
      <w:pPr>
        <w:pStyle w:val="SimpleL4"/>
        <w:numPr>
          <w:ilvl w:val="0"/>
          <w:numId w:val="0"/>
        </w:numPr>
        <w:ind w:left="720"/>
      </w:pPr>
    </w:p>
    <w:p w14:paraId="5D94B2C4" w14:textId="77777777" w:rsidR="00D95E93" w:rsidRPr="004E1EDA" w:rsidRDefault="00D95E93" w:rsidP="000F7FEA">
      <w:pPr>
        <w:pStyle w:val="StandardL1"/>
      </w:pPr>
      <w:bookmarkStart w:id="0" w:name="_Toc38557092"/>
      <w:bookmarkStart w:id="1" w:name="_Toc38557133"/>
      <w:bookmarkStart w:id="2" w:name="_Toc38557157"/>
      <w:bookmarkStart w:id="3" w:name="_Toc38557177"/>
      <w:bookmarkStart w:id="4" w:name="_Toc38568565"/>
      <w:bookmarkStart w:id="5" w:name="_Toc38704892"/>
      <w:bookmarkStart w:id="6" w:name="_Toc40016227"/>
      <w:bookmarkEnd w:id="0"/>
      <w:bookmarkEnd w:id="1"/>
      <w:bookmarkEnd w:id="2"/>
      <w:bookmarkEnd w:id="3"/>
      <w:bookmarkEnd w:id="4"/>
      <w:r w:rsidRPr="004E1EDA">
        <w:lastRenderedPageBreak/>
        <w:t>Guarantee and Indemnity</w:t>
      </w:r>
      <w:bookmarkEnd w:id="5"/>
      <w:bookmarkEnd w:id="6"/>
      <w:r w:rsidRPr="004E1EDA">
        <w:t xml:space="preserve"> </w:t>
      </w:r>
    </w:p>
    <w:p w14:paraId="2C9ADFD3" w14:textId="77777777" w:rsidR="00D95E93" w:rsidRPr="004E7E8C" w:rsidRDefault="00D95E93" w:rsidP="000F7FEA">
      <w:pPr>
        <w:pStyle w:val="StandardL2"/>
        <w:keepNext/>
        <w:rPr>
          <w:rFonts w:cs="Times New Roman"/>
        </w:rPr>
      </w:pPr>
      <w:r w:rsidRPr="004E7E8C">
        <w:rPr>
          <w:rFonts w:cs="Times New Roman"/>
        </w:rPr>
        <w:t xml:space="preserve">Guarantee </w:t>
      </w:r>
    </w:p>
    <w:p w14:paraId="4C896B3B" w14:textId="5494B775" w:rsidR="004E4282" w:rsidRPr="00E62DEE" w:rsidRDefault="00157BFC" w:rsidP="003713B5">
      <w:pPr>
        <w:pStyle w:val="BodyText1"/>
        <w:keepNext/>
        <w:rPr>
          <w:rFonts w:cs="Times New Roman"/>
          <w:strike/>
        </w:rPr>
      </w:pPr>
      <w:r w:rsidRPr="0065131E">
        <w:rPr>
          <w:rFonts w:cs="Times New Roman"/>
        </w:rPr>
        <w:t xml:space="preserve">The </w:t>
      </w:r>
      <w:r w:rsidR="00D95E93" w:rsidRPr="0065131E">
        <w:rPr>
          <w:rFonts w:cs="Times New Roman"/>
        </w:rPr>
        <w:t xml:space="preserve">Guarantor hereby unconditionally and irrevocably </w:t>
      </w:r>
      <w:r w:rsidR="00D95E93" w:rsidRPr="006227D6">
        <w:rPr>
          <w:rFonts w:cs="Times New Roman"/>
        </w:rPr>
        <w:t>guarantees</w:t>
      </w:r>
      <w:r w:rsidR="00C7632B" w:rsidRPr="006227D6">
        <w:rPr>
          <w:rFonts w:cs="Times New Roman"/>
        </w:rPr>
        <w:t xml:space="preserve"> </w:t>
      </w:r>
      <w:r w:rsidR="004E4282" w:rsidRPr="006227D6">
        <w:rPr>
          <w:rFonts w:cs="Times New Roman"/>
        </w:rPr>
        <w:t xml:space="preserve">to </w:t>
      </w:r>
      <w:r w:rsidR="00C7632B" w:rsidRPr="006227D6">
        <w:rPr>
          <w:rFonts w:cs="Times New Roman"/>
        </w:rPr>
        <w:t>the</w:t>
      </w:r>
      <w:r w:rsidR="004E4282" w:rsidRPr="006227D6">
        <w:rPr>
          <w:rFonts w:cs="Times New Roman"/>
        </w:rPr>
        <w:t xml:space="preserve"> </w:t>
      </w:r>
      <w:r w:rsidR="00365812" w:rsidRPr="006227D6">
        <w:rPr>
          <w:rFonts w:cs="Times New Roman"/>
        </w:rPr>
        <w:t xml:space="preserve">Union </w:t>
      </w:r>
      <w:r w:rsidR="00D95E93" w:rsidRPr="00AE13FA">
        <w:rPr>
          <w:rFonts w:cs="Times New Roman"/>
        </w:rPr>
        <w:t xml:space="preserve">the due and punctual payment </w:t>
      </w:r>
      <w:r w:rsidR="008E20A4">
        <w:rPr>
          <w:rFonts w:cs="Times New Roman"/>
        </w:rPr>
        <w:t xml:space="preserve">on demand </w:t>
      </w:r>
      <w:r w:rsidR="00D95E93" w:rsidRPr="00AE13FA">
        <w:rPr>
          <w:rFonts w:cs="Times New Roman"/>
        </w:rPr>
        <w:t xml:space="preserve">of </w:t>
      </w:r>
      <w:r w:rsidR="00FA664B" w:rsidRPr="00AE13FA">
        <w:rPr>
          <w:rFonts w:cs="Times New Roman"/>
        </w:rPr>
        <w:t xml:space="preserve">up to </w:t>
      </w:r>
      <w:r w:rsidR="00EE3195" w:rsidRPr="000F087A">
        <w:rPr>
          <w:rFonts w:cs="Times New Roman"/>
        </w:rPr>
        <w:t>100</w:t>
      </w:r>
      <w:r w:rsidR="003F37A9">
        <w:rPr>
          <w:rFonts w:cs="Times New Roman"/>
        </w:rPr>
        <w:t xml:space="preserve"> per cent</w:t>
      </w:r>
      <w:r w:rsidR="00106495" w:rsidRPr="000F087A">
        <w:rPr>
          <w:rFonts w:cs="Times New Roman"/>
        </w:rPr>
        <w:t xml:space="preserve"> of </w:t>
      </w:r>
      <w:r w:rsidR="00C7632B" w:rsidRPr="000F087A">
        <w:rPr>
          <w:rFonts w:cs="Times New Roman"/>
        </w:rPr>
        <w:t xml:space="preserve">its </w:t>
      </w:r>
      <w:r w:rsidR="00623BB6" w:rsidRPr="000F087A">
        <w:rPr>
          <w:rFonts w:cs="Times New Roman"/>
        </w:rPr>
        <w:t>c</w:t>
      </w:r>
      <w:r w:rsidR="005E5977" w:rsidRPr="000F087A">
        <w:rPr>
          <w:rFonts w:cs="Times New Roman"/>
        </w:rPr>
        <w:t xml:space="preserve">ontribution </w:t>
      </w:r>
      <w:r w:rsidR="000D643E" w:rsidRPr="0065131E">
        <w:rPr>
          <w:rFonts w:cs="Times New Roman"/>
        </w:rPr>
        <w:t>(the "</w:t>
      </w:r>
      <w:r w:rsidR="006F1965" w:rsidRPr="0065131E">
        <w:rPr>
          <w:rFonts w:cs="Times New Roman"/>
          <w:b/>
          <w:bCs/>
        </w:rPr>
        <w:t xml:space="preserve">Guaranteed </w:t>
      </w:r>
      <w:r w:rsidR="00623BB6" w:rsidRPr="006227D6">
        <w:rPr>
          <w:rFonts w:cs="Times New Roman"/>
          <w:b/>
          <w:bCs/>
        </w:rPr>
        <w:t>Contribution</w:t>
      </w:r>
      <w:r w:rsidR="000D643E" w:rsidRPr="006227D6">
        <w:rPr>
          <w:rFonts w:cs="Times New Roman"/>
        </w:rPr>
        <w:t xml:space="preserve">") </w:t>
      </w:r>
      <w:r w:rsidR="00D95E93" w:rsidRPr="006227D6">
        <w:rPr>
          <w:rFonts w:cs="Times New Roman"/>
        </w:rPr>
        <w:t xml:space="preserve">and accordingly undertakes to pay to </w:t>
      </w:r>
      <w:r w:rsidR="000D643E" w:rsidRPr="006227D6">
        <w:rPr>
          <w:rFonts w:cs="Times New Roman"/>
        </w:rPr>
        <w:t>the</w:t>
      </w:r>
      <w:r w:rsidR="00EE3195" w:rsidRPr="006227D6">
        <w:rPr>
          <w:rFonts w:cs="Times New Roman"/>
        </w:rPr>
        <w:t xml:space="preserve"> </w:t>
      </w:r>
      <w:r w:rsidR="00365812" w:rsidRPr="006227D6">
        <w:rPr>
          <w:rFonts w:cs="Times New Roman"/>
        </w:rPr>
        <w:t>Union</w:t>
      </w:r>
      <w:r w:rsidR="00D95E93" w:rsidRPr="00AE13FA">
        <w:rPr>
          <w:rFonts w:cs="Times New Roman"/>
        </w:rPr>
        <w:t xml:space="preserve">, </w:t>
      </w:r>
      <w:r w:rsidR="003D2CC3" w:rsidRPr="00AE13FA">
        <w:rPr>
          <w:rFonts w:cs="Times New Roman"/>
        </w:rPr>
        <w:t xml:space="preserve">within </w:t>
      </w:r>
      <w:r w:rsidR="003713B5" w:rsidRPr="000F087A">
        <w:rPr>
          <w:rFonts w:cs="Times New Roman"/>
        </w:rPr>
        <w:t xml:space="preserve">ten </w:t>
      </w:r>
      <w:r w:rsidR="00EE3195" w:rsidRPr="00AE13FA">
        <w:rPr>
          <w:rFonts w:cs="Times New Roman"/>
        </w:rPr>
        <w:t>(</w:t>
      </w:r>
      <w:r w:rsidR="003713B5" w:rsidRPr="00E62DEE">
        <w:rPr>
          <w:rFonts w:cs="Times New Roman"/>
        </w:rPr>
        <w:t>1</w:t>
      </w:r>
      <w:r w:rsidR="00EE3195" w:rsidRPr="00E62DEE">
        <w:rPr>
          <w:rFonts w:cs="Times New Roman"/>
        </w:rPr>
        <w:t>0</w:t>
      </w:r>
      <w:r w:rsidR="004E5241" w:rsidRPr="00AE13FA">
        <w:rPr>
          <w:rFonts w:cs="Times New Roman"/>
        </w:rPr>
        <w:t>)</w:t>
      </w:r>
      <w:r w:rsidR="003D2CC3" w:rsidRPr="00AE13FA">
        <w:rPr>
          <w:rFonts w:cs="Times New Roman"/>
        </w:rPr>
        <w:t xml:space="preserve"> </w:t>
      </w:r>
      <w:r w:rsidR="00FA1FA2" w:rsidRPr="00AE13FA">
        <w:rPr>
          <w:rFonts w:cs="Times New Roman"/>
        </w:rPr>
        <w:t>B</w:t>
      </w:r>
      <w:r w:rsidR="003D2CC3" w:rsidRPr="000F087A">
        <w:rPr>
          <w:rFonts w:cs="Times New Roman"/>
        </w:rPr>
        <w:t xml:space="preserve">usiness </w:t>
      </w:r>
      <w:r w:rsidR="00FA1FA2" w:rsidRPr="000F087A">
        <w:rPr>
          <w:rFonts w:cs="Times New Roman"/>
        </w:rPr>
        <w:t>D</w:t>
      </w:r>
      <w:r w:rsidR="003D2CC3" w:rsidRPr="000F087A">
        <w:rPr>
          <w:rFonts w:cs="Times New Roman"/>
        </w:rPr>
        <w:t xml:space="preserve">ays </w:t>
      </w:r>
      <w:r w:rsidR="00DF1C0E" w:rsidRPr="000F087A">
        <w:rPr>
          <w:rFonts w:cs="Times New Roman"/>
        </w:rPr>
        <w:t>(or such shorter period as is specified in this Guarantee</w:t>
      </w:r>
      <w:r w:rsidR="008E20A4">
        <w:rPr>
          <w:rFonts w:cs="Times New Roman"/>
        </w:rPr>
        <w:t xml:space="preserve"> Agreement</w:t>
      </w:r>
      <w:r w:rsidR="00DF1C0E" w:rsidRPr="000F087A">
        <w:rPr>
          <w:rFonts w:cs="Times New Roman"/>
        </w:rPr>
        <w:t xml:space="preserve">) </w:t>
      </w:r>
      <w:r w:rsidR="003D2CC3" w:rsidRPr="000F087A">
        <w:rPr>
          <w:rFonts w:cs="Times New Roman"/>
        </w:rPr>
        <w:t xml:space="preserve">of receiving a written </w:t>
      </w:r>
      <w:r w:rsidR="00D95E93" w:rsidRPr="000F087A">
        <w:rPr>
          <w:rFonts w:cs="Times New Roman"/>
        </w:rPr>
        <w:t xml:space="preserve">demand </w:t>
      </w:r>
      <w:r w:rsidR="00A91623" w:rsidRPr="000F087A">
        <w:rPr>
          <w:rFonts w:cs="Times New Roman"/>
        </w:rPr>
        <w:t xml:space="preserve">from </w:t>
      </w:r>
      <w:r w:rsidR="00522B33" w:rsidRPr="00D375FE">
        <w:rPr>
          <w:rFonts w:cs="Times New Roman"/>
        </w:rPr>
        <w:t xml:space="preserve">the </w:t>
      </w:r>
      <w:r w:rsidR="008E20A4">
        <w:rPr>
          <w:rFonts w:cs="Times New Roman"/>
        </w:rPr>
        <w:t>Commission</w:t>
      </w:r>
      <w:r w:rsidR="008E20A4" w:rsidRPr="00D375FE">
        <w:rPr>
          <w:rFonts w:cs="Times New Roman"/>
        </w:rPr>
        <w:t xml:space="preserve"> </w:t>
      </w:r>
      <w:r w:rsidR="00B341D1" w:rsidRPr="00D375FE">
        <w:rPr>
          <w:rFonts w:cs="Times New Roman"/>
        </w:rPr>
        <w:t xml:space="preserve">in accordance with this </w:t>
      </w:r>
      <w:r w:rsidR="00B341D1" w:rsidRPr="004E1EDA">
        <w:rPr>
          <w:rFonts w:cs="Times New Roman"/>
        </w:rPr>
        <w:t>Guarantee</w:t>
      </w:r>
      <w:r w:rsidR="008E20A4">
        <w:rPr>
          <w:rFonts w:cs="Times New Roman"/>
        </w:rPr>
        <w:t xml:space="preserve"> Agreement</w:t>
      </w:r>
      <w:r w:rsidR="00B341D1" w:rsidRPr="004E1EDA">
        <w:rPr>
          <w:rFonts w:cs="Times New Roman"/>
        </w:rPr>
        <w:t xml:space="preserve"> (a "</w:t>
      </w:r>
      <w:r w:rsidR="00B341D1" w:rsidRPr="004E1EDA">
        <w:rPr>
          <w:rFonts w:cs="Times New Roman"/>
          <w:b/>
          <w:bCs/>
        </w:rPr>
        <w:t>Demand</w:t>
      </w:r>
      <w:r w:rsidR="00B341D1" w:rsidRPr="004E1EDA">
        <w:rPr>
          <w:rFonts w:cs="Times New Roman"/>
        </w:rPr>
        <w:t>")</w:t>
      </w:r>
      <w:r w:rsidR="00D95E93" w:rsidRPr="004E7E8C">
        <w:rPr>
          <w:rFonts w:cs="Times New Roman"/>
        </w:rPr>
        <w:t xml:space="preserve"> </w:t>
      </w:r>
      <w:r w:rsidR="007A37BD">
        <w:rPr>
          <w:rFonts w:cs="Times New Roman"/>
        </w:rPr>
        <w:t>up to 100</w:t>
      </w:r>
      <w:r w:rsidR="003F37A9" w:rsidRPr="003F37A9">
        <w:rPr>
          <w:rFonts w:cs="Times New Roman"/>
        </w:rPr>
        <w:t xml:space="preserve"> </w:t>
      </w:r>
      <w:r w:rsidR="003F37A9">
        <w:rPr>
          <w:rFonts w:cs="Times New Roman"/>
        </w:rPr>
        <w:t>per cent</w:t>
      </w:r>
      <w:r w:rsidR="007A37BD">
        <w:rPr>
          <w:rFonts w:cs="Times New Roman"/>
        </w:rPr>
        <w:t xml:space="preserve"> of its Guaranteed Contribution</w:t>
      </w:r>
      <w:r w:rsidR="004E4282" w:rsidRPr="00AE13FA">
        <w:rPr>
          <w:rFonts w:cs="Times New Roman"/>
        </w:rPr>
        <w:t>.</w:t>
      </w:r>
      <w:r w:rsidR="00F2300C" w:rsidRPr="00AE13FA">
        <w:rPr>
          <w:rFonts w:cs="Times New Roman"/>
        </w:rPr>
        <w:t xml:space="preserve"> </w:t>
      </w:r>
    </w:p>
    <w:p w14:paraId="4EE39E82" w14:textId="01220AAC" w:rsidR="006227D6" w:rsidRPr="006227D6" w:rsidRDefault="006227D6" w:rsidP="006227D6">
      <w:pPr>
        <w:pStyle w:val="StandardL2"/>
        <w:rPr>
          <w:rFonts w:cs="Times New Roman"/>
        </w:rPr>
      </w:pPr>
      <w:r>
        <w:rPr>
          <w:rFonts w:cs="Times New Roman"/>
        </w:rPr>
        <w:t xml:space="preserve">This Guarantee </w:t>
      </w:r>
      <w:r w:rsidR="00F9081E">
        <w:rPr>
          <w:rFonts w:cs="Times New Roman"/>
        </w:rPr>
        <w:t xml:space="preserve">Agreement </w:t>
      </w:r>
      <w:r>
        <w:rPr>
          <w:rFonts w:cs="Times New Roman"/>
        </w:rPr>
        <w:t>is solely related to B</w:t>
      </w:r>
      <w:r w:rsidRPr="006227D6">
        <w:rPr>
          <w:rFonts w:cs="Times New Roman"/>
        </w:rPr>
        <w:t xml:space="preserve">orrowings </w:t>
      </w:r>
      <w:r w:rsidR="0033129E">
        <w:rPr>
          <w:rFonts w:cs="Times New Roman"/>
        </w:rPr>
        <w:t>and the associated Loan Agreements</w:t>
      </w:r>
      <w:r w:rsidR="00A4144E">
        <w:rPr>
          <w:rFonts w:cs="Times New Roman"/>
        </w:rPr>
        <w:t xml:space="preserve"> that are authorised by </w:t>
      </w:r>
      <w:r w:rsidR="00A4144E" w:rsidRPr="00B61AAB">
        <w:t xml:space="preserve">a decision adopted by the Council </w:t>
      </w:r>
      <w:r w:rsidR="00A4144E">
        <w:t xml:space="preserve">before </w:t>
      </w:r>
      <w:r w:rsidR="00C72AE7">
        <w:t>31 December 2022</w:t>
      </w:r>
      <w:r w:rsidR="00A4144E">
        <w:t xml:space="preserve"> taken under Council Regulation </w:t>
      </w:r>
      <w:r w:rsidR="00E5439D" w:rsidRPr="009F4488">
        <w:t>(EU) 2020/672</w:t>
      </w:r>
      <w:r w:rsidR="00A4144E">
        <w:t xml:space="preserve"> as originally adopted</w:t>
      </w:r>
      <w:r w:rsidRPr="006227D6">
        <w:rPr>
          <w:rFonts w:cs="Times New Roman"/>
        </w:rPr>
        <w:t>.</w:t>
      </w:r>
      <w:r>
        <w:rPr>
          <w:rFonts w:cs="Times New Roman"/>
        </w:rPr>
        <w:t xml:space="preserve"> </w:t>
      </w:r>
      <w:r w:rsidR="008E20A4">
        <w:rPr>
          <w:rFonts w:cs="Times New Roman"/>
        </w:rPr>
        <w:t xml:space="preserve">Any other </w:t>
      </w:r>
      <w:r>
        <w:rPr>
          <w:rFonts w:cs="Times New Roman"/>
        </w:rPr>
        <w:t>Union b</w:t>
      </w:r>
      <w:r w:rsidRPr="006227D6">
        <w:rPr>
          <w:rFonts w:cs="Times New Roman"/>
        </w:rPr>
        <w:t xml:space="preserve">orrowings on capital markets and with financial institutions </w:t>
      </w:r>
      <w:r w:rsidR="0033129E">
        <w:rPr>
          <w:rFonts w:cs="Times New Roman"/>
        </w:rPr>
        <w:t xml:space="preserve">and loan agreements </w:t>
      </w:r>
      <w:r w:rsidRPr="006227D6">
        <w:rPr>
          <w:rFonts w:cs="Times New Roman"/>
        </w:rPr>
        <w:t xml:space="preserve">shall not give rise to </w:t>
      </w:r>
      <w:r w:rsidR="00A65139">
        <w:rPr>
          <w:rFonts w:cs="Times New Roman"/>
        </w:rPr>
        <w:t>any claim or liability</w:t>
      </w:r>
      <w:r>
        <w:rPr>
          <w:rFonts w:cs="Times New Roman"/>
        </w:rPr>
        <w:t xml:space="preserve"> under this Guarantee</w:t>
      </w:r>
      <w:r w:rsidR="00F9081E">
        <w:rPr>
          <w:rFonts w:cs="Times New Roman"/>
        </w:rPr>
        <w:t xml:space="preserve"> Agreement</w:t>
      </w:r>
      <w:r>
        <w:rPr>
          <w:rFonts w:cs="Times New Roman"/>
        </w:rPr>
        <w:t>.</w:t>
      </w:r>
    </w:p>
    <w:p w14:paraId="0D44C688" w14:textId="0E251C8B" w:rsidR="009B5208" w:rsidRDefault="00E95BB1" w:rsidP="009B5208">
      <w:pPr>
        <w:pStyle w:val="StandardL2"/>
        <w:rPr>
          <w:rFonts w:cs="Times New Roman"/>
        </w:rPr>
      </w:pPr>
      <w:bookmarkStart w:id="7" w:name="_Ref263156373"/>
      <w:bookmarkStart w:id="8" w:name="_Ref263156077"/>
      <w:r>
        <w:rPr>
          <w:rFonts w:cs="Times New Roman"/>
        </w:rPr>
        <w:t>Subject to Clause 5.1, t</w:t>
      </w:r>
      <w:r w:rsidR="009B5208" w:rsidRPr="000F087A">
        <w:rPr>
          <w:rFonts w:cs="Times New Roman"/>
        </w:rPr>
        <w:t xml:space="preserve">he Guaranteed Contribution of </w:t>
      </w:r>
      <w:r w:rsidR="009B5208">
        <w:rPr>
          <w:rFonts w:cs="Times New Roman"/>
        </w:rPr>
        <w:t>the</w:t>
      </w:r>
      <w:r w:rsidR="009B5208" w:rsidRPr="000F087A">
        <w:rPr>
          <w:rFonts w:cs="Times New Roman"/>
        </w:rPr>
        <w:t xml:space="preserve"> Guarantor is equal to the value set out next to </w:t>
      </w:r>
      <w:r w:rsidR="009B5208">
        <w:rPr>
          <w:rFonts w:cs="Times New Roman"/>
        </w:rPr>
        <w:t>the</w:t>
      </w:r>
      <w:r w:rsidR="009B5208" w:rsidRPr="000F087A">
        <w:rPr>
          <w:rFonts w:cs="Times New Roman"/>
        </w:rPr>
        <w:t xml:space="preserve"> Guarantor's name in Schedule 1 to this Guarantee</w:t>
      </w:r>
      <w:r w:rsidR="009B5208">
        <w:rPr>
          <w:rFonts w:cs="Times New Roman"/>
        </w:rPr>
        <w:t xml:space="preserve"> Agreement</w:t>
      </w:r>
      <w:r w:rsidR="009B5208" w:rsidRPr="000F087A">
        <w:rPr>
          <w:rFonts w:cs="Times New Roman"/>
        </w:rPr>
        <w:t xml:space="preserve">. </w:t>
      </w:r>
      <w:r w:rsidR="009B5208" w:rsidRPr="00AE13FA">
        <w:rPr>
          <w:rFonts w:cs="Times New Roman"/>
        </w:rPr>
        <w:t xml:space="preserve">The </w:t>
      </w:r>
      <w:r w:rsidR="009B5208" w:rsidRPr="000F087A">
        <w:rPr>
          <w:rFonts w:cs="Times New Roman"/>
        </w:rPr>
        <w:t xml:space="preserve">Guarantee Contribution Key </w:t>
      </w:r>
      <w:r w:rsidR="003F37A9">
        <w:rPr>
          <w:rFonts w:cs="Times New Roman"/>
        </w:rPr>
        <w:t>Per</w:t>
      </w:r>
      <w:r w:rsidR="00897673">
        <w:rPr>
          <w:rFonts w:cs="Times New Roman"/>
        </w:rPr>
        <w:t>c</w:t>
      </w:r>
      <w:r w:rsidR="003F37A9">
        <w:rPr>
          <w:rFonts w:cs="Times New Roman"/>
        </w:rPr>
        <w:t>ent</w:t>
      </w:r>
      <w:r w:rsidR="00897673">
        <w:rPr>
          <w:rFonts w:cs="Times New Roman"/>
        </w:rPr>
        <w:t>age</w:t>
      </w:r>
      <w:r w:rsidR="003F37A9" w:rsidRPr="000F087A">
        <w:rPr>
          <w:rFonts w:cs="Times New Roman"/>
        </w:rPr>
        <w:t xml:space="preserve"> </w:t>
      </w:r>
      <w:r w:rsidR="009B5208" w:rsidRPr="000F087A">
        <w:rPr>
          <w:rFonts w:cs="Times New Roman"/>
        </w:rPr>
        <w:t xml:space="preserve">of </w:t>
      </w:r>
      <w:r w:rsidR="009B5208">
        <w:rPr>
          <w:rFonts w:cs="Times New Roman"/>
        </w:rPr>
        <w:t>the</w:t>
      </w:r>
      <w:r w:rsidR="009B5208" w:rsidRPr="000F087A">
        <w:rPr>
          <w:rFonts w:cs="Times New Roman"/>
        </w:rPr>
        <w:t xml:space="preserve"> Guarantor is equal to the percentage set out next to </w:t>
      </w:r>
      <w:r w:rsidR="009B5208">
        <w:rPr>
          <w:rFonts w:cs="Times New Roman"/>
        </w:rPr>
        <w:t>the</w:t>
      </w:r>
      <w:r w:rsidR="009B5208" w:rsidRPr="000F087A">
        <w:rPr>
          <w:rFonts w:cs="Times New Roman"/>
        </w:rPr>
        <w:t xml:space="preserve"> Guarantor's name in Schedule </w:t>
      </w:r>
      <w:r w:rsidR="009B5208" w:rsidRPr="00D375FE">
        <w:rPr>
          <w:rFonts w:cs="Times New Roman"/>
        </w:rPr>
        <w:t>2 to this Guarantee</w:t>
      </w:r>
      <w:r w:rsidR="009B5208">
        <w:rPr>
          <w:rFonts w:cs="Times New Roman"/>
        </w:rPr>
        <w:t xml:space="preserve"> Agreement</w:t>
      </w:r>
      <w:r w:rsidR="009B5208" w:rsidRPr="00AE13FA">
        <w:rPr>
          <w:rFonts w:cs="Times New Roman"/>
        </w:rPr>
        <w:t xml:space="preserve">. </w:t>
      </w:r>
    </w:p>
    <w:p w14:paraId="22811910" w14:textId="77777777" w:rsidR="00C36C3D" w:rsidRDefault="00C36C3D" w:rsidP="00C36C3D">
      <w:pPr>
        <w:pStyle w:val="StandardL2"/>
        <w:rPr>
          <w:rFonts w:cs="Times New Roman"/>
        </w:rPr>
      </w:pPr>
      <w:r w:rsidRPr="009927C4">
        <w:rPr>
          <w:rFonts w:cs="Times New Roman"/>
        </w:rPr>
        <w:t xml:space="preserve">The cumulative total </w:t>
      </w:r>
      <w:r>
        <w:rPr>
          <w:rFonts w:cs="Times New Roman"/>
        </w:rPr>
        <w:t xml:space="preserve">value </w:t>
      </w:r>
      <w:r w:rsidRPr="009927C4">
        <w:rPr>
          <w:rFonts w:cs="Times New Roman"/>
        </w:rPr>
        <w:t xml:space="preserve">of any or all </w:t>
      </w:r>
      <w:r>
        <w:rPr>
          <w:rFonts w:cs="Times New Roman"/>
        </w:rPr>
        <w:t>Demanded Amounts and Additional Demanded Amounts (as defined by Clause</w:t>
      </w:r>
      <w:r w:rsidR="004F0B4B">
        <w:rPr>
          <w:rFonts w:cs="Times New Roman"/>
        </w:rPr>
        <w:t>s</w:t>
      </w:r>
      <w:r>
        <w:rPr>
          <w:rFonts w:cs="Times New Roman"/>
        </w:rPr>
        <w:t xml:space="preserve"> 1.6 and 1.7 respectively) </w:t>
      </w:r>
      <w:r w:rsidRPr="009927C4">
        <w:rPr>
          <w:rFonts w:cs="Times New Roman"/>
        </w:rPr>
        <w:t>on the Guarantor</w:t>
      </w:r>
      <w:r>
        <w:rPr>
          <w:rFonts w:cs="Times New Roman"/>
        </w:rPr>
        <w:t xml:space="preserve"> </w:t>
      </w:r>
      <w:r w:rsidR="00365F59">
        <w:rPr>
          <w:rFonts w:cs="Times New Roman"/>
        </w:rPr>
        <w:t>may</w:t>
      </w:r>
      <w:r w:rsidR="00365F59" w:rsidRPr="009927C4">
        <w:rPr>
          <w:rFonts w:cs="Times New Roman"/>
        </w:rPr>
        <w:t xml:space="preserve"> </w:t>
      </w:r>
      <w:r w:rsidRPr="009927C4">
        <w:rPr>
          <w:rFonts w:cs="Times New Roman"/>
        </w:rPr>
        <w:t>never exceed the Guaranteed Contribution of the Guarantor</w:t>
      </w:r>
      <w:r>
        <w:rPr>
          <w:rFonts w:cs="Times New Roman"/>
        </w:rPr>
        <w:t>. The</w:t>
      </w:r>
      <w:r w:rsidRPr="00D375FE">
        <w:rPr>
          <w:rFonts w:cs="Times New Roman"/>
        </w:rPr>
        <w:t xml:space="preserve"> Guarantor shall </w:t>
      </w:r>
      <w:r>
        <w:rPr>
          <w:rFonts w:cs="Times New Roman"/>
        </w:rPr>
        <w:t xml:space="preserve">not </w:t>
      </w:r>
      <w:r w:rsidRPr="00D375FE">
        <w:rPr>
          <w:rFonts w:cs="Times New Roman"/>
        </w:rPr>
        <w:t xml:space="preserve">be liable to pay an amount in excess of </w:t>
      </w:r>
      <w:r w:rsidRPr="004E1EDA">
        <w:rPr>
          <w:rFonts w:cs="Times New Roman"/>
        </w:rPr>
        <w:t>its Guaranteed Contribution</w:t>
      </w:r>
      <w:r>
        <w:rPr>
          <w:rFonts w:cs="Times New Roman"/>
        </w:rPr>
        <w:t>.</w:t>
      </w:r>
      <w:r w:rsidRPr="00894E68">
        <w:rPr>
          <w:rFonts w:cs="Times New Roman"/>
        </w:rPr>
        <w:t xml:space="preserve"> </w:t>
      </w:r>
    </w:p>
    <w:p w14:paraId="4DAB437E" w14:textId="77777777" w:rsidR="00C36C3D" w:rsidRPr="009B5208" w:rsidRDefault="00C36C3D" w:rsidP="00C36C3D">
      <w:pPr>
        <w:pStyle w:val="StandardL2"/>
        <w:rPr>
          <w:rFonts w:cs="Times New Roman"/>
        </w:rPr>
      </w:pPr>
      <w:r w:rsidRPr="00AE13FA">
        <w:rPr>
          <w:rFonts w:cs="Times New Roman"/>
        </w:rPr>
        <w:t xml:space="preserve">The obligations of the Guarantor under this </w:t>
      </w:r>
      <w:r w:rsidRPr="000F087A">
        <w:rPr>
          <w:rFonts w:cs="Times New Roman"/>
        </w:rPr>
        <w:t xml:space="preserve">Guarantee </w:t>
      </w:r>
      <w:r>
        <w:rPr>
          <w:rFonts w:cs="Times New Roman"/>
        </w:rPr>
        <w:t xml:space="preserve">Agreement </w:t>
      </w:r>
      <w:r w:rsidRPr="00E62DEE">
        <w:rPr>
          <w:rFonts w:cs="Times New Roman"/>
        </w:rPr>
        <w:t>and of other Guarantors under their respective Guarantee</w:t>
      </w:r>
      <w:r w:rsidRPr="00AE13FA">
        <w:rPr>
          <w:rFonts w:cs="Times New Roman"/>
        </w:rPr>
        <w:t xml:space="preserve"> </w:t>
      </w:r>
      <w:r>
        <w:rPr>
          <w:rFonts w:cs="Times New Roman"/>
        </w:rPr>
        <w:t xml:space="preserve">Agreements </w:t>
      </w:r>
      <w:r w:rsidRPr="00AE13FA">
        <w:rPr>
          <w:rFonts w:cs="Times New Roman"/>
        </w:rPr>
        <w:t>are several only</w:t>
      </w:r>
      <w:r w:rsidRPr="000F087A">
        <w:rPr>
          <w:rFonts w:cs="Times New Roman"/>
        </w:rPr>
        <w:t>.</w:t>
      </w:r>
    </w:p>
    <w:p w14:paraId="3E4919F5" w14:textId="77777777" w:rsidR="00024D4D" w:rsidRPr="00D375FE" w:rsidRDefault="008E20A4" w:rsidP="00920733">
      <w:pPr>
        <w:pStyle w:val="StandardL2"/>
      </w:pPr>
      <w:bookmarkStart w:id="9" w:name="_Ref267405340"/>
      <w:r>
        <w:t>A</w:t>
      </w:r>
      <w:r w:rsidR="00024D4D" w:rsidRPr="00AE13FA">
        <w:t xml:space="preserve"> </w:t>
      </w:r>
      <w:r w:rsidR="00024D4D" w:rsidRPr="000F087A">
        <w:t xml:space="preserve">Demand under this Guarantee </w:t>
      </w:r>
      <w:r w:rsidR="001442F8">
        <w:t>may</w:t>
      </w:r>
      <w:r w:rsidR="001442F8" w:rsidRPr="000F087A">
        <w:t xml:space="preserve"> </w:t>
      </w:r>
      <w:r w:rsidR="00024D4D" w:rsidRPr="000F087A">
        <w:t xml:space="preserve">be made by the </w:t>
      </w:r>
      <w:r w:rsidR="00024D4D" w:rsidRPr="00D375FE">
        <w:t xml:space="preserve">Commission </w:t>
      </w:r>
      <w:r w:rsidR="00024D4D" w:rsidRPr="00AE13FA">
        <w:t>at any time</w:t>
      </w:r>
      <w:r w:rsidR="00462AE3">
        <w:t xml:space="preserve"> before or after</w:t>
      </w:r>
      <w:r w:rsidR="00024D4D" w:rsidRPr="000F087A">
        <w:t xml:space="preserve"> a scheduled interest payment or a scheduled principal payment or other amount is due</w:t>
      </w:r>
      <w:r w:rsidR="00BB19F2">
        <w:t xml:space="preserve"> (together the “</w:t>
      </w:r>
      <w:r w:rsidR="00BB19F2">
        <w:rPr>
          <w:b/>
        </w:rPr>
        <w:t>Amount Due</w:t>
      </w:r>
      <w:r w:rsidR="00BB19F2">
        <w:t>”)</w:t>
      </w:r>
      <w:r w:rsidR="00024D4D" w:rsidRPr="000F087A">
        <w:t xml:space="preserve"> under </w:t>
      </w:r>
      <w:r w:rsidR="00024D4D">
        <w:t>Borrowings</w:t>
      </w:r>
      <w:r w:rsidR="009927C4">
        <w:t>,</w:t>
      </w:r>
      <w:r w:rsidR="00024D4D">
        <w:t xml:space="preserve"> </w:t>
      </w:r>
      <w:r w:rsidR="00024D4D" w:rsidRPr="000F087A">
        <w:t>if:</w:t>
      </w:r>
    </w:p>
    <w:p w14:paraId="15759609" w14:textId="77777777" w:rsidR="00024D4D" w:rsidRPr="006227D6" w:rsidRDefault="00024D4D" w:rsidP="00C83F5C">
      <w:pPr>
        <w:pStyle w:val="Schedule1L7"/>
        <w:tabs>
          <w:tab w:val="clear" w:pos="2880"/>
          <w:tab w:val="num" w:pos="1276"/>
        </w:tabs>
        <w:spacing w:line="240" w:lineRule="auto"/>
        <w:ind w:left="1276" w:hanging="567"/>
      </w:pPr>
      <w:r w:rsidRPr="004E1EDA">
        <w:t xml:space="preserve">the </w:t>
      </w:r>
      <w:r w:rsidRPr="004E1EDA">
        <w:rPr>
          <w:rFonts w:cs="Times New Roman"/>
        </w:rPr>
        <w:t xml:space="preserve">Union </w:t>
      </w:r>
      <w:r w:rsidRPr="004E1EDA">
        <w:t xml:space="preserve">(for whatsoever reason) </w:t>
      </w:r>
      <w:r w:rsidRPr="005F55FE">
        <w:t>has not received in full a scheduled payment as and when due under a L</w:t>
      </w:r>
      <w:r w:rsidRPr="004E7E8C">
        <w:t xml:space="preserve">oan </w:t>
      </w:r>
      <w:r w:rsidR="009927C4">
        <w:t xml:space="preserve">Agreement </w:t>
      </w:r>
      <w:r w:rsidR="0033129E">
        <w:t>from</w:t>
      </w:r>
      <w:r w:rsidR="0033129E" w:rsidRPr="004E1EDA">
        <w:t xml:space="preserve"> </w:t>
      </w:r>
      <w:r w:rsidRPr="004E1EDA">
        <w:t xml:space="preserve">a Member State </w:t>
      </w:r>
      <w:r w:rsidRPr="00956AC2">
        <w:t xml:space="preserve">of the European Union being financed by Borrowings or it is notified by such Member State or becomes aware </w:t>
      </w:r>
      <w:r w:rsidR="00956AC2" w:rsidRPr="00956AC2">
        <w:t xml:space="preserve">following an event of default under the Loan Agreement </w:t>
      </w:r>
      <w:r w:rsidRPr="00956AC2">
        <w:t>that such Member State will not or will not be able to make payment in</w:t>
      </w:r>
      <w:r w:rsidRPr="006227D6">
        <w:t xml:space="preserve"> full of a scheduled payment under such a Loan</w:t>
      </w:r>
      <w:r w:rsidR="009927C4">
        <w:t xml:space="preserve"> Agreement</w:t>
      </w:r>
      <w:r w:rsidRPr="006227D6">
        <w:t xml:space="preserve"> as and when due; and</w:t>
      </w:r>
    </w:p>
    <w:p w14:paraId="5B099C6D" w14:textId="77777777" w:rsidR="002D0BE5" w:rsidRDefault="00A65139" w:rsidP="002D0BE5">
      <w:pPr>
        <w:pStyle w:val="Schedule1L7"/>
        <w:tabs>
          <w:tab w:val="clear" w:pos="2880"/>
          <w:tab w:val="num" w:pos="1276"/>
        </w:tabs>
        <w:spacing w:line="240" w:lineRule="auto"/>
        <w:ind w:left="1276" w:hanging="567"/>
      </w:pPr>
      <w:r>
        <w:t>an Amount Due is, has been or will be due</w:t>
      </w:r>
      <w:r w:rsidR="008554B2">
        <w:t xml:space="preserve"> </w:t>
      </w:r>
      <w:r>
        <w:t>under Borrowings</w:t>
      </w:r>
      <w:r w:rsidR="002D0BE5">
        <w:t>.</w:t>
      </w:r>
    </w:p>
    <w:p w14:paraId="1AC2F48A" w14:textId="77777777" w:rsidR="008E20A4" w:rsidRDefault="009B5208" w:rsidP="008E20A4">
      <w:pPr>
        <w:ind w:left="720"/>
        <w:rPr>
          <w:rFonts w:cs="Calibri"/>
          <w:i/>
          <w:iCs/>
          <w:color w:val="1F497D"/>
          <w:sz w:val="22"/>
          <w:szCs w:val="22"/>
          <w:lang w:eastAsia="en-US" w:bidi="ar-SA"/>
        </w:rPr>
      </w:pPr>
      <w:r>
        <w:rPr>
          <w:rFonts w:cs="Times New Roman"/>
        </w:rPr>
        <w:t>In such an event, the</w:t>
      </w:r>
      <w:r w:rsidRPr="009B5208">
        <w:rPr>
          <w:rFonts w:cs="Times New Roman"/>
        </w:rPr>
        <w:t xml:space="preserve"> Commission shall at its sole discretion determine an amount to be called from the Guarantors (“</w:t>
      </w:r>
      <w:r w:rsidRPr="003B1E90">
        <w:rPr>
          <w:rFonts w:cs="Times New Roman"/>
          <w:b/>
        </w:rPr>
        <w:t>Amount of the Call</w:t>
      </w:r>
      <w:r w:rsidRPr="009B5208">
        <w:rPr>
          <w:rFonts w:cs="Times New Roman"/>
        </w:rPr>
        <w:t>”)</w:t>
      </w:r>
      <w:r>
        <w:rPr>
          <w:rFonts w:cs="Times New Roman"/>
        </w:rPr>
        <w:t>,</w:t>
      </w:r>
      <w:r w:rsidRPr="009B5208">
        <w:rPr>
          <w:rFonts w:cs="Times New Roman"/>
        </w:rPr>
        <w:t xml:space="preserve"> up to a maximum of the Amount Due</w:t>
      </w:r>
      <w:r>
        <w:rPr>
          <w:rFonts w:cs="Times New Roman"/>
        </w:rPr>
        <w:t>,</w:t>
      </w:r>
      <w:r w:rsidRPr="009B5208">
        <w:rPr>
          <w:rFonts w:cs="Times New Roman"/>
        </w:rPr>
        <w:t xml:space="preserve"> to ensure that the Union has sufficient resources to make the necessary payment. </w:t>
      </w:r>
      <w:r w:rsidR="008E20A4" w:rsidRPr="008E20A4">
        <w:rPr>
          <w:iCs/>
        </w:rPr>
        <w:t xml:space="preserve">In determining the Amount of the Call, the Commission shall draw any </w:t>
      </w:r>
      <w:r w:rsidR="008E20A4" w:rsidRPr="008E20A4">
        <w:rPr>
          <w:iCs/>
        </w:rPr>
        <w:lastRenderedPageBreak/>
        <w:t xml:space="preserve">amount, which may be zero, that the Commission considers in its sole discretion, having regard </w:t>
      </w:r>
      <w:r w:rsidR="008E20A4" w:rsidRPr="00C63F78">
        <w:rPr>
          <w:i/>
          <w:iCs/>
        </w:rPr>
        <w:t>inter alia</w:t>
      </w:r>
      <w:r w:rsidR="008E20A4" w:rsidRPr="008E20A4">
        <w:rPr>
          <w:iCs/>
        </w:rPr>
        <w:t xml:space="preserve"> to the total contingent liabilities of the Union (including under the Balance of Payment Facility) and the sustainability of the Union budget, that may be available under the own resources ceiling for payment appropriations.</w:t>
      </w:r>
    </w:p>
    <w:p w14:paraId="442C1E09" w14:textId="4F1FFD0C" w:rsidR="009B5208" w:rsidRPr="009B5208" w:rsidRDefault="006133C3" w:rsidP="003B1E90">
      <w:pPr>
        <w:pStyle w:val="StandardL2"/>
        <w:numPr>
          <w:ilvl w:val="0"/>
          <w:numId w:val="0"/>
        </w:numPr>
        <w:ind w:left="720"/>
        <w:rPr>
          <w:rFonts w:cs="Times New Roman"/>
        </w:rPr>
      </w:pPr>
      <w:r>
        <w:rPr>
          <w:rFonts w:cs="Times New Roman"/>
        </w:rPr>
        <w:t xml:space="preserve">The Commission shall make </w:t>
      </w:r>
      <w:r w:rsidR="009B5208" w:rsidRPr="009B5208">
        <w:rPr>
          <w:rFonts w:cs="Times New Roman"/>
        </w:rPr>
        <w:t>Demands on all Guarantors</w:t>
      </w:r>
      <w:r w:rsidR="00D562F5">
        <w:rPr>
          <w:rFonts w:cs="Times New Roman"/>
        </w:rPr>
        <w:t xml:space="preserve">. </w:t>
      </w:r>
      <w:r w:rsidR="00D266D9">
        <w:rPr>
          <w:rFonts w:cs="Times New Roman"/>
        </w:rPr>
        <w:t>The Demand</w:t>
      </w:r>
      <w:r w:rsidR="005811A9">
        <w:rPr>
          <w:rFonts w:cs="Times New Roman"/>
        </w:rPr>
        <w:t>s</w:t>
      </w:r>
      <w:r w:rsidR="00D266D9">
        <w:rPr>
          <w:rFonts w:cs="Times New Roman"/>
        </w:rPr>
        <w:t xml:space="preserve"> shall be</w:t>
      </w:r>
      <w:r w:rsidR="009B5208" w:rsidRPr="009B5208">
        <w:rPr>
          <w:rFonts w:cs="Times New Roman"/>
        </w:rPr>
        <w:t xml:space="preserve"> </w:t>
      </w:r>
      <w:r w:rsidR="00E70C46" w:rsidRPr="0075116A">
        <w:rPr>
          <w:rFonts w:cs="Times New Roman"/>
          <w:bCs/>
        </w:rPr>
        <w:t xml:space="preserve">pro rata to the relative share of each </w:t>
      </w:r>
      <w:r w:rsidR="00E70C46">
        <w:rPr>
          <w:rFonts w:cs="Times New Roman"/>
          <w:bCs/>
        </w:rPr>
        <w:t>Guarantor</w:t>
      </w:r>
      <w:r w:rsidR="00E70C46" w:rsidRPr="0075116A">
        <w:rPr>
          <w:rFonts w:cs="Times New Roman"/>
          <w:bCs/>
        </w:rPr>
        <w:t xml:space="preserve"> </w:t>
      </w:r>
      <w:r>
        <w:rPr>
          <w:rFonts w:cs="Times New Roman"/>
        </w:rPr>
        <w:t>in the</w:t>
      </w:r>
      <w:r w:rsidRPr="006133C3">
        <w:rPr>
          <w:rFonts w:cs="Times New Roman"/>
        </w:rPr>
        <w:t xml:space="preserve"> </w:t>
      </w:r>
      <w:r>
        <w:rPr>
          <w:rFonts w:cs="Times New Roman"/>
        </w:rPr>
        <w:t>Guarantee Contribution Key</w:t>
      </w:r>
      <w:r w:rsidR="003F37A9" w:rsidRPr="005D5436">
        <w:rPr>
          <w:rFonts w:cs="Times New Roman"/>
        </w:rPr>
        <w:t>.</w:t>
      </w:r>
    </w:p>
    <w:p w14:paraId="6B89192E" w14:textId="249D121E" w:rsidR="00024D4D" w:rsidRDefault="009B5208" w:rsidP="00155516">
      <w:pPr>
        <w:pStyle w:val="StandardL2"/>
        <w:numPr>
          <w:ilvl w:val="0"/>
          <w:numId w:val="0"/>
        </w:numPr>
        <w:ind w:left="720"/>
        <w:rPr>
          <w:rFonts w:cs="Times New Roman"/>
        </w:rPr>
      </w:pPr>
      <w:r w:rsidRPr="009B5208">
        <w:rPr>
          <w:rFonts w:cs="Times New Roman"/>
        </w:rPr>
        <w:t>Any</w:t>
      </w:r>
      <w:r w:rsidR="00024D4D" w:rsidRPr="009B5208">
        <w:rPr>
          <w:rFonts w:cs="Times New Roman"/>
        </w:rPr>
        <w:t xml:space="preserve"> Demand sh</w:t>
      </w:r>
      <w:r w:rsidR="000A514B" w:rsidRPr="009B5208">
        <w:rPr>
          <w:rFonts w:cs="Times New Roman"/>
        </w:rPr>
        <w:t xml:space="preserve">all specify the </w:t>
      </w:r>
      <w:r w:rsidRPr="009B5208">
        <w:rPr>
          <w:rFonts w:cs="Times New Roman"/>
        </w:rPr>
        <w:t>Amount Due</w:t>
      </w:r>
      <w:r w:rsidR="005D5436">
        <w:rPr>
          <w:rFonts w:cs="Times New Roman"/>
        </w:rPr>
        <w:t xml:space="preserve">, </w:t>
      </w:r>
      <w:r w:rsidR="005D5436" w:rsidRPr="005D5436">
        <w:rPr>
          <w:rFonts w:cs="Times New Roman"/>
        </w:rPr>
        <w:t xml:space="preserve">the extent to which </w:t>
      </w:r>
      <w:r w:rsidR="00965C62">
        <w:rPr>
          <w:rFonts w:cs="Times New Roman"/>
        </w:rPr>
        <w:t xml:space="preserve">amounts </w:t>
      </w:r>
      <w:r w:rsidR="00965C62" w:rsidRPr="00965C62">
        <w:rPr>
          <w:rFonts w:cs="Times New Roman"/>
        </w:rPr>
        <w:t>under the own resources ceiling for payment appropriations</w:t>
      </w:r>
      <w:r w:rsidR="00965C62">
        <w:rPr>
          <w:rFonts w:cs="Times New Roman"/>
        </w:rPr>
        <w:t xml:space="preserve"> have</w:t>
      </w:r>
      <w:r w:rsidR="005D5436" w:rsidRPr="005D5436">
        <w:rPr>
          <w:rFonts w:cs="Times New Roman"/>
        </w:rPr>
        <w:t xml:space="preserve"> been drawn</w:t>
      </w:r>
      <w:r w:rsidRPr="009B5208">
        <w:rPr>
          <w:rFonts w:cs="Times New Roman"/>
        </w:rPr>
        <w:t xml:space="preserve"> and the Amount of the Call</w:t>
      </w:r>
      <w:r w:rsidR="000A514B" w:rsidRPr="009B5208">
        <w:rPr>
          <w:rFonts w:cs="Times New Roman"/>
        </w:rPr>
        <w:t xml:space="preserve"> </w:t>
      </w:r>
      <w:r w:rsidR="00024D4D" w:rsidRPr="009B5208">
        <w:rPr>
          <w:rFonts w:cs="Times New Roman"/>
        </w:rPr>
        <w:t xml:space="preserve">and shall request in writing </w:t>
      </w:r>
      <w:r w:rsidR="009927C4" w:rsidRPr="009B5208">
        <w:rPr>
          <w:rFonts w:cs="Times New Roman"/>
        </w:rPr>
        <w:t>the</w:t>
      </w:r>
      <w:r w:rsidR="00024D4D" w:rsidRPr="009B5208">
        <w:rPr>
          <w:rFonts w:cs="Times New Roman"/>
        </w:rPr>
        <w:t xml:space="preserve"> Guarantor to transfer an amount equal to its </w:t>
      </w:r>
      <w:r w:rsidR="005811A9">
        <w:rPr>
          <w:rFonts w:cs="Times New Roman"/>
        </w:rPr>
        <w:t>Guarantee</w:t>
      </w:r>
      <w:r w:rsidR="005811A9" w:rsidRPr="009B5208">
        <w:rPr>
          <w:rFonts w:cs="Times New Roman"/>
        </w:rPr>
        <w:t xml:space="preserve"> </w:t>
      </w:r>
      <w:r w:rsidR="009927C4" w:rsidRPr="009B5208">
        <w:rPr>
          <w:rFonts w:cs="Times New Roman"/>
        </w:rPr>
        <w:t xml:space="preserve">Contribution Key </w:t>
      </w:r>
      <w:r w:rsidR="003F37A9">
        <w:rPr>
          <w:rFonts w:cs="Times New Roman"/>
        </w:rPr>
        <w:t>Per</w:t>
      </w:r>
      <w:r w:rsidR="005B3D8C">
        <w:rPr>
          <w:rFonts w:cs="Times New Roman"/>
        </w:rPr>
        <w:t>c</w:t>
      </w:r>
      <w:r w:rsidR="003F37A9">
        <w:rPr>
          <w:rFonts w:cs="Times New Roman"/>
        </w:rPr>
        <w:t>ent</w:t>
      </w:r>
      <w:r w:rsidR="005B3D8C">
        <w:rPr>
          <w:rFonts w:cs="Times New Roman"/>
        </w:rPr>
        <w:t>age</w:t>
      </w:r>
      <w:r w:rsidR="003F37A9" w:rsidRPr="009B5208">
        <w:rPr>
          <w:rFonts w:cs="Times New Roman"/>
        </w:rPr>
        <w:t xml:space="preserve"> </w:t>
      </w:r>
      <w:r w:rsidR="00024D4D" w:rsidRPr="009B5208">
        <w:rPr>
          <w:rFonts w:cs="Times New Roman"/>
        </w:rPr>
        <w:t xml:space="preserve">of </w:t>
      </w:r>
      <w:r w:rsidR="009927C4" w:rsidRPr="009B5208">
        <w:rPr>
          <w:rFonts w:cs="Times New Roman"/>
        </w:rPr>
        <w:t xml:space="preserve">the </w:t>
      </w:r>
      <w:r w:rsidRPr="009B5208">
        <w:rPr>
          <w:rFonts w:cs="Times New Roman"/>
        </w:rPr>
        <w:t>Amount of the Call (such amount being</w:t>
      </w:r>
      <w:r w:rsidR="00462AE3" w:rsidRPr="009B5208">
        <w:rPr>
          <w:rFonts w:cs="Times New Roman"/>
        </w:rPr>
        <w:t xml:space="preserve"> the </w:t>
      </w:r>
      <w:r w:rsidRPr="009B5208">
        <w:rPr>
          <w:rFonts w:cs="Times New Roman"/>
        </w:rPr>
        <w:t>“</w:t>
      </w:r>
      <w:r w:rsidR="00462AE3" w:rsidRPr="00E70C46">
        <w:rPr>
          <w:rFonts w:cs="Times New Roman"/>
          <w:b/>
        </w:rPr>
        <w:t>D</w:t>
      </w:r>
      <w:r w:rsidR="00462AE3" w:rsidRPr="00155516">
        <w:rPr>
          <w:rFonts w:cs="Times New Roman"/>
          <w:b/>
        </w:rPr>
        <w:t>emanded Amount</w:t>
      </w:r>
      <w:r w:rsidRPr="009B5208">
        <w:rPr>
          <w:rFonts w:cs="Times New Roman"/>
        </w:rPr>
        <w:t>”)</w:t>
      </w:r>
      <w:r w:rsidR="00462AE3" w:rsidRPr="009B5208">
        <w:rPr>
          <w:rFonts w:cs="Times New Roman"/>
        </w:rPr>
        <w:t>,</w:t>
      </w:r>
      <w:r w:rsidR="00024D4D" w:rsidRPr="009B5208">
        <w:rPr>
          <w:rFonts w:cs="Times New Roman"/>
        </w:rPr>
        <w:t xml:space="preserve"> in cleared funds to the account referred to in Clause 1.</w:t>
      </w:r>
      <w:r w:rsidR="009927C4" w:rsidRPr="009B5208">
        <w:rPr>
          <w:rFonts w:cs="Times New Roman"/>
        </w:rPr>
        <w:t>9</w:t>
      </w:r>
      <w:r w:rsidRPr="009B5208">
        <w:rPr>
          <w:rFonts w:cs="Times New Roman"/>
        </w:rPr>
        <w:t>.</w:t>
      </w:r>
      <w:r w:rsidR="00024D4D" w:rsidRPr="009B5208">
        <w:rPr>
          <w:rFonts w:cs="Times New Roman"/>
        </w:rPr>
        <w:t xml:space="preserve"> </w:t>
      </w:r>
      <w:r w:rsidR="00E70C46">
        <w:rPr>
          <w:rFonts w:cs="Times New Roman"/>
        </w:rPr>
        <w:t>The Demanded Amount shall comply with Clause 1.</w:t>
      </w:r>
      <w:r w:rsidR="00C36C3D">
        <w:rPr>
          <w:rFonts w:cs="Times New Roman"/>
        </w:rPr>
        <w:t>4</w:t>
      </w:r>
      <w:r w:rsidR="00E70C46">
        <w:rPr>
          <w:rFonts w:cs="Times New Roman"/>
        </w:rPr>
        <w:t xml:space="preserve">. </w:t>
      </w:r>
      <w:r w:rsidRPr="009B5208">
        <w:rPr>
          <w:rFonts w:cs="Times New Roman"/>
        </w:rPr>
        <w:t xml:space="preserve">The Guarantor unconditionally and irrevocably guarantees to the Commission </w:t>
      </w:r>
      <w:r w:rsidRPr="00956AC2">
        <w:rPr>
          <w:rFonts w:cs="Times New Roman"/>
        </w:rPr>
        <w:t>the due and punctual payment of the Demanded Amount</w:t>
      </w:r>
      <w:r w:rsidR="00C63F78" w:rsidRPr="00956AC2">
        <w:rPr>
          <w:rFonts w:cs="Times New Roman"/>
        </w:rPr>
        <w:t xml:space="preserve"> on demand</w:t>
      </w:r>
      <w:r w:rsidR="00024D4D" w:rsidRPr="00956AC2">
        <w:rPr>
          <w:rFonts w:cs="Times New Roman"/>
        </w:rPr>
        <w:t xml:space="preserve"> and</w:t>
      </w:r>
      <w:r w:rsidR="00C63F78" w:rsidRPr="00956AC2">
        <w:rPr>
          <w:rFonts w:cs="Times New Roman"/>
        </w:rPr>
        <w:t xml:space="preserve"> </w:t>
      </w:r>
      <w:r w:rsidR="009927C4" w:rsidRPr="00956AC2">
        <w:rPr>
          <w:rFonts w:cs="Times New Roman"/>
        </w:rPr>
        <w:t xml:space="preserve">the Guarantor </w:t>
      </w:r>
      <w:r w:rsidR="00024D4D" w:rsidRPr="00956AC2">
        <w:rPr>
          <w:rFonts w:cs="Times New Roman"/>
        </w:rPr>
        <w:t xml:space="preserve">shall transfer </w:t>
      </w:r>
      <w:r w:rsidR="00462AE3" w:rsidRPr="00956AC2">
        <w:rPr>
          <w:rFonts w:cs="Times New Roman"/>
        </w:rPr>
        <w:t>the</w:t>
      </w:r>
      <w:r w:rsidR="00024D4D" w:rsidRPr="00956AC2">
        <w:rPr>
          <w:rFonts w:cs="Times New Roman"/>
        </w:rPr>
        <w:t xml:space="preserve"> </w:t>
      </w:r>
      <w:r w:rsidR="009927C4" w:rsidRPr="00956AC2">
        <w:rPr>
          <w:rFonts w:cs="Times New Roman"/>
        </w:rPr>
        <w:t xml:space="preserve">Demanded Amount </w:t>
      </w:r>
      <w:r w:rsidR="00024D4D" w:rsidRPr="00956AC2">
        <w:rPr>
          <w:rFonts w:cs="Times New Roman"/>
        </w:rPr>
        <w:t>in accordance with the terms of such Demand</w:t>
      </w:r>
      <w:r w:rsidRPr="00956AC2">
        <w:rPr>
          <w:rFonts w:cs="Times New Roman"/>
        </w:rPr>
        <w:t>. The transfer shall occur</w:t>
      </w:r>
      <w:r w:rsidR="00024D4D" w:rsidRPr="00956AC2">
        <w:rPr>
          <w:rFonts w:cs="Times New Roman"/>
        </w:rPr>
        <w:t xml:space="preserve"> </w:t>
      </w:r>
      <w:r w:rsidR="00956AC2" w:rsidRPr="00956AC2">
        <w:rPr>
          <w:rFonts w:cs="Times New Roman"/>
        </w:rPr>
        <w:t>within ten (10) Business Days</w:t>
      </w:r>
      <w:r w:rsidR="00024D4D" w:rsidRPr="00956AC2">
        <w:rPr>
          <w:rFonts w:cs="Times New Roman"/>
        </w:rPr>
        <w:t>.</w:t>
      </w:r>
    </w:p>
    <w:p w14:paraId="0597F8B8" w14:textId="77777777" w:rsidR="00D562F5" w:rsidRPr="00D562F5" w:rsidRDefault="00D562F5" w:rsidP="00D562F5">
      <w:pPr>
        <w:pStyle w:val="BodyText1"/>
      </w:pPr>
      <w:r>
        <w:t xml:space="preserve">As per the Loan Agreement, the Member State </w:t>
      </w:r>
      <w:r w:rsidR="006779F1">
        <w:t>referred to in Clause 1.6(i)</w:t>
      </w:r>
      <w:r>
        <w:t xml:space="preserve"> shall within two (2) Business Days </w:t>
      </w:r>
      <w:r w:rsidR="0065734E">
        <w:t xml:space="preserve">of the Demand being made </w:t>
      </w:r>
      <w:r>
        <w:t xml:space="preserve">notify </w:t>
      </w:r>
      <w:r w:rsidR="00043123">
        <w:t xml:space="preserve">to the Commission </w:t>
      </w:r>
      <w:r>
        <w:t>its ability to meet the Demand.</w:t>
      </w:r>
    </w:p>
    <w:p w14:paraId="322D59D3" w14:textId="19515C35" w:rsidR="009B5208" w:rsidRDefault="00C63F78" w:rsidP="00106495">
      <w:pPr>
        <w:pStyle w:val="StandardL2"/>
        <w:rPr>
          <w:rFonts w:cs="Times New Roman"/>
        </w:rPr>
      </w:pPr>
      <w:r>
        <w:rPr>
          <w:rFonts w:cs="Times New Roman"/>
        </w:rPr>
        <w:t>I</w:t>
      </w:r>
      <w:r w:rsidR="004E4282" w:rsidRPr="000F087A">
        <w:rPr>
          <w:rFonts w:cs="Times New Roman"/>
        </w:rPr>
        <w:t xml:space="preserve">n the event </w:t>
      </w:r>
      <w:r w:rsidR="00EF4DF9" w:rsidRPr="000F087A">
        <w:rPr>
          <w:rFonts w:cs="Times New Roman"/>
        </w:rPr>
        <w:t xml:space="preserve">that any </w:t>
      </w:r>
      <w:r w:rsidR="000946EA" w:rsidRPr="000F087A">
        <w:rPr>
          <w:rFonts w:cs="Times New Roman"/>
        </w:rPr>
        <w:t xml:space="preserve">one or more of the </w:t>
      </w:r>
      <w:r w:rsidR="00EF4DF9" w:rsidRPr="000F087A">
        <w:rPr>
          <w:rFonts w:cs="Times New Roman"/>
        </w:rPr>
        <w:t>Guarantor</w:t>
      </w:r>
      <w:r w:rsidR="000946EA" w:rsidRPr="000F087A">
        <w:rPr>
          <w:rFonts w:cs="Times New Roman"/>
        </w:rPr>
        <w:t>s</w:t>
      </w:r>
      <w:r w:rsidR="00EF4DF9" w:rsidRPr="000F087A">
        <w:rPr>
          <w:rFonts w:cs="Times New Roman"/>
        </w:rPr>
        <w:t xml:space="preserve"> </w:t>
      </w:r>
      <w:r w:rsidR="00EF4DF9" w:rsidRPr="004E1EDA">
        <w:rPr>
          <w:rFonts w:cs="Times New Roman"/>
        </w:rPr>
        <w:t xml:space="preserve">does not pay its </w:t>
      </w:r>
      <w:r w:rsidR="00623BB6" w:rsidRPr="004E7E8C">
        <w:rPr>
          <w:rFonts w:cs="Times New Roman"/>
        </w:rPr>
        <w:t xml:space="preserve">Demanded Amount </w:t>
      </w:r>
      <w:r w:rsidR="00F6067A">
        <w:rPr>
          <w:rFonts w:cs="Times New Roman"/>
        </w:rPr>
        <w:t xml:space="preserve">or the </w:t>
      </w:r>
      <w:r w:rsidR="00F6067A">
        <w:t xml:space="preserve">Member State </w:t>
      </w:r>
      <w:r w:rsidR="006779F1">
        <w:t xml:space="preserve">referred to in Clause 1.6(i) </w:t>
      </w:r>
      <w:r w:rsidR="00F6067A">
        <w:t>has notified its inability to meet the Demand or has failed to notify its ability</w:t>
      </w:r>
      <w:r w:rsidR="00F6067A" w:rsidRPr="0065131E">
        <w:rPr>
          <w:rFonts w:cs="Times New Roman"/>
        </w:rPr>
        <w:t xml:space="preserve"> </w:t>
      </w:r>
      <w:r w:rsidR="00EF4DF9" w:rsidRPr="0065131E">
        <w:rPr>
          <w:rFonts w:cs="Times New Roman"/>
        </w:rPr>
        <w:t xml:space="preserve">(the unpaid amount </w:t>
      </w:r>
      <w:r w:rsidR="00DF1C0E" w:rsidRPr="006227D6">
        <w:rPr>
          <w:rFonts w:cs="Times New Roman"/>
        </w:rPr>
        <w:t>being</w:t>
      </w:r>
      <w:r w:rsidR="00EF4DF9" w:rsidRPr="006227D6">
        <w:rPr>
          <w:rFonts w:cs="Times New Roman"/>
        </w:rPr>
        <w:t xml:space="preserve"> the "</w:t>
      </w:r>
      <w:r w:rsidR="00846263">
        <w:rPr>
          <w:rFonts w:cs="Times New Roman"/>
          <w:b/>
        </w:rPr>
        <w:t>Additional</w:t>
      </w:r>
      <w:r w:rsidR="009927C4">
        <w:rPr>
          <w:rFonts w:cs="Times New Roman"/>
        </w:rPr>
        <w:t xml:space="preserve"> </w:t>
      </w:r>
      <w:r w:rsidR="00EF4DF9" w:rsidRPr="006227D6">
        <w:rPr>
          <w:rFonts w:cs="Times New Roman"/>
          <w:b/>
          <w:bCs/>
        </w:rPr>
        <w:t>Shortfall</w:t>
      </w:r>
      <w:r w:rsidR="00EF4DF9" w:rsidRPr="006227D6">
        <w:rPr>
          <w:rFonts w:cs="Times New Roman"/>
        </w:rPr>
        <w:t xml:space="preserve">"), </w:t>
      </w:r>
      <w:r w:rsidR="005E5977" w:rsidRPr="006227D6">
        <w:rPr>
          <w:rFonts w:cs="Times New Roman"/>
        </w:rPr>
        <w:t xml:space="preserve">the </w:t>
      </w:r>
      <w:r w:rsidR="007541EA" w:rsidRPr="006227D6">
        <w:rPr>
          <w:rFonts w:cs="Times New Roman"/>
        </w:rPr>
        <w:t xml:space="preserve">Commission </w:t>
      </w:r>
      <w:r w:rsidR="00EF4DF9" w:rsidRPr="00AE13FA">
        <w:rPr>
          <w:rFonts w:cs="Times New Roman"/>
        </w:rPr>
        <w:t>shall</w:t>
      </w:r>
      <w:r w:rsidR="00727D77" w:rsidRPr="00AE13FA">
        <w:rPr>
          <w:rFonts w:cs="Times New Roman"/>
        </w:rPr>
        <w:t xml:space="preserve"> </w:t>
      </w:r>
      <w:r w:rsidR="00B0247F" w:rsidRPr="000F087A">
        <w:rPr>
          <w:rFonts w:cs="Times New Roman"/>
        </w:rPr>
        <w:t xml:space="preserve">make a </w:t>
      </w:r>
      <w:r w:rsidR="009927C4">
        <w:rPr>
          <w:rFonts w:cs="Times New Roman"/>
        </w:rPr>
        <w:t xml:space="preserve">further </w:t>
      </w:r>
      <w:r w:rsidR="00B0247F" w:rsidRPr="000F087A">
        <w:rPr>
          <w:rFonts w:cs="Times New Roman"/>
        </w:rPr>
        <w:t xml:space="preserve">Demand </w:t>
      </w:r>
      <w:r w:rsidR="00106495" w:rsidRPr="000F087A">
        <w:rPr>
          <w:rFonts w:cs="Times New Roman"/>
        </w:rPr>
        <w:t>(or Demands)</w:t>
      </w:r>
      <w:r w:rsidR="009927C4">
        <w:rPr>
          <w:rFonts w:cs="Times New Roman"/>
        </w:rPr>
        <w:t xml:space="preserve"> (such Demand(s) being the “</w:t>
      </w:r>
      <w:r w:rsidR="009927C4" w:rsidRPr="00242CE2">
        <w:rPr>
          <w:rFonts w:cs="Times New Roman"/>
          <w:b/>
        </w:rPr>
        <w:t>Additional Demand(s</w:t>
      </w:r>
      <w:r w:rsidR="009927C4">
        <w:rPr>
          <w:rFonts w:cs="Times New Roman"/>
        </w:rPr>
        <w:t>)”)</w:t>
      </w:r>
      <w:r w:rsidR="00106495" w:rsidRPr="000F087A">
        <w:rPr>
          <w:rFonts w:cs="Times New Roman"/>
        </w:rPr>
        <w:t xml:space="preserve"> </w:t>
      </w:r>
      <w:r w:rsidR="00B0247F" w:rsidRPr="000F087A">
        <w:rPr>
          <w:rFonts w:cs="Times New Roman"/>
        </w:rPr>
        <w:t>on</w:t>
      </w:r>
      <w:r w:rsidR="00EF4DF9" w:rsidRPr="000F087A">
        <w:rPr>
          <w:rFonts w:cs="Times New Roman"/>
        </w:rPr>
        <w:t xml:space="preserve"> the other Guarantors to pay their Adjusted </w:t>
      </w:r>
      <w:r w:rsidR="005E5977" w:rsidRPr="000F087A">
        <w:rPr>
          <w:rFonts w:cs="Times New Roman"/>
        </w:rPr>
        <w:t xml:space="preserve">Payment Contribution Key </w:t>
      </w:r>
      <w:r w:rsidR="005B3D8C">
        <w:rPr>
          <w:rFonts w:cs="Times New Roman"/>
        </w:rPr>
        <w:t>Percentage</w:t>
      </w:r>
      <w:r w:rsidR="005B3D8C" w:rsidRPr="009B5208">
        <w:rPr>
          <w:rFonts w:cs="Times New Roman"/>
        </w:rPr>
        <w:t xml:space="preserve"> </w:t>
      </w:r>
      <w:r w:rsidR="00EF4DF9" w:rsidRPr="00D375FE">
        <w:rPr>
          <w:rFonts w:cs="Times New Roman"/>
        </w:rPr>
        <w:t xml:space="preserve">of the </w:t>
      </w:r>
      <w:r w:rsidR="00846263">
        <w:rPr>
          <w:rFonts w:cs="Times New Roman"/>
        </w:rPr>
        <w:t>Additional</w:t>
      </w:r>
      <w:r w:rsidR="009927C4">
        <w:rPr>
          <w:rFonts w:cs="Times New Roman"/>
        </w:rPr>
        <w:t xml:space="preserve"> </w:t>
      </w:r>
      <w:r w:rsidR="00EF4DF9" w:rsidRPr="00D375FE">
        <w:rPr>
          <w:rFonts w:cs="Times New Roman"/>
        </w:rPr>
        <w:t>Shortfall</w:t>
      </w:r>
      <w:r w:rsidR="000946EA" w:rsidRPr="00D375FE">
        <w:rPr>
          <w:rFonts w:cs="Times New Roman"/>
        </w:rPr>
        <w:t>(s)</w:t>
      </w:r>
      <w:r w:rsidR="00BB19F2">
        <w:rPr>
          <w:rFonts w:cs="Times New Roman"/>
        </w:rPr>
        <w:t xml:space="preserve"> (the “</w:t>
      </w:r>
      <w:r w:rsidR="00BB19F2" w:rsidRPr="00242CE2">
        <w:rPr>
          <w:rFonts w:cs="Times New Roman"/>
          <w:b/>
        </w:rPr>
        <w:t>Additional Demanded Amount</w:t>
      </w:r>
      <w:r w:rsidR="00BB19F2">
        <w:rPr>
          <w:rFonts w:cs="Times New Roman"/>
        </w:rPr>
        <w:t>”)</w:t>
      </w:r>
      <w:r w:rsidR="005E5977" w:rsidRPr="0065131E">
        <w:rPr>
          <w:rFonts w:cs="Times New Roman"/>
        </w:rPr>
        <w:t>.</w:t>
      </w:r>
      <w:r w:rsidR="00EF4DF9" w:rsidRPr="0065131E">
        <w:rPr>
          <w:rFonts w:cs="Times New Roman"/>
        </w:rPr>
        <w:t xml:space="preserve"> For the purpose of this Clause</w:t>
      </w:r>
      <w:bookmarkEnd w:id="7"/>
      <w:r w:rsidR="00506BA7" w:rsidRPr="0065131E">
        <w:rPr>
          <w:rFonts w:cs="Times New Roman"/>
        </w:rPr>
        <w:t xml:space="preserve"> </w:t>
      </w:r>
      <w:r w:rsidR="0084189F" w:rsidRPr="00AE13FA">
        <w:rPr>
          <w:rFonts w:cs="Times New Roman"/>
        </w:rPr>
        <w:fldChar w:fldCharType="begin"/>
      </w:r>
      <w:r w:rsidR="0084189F" w:rsidRPr="006227D6">
        <w:rPr>
          <w:rFonts w:cs="Times New Roman"/>
        </w:rPr>
        <w:instrText xml:space="preserve"> REF _Ref267405340 \r \h </w:instrText>
      </w:r>
      <w:r w:rsidR="00AE13FA">
        <w:rPr>
          <w:rFonts w:cs="Times New Roman"/>
        </w:rPr>
        <w:instrText xml:space="preserve"> \* MERGEFORMAT </w:instrText>
      </w:r>
      <w:r w:rsidR="0084189F" w:rsidRPr="00AE13FA">
        <w:rPr>
          <w:rFonts w:cs="Times New Roman"/>
        </w:rPr>
      </w:r>
      <w:r w:rsidR="0084189F" w:rsidRPr="00AE13FA">
        <w:rPr>
          <w:rFonts w:cs="Times New Roman"/>
        </w:rPr>
        <w:fldChar w:fldCharType="separate"/>
      </w:r>
      <w:r w:rsidR="00816A02" w:rsidRPr="00AE13FA">
        <w:rPr>
          <w:rFonts w:cs="Times New Roman"/>
          <w:cs/>
        </w:rPr>
        <w:t>‎</w:t>
      </w:r>
      <w:r w:rsidR="00816A02" w:rsidRPr="00AE13FA">
        <w:rPr>
          <w:rFonts w:cs="Times New Roman"/>
        </w:rPr>
        <w:t>1.</w:t>
      </w:r>
      <w:r w:rsidR="0084189F" w:rsidRPr="00AE13FA">
        <w:rPr>
          <w:rFonts w:cs="Times New Roman"/>
        </w:rPr>
        <w:fldChar w:fldCharType="end"/>
      </w:r>
      <w:r w:rsidR="00C36C3D">
        <w:rPr>
          <w:rFonts w:cs="Times New Roman"/>
        </w:rPr>
        <w:t>7</w:t>
      </w:r>
      <w:r w:rsidR="009B5208">
        <w:rPr>
          <w:rFonts w:cs="Times New Roman"/>
        </w:rPr>
        <w:t>,</w:t>
      </w:r>
      <w:r w:rsidR="00EF4DF9" w:rsidRPr="00AE13FA">
        <w:rPr>
          <w:rFonts w:cs="Times New Roman"/>
        </w:rPr>
        <w:t xml:space="preserve"> the Adjusted </w:t>
      </w:r>
      <w:r w:rsidR="005E5977" w:rsidRPr="00AE13FA">
        <w:rPr>
          <w:rFonts w:cs="Times New Roman"/>
        </w:rPr>
        <w:t xml:space="preserve">Payment Contribution Key </w:t>
      </w:r>
      <w:r w:rsidR="005B3D8C">
        <w:rPr>
          <w:rFonts w:cs="Times New Roman"/>
        </w:rPr>
        <w:t>Percentage</w:t>
      </w:r>
      <w:r w:rsidR="005B3D8C" w:rsidRPr="009B5208">
        <w:rPr>
          <w:rFonts w:cs="Times New Roman"/>
        </w:rPr>
        <w:t xml:space="preserve"> </w:t>
      </w:r>
      <w:r w:rsidR="00DF1C0E" w:rsidRPr="000F087A">
        <w:rPr>
          <w:rFonts w:cs="Times New Roman"/>
        </w:rPr>
        <w:t xml:space="preserve">of a Guarantor </w:t>
      </w:r>
      <w:r w:rsidR="00EF4DF9" w:rsidRPr="000F087A">
        <w:rPr>
          <w:rFonts w:cs="Times New Roman"/>
        </w:rPr>
        <w:t xml:space="preserve">means the </w:t>
      </w:r>
      <w:r w:rsidR="005E5977" w:rsidRPr="000F087A">
        <w:rPr>
          <w:rFonts w:cs="Times New Roman"/>
        </w:rPr>
        <w:t xml:space="preserve">Guarantee </w:t>
      </w:r>
      <w:r w:rsidR="00EF4DF9" w:rsidRPr="000F087A">
        <w:rPr>
          <w:rFonts w:cs="Times New Roman"/>
        </w:rPr>
        <w:t xml:space="preserve">Contribution Key </w:t>
      </w:r>
      <w:r w:rsidR="005B3D8C">
        <w:rPr>
          <w:rFonts w:cs="Times New Roman"/>
        </w:rPr>
        <w:t>Percentage</w:t>
      </w:r>
      <w:r w:rsidR="005B3D8C" w:rsidRPr="009B5208">
        <w:rPr>
          <w:rFonts w:cs="Times New Roman"/>
        </w:rPr>
        <w:t xml:space="preserve"> </w:t>
      </w:r>
      <w:r w:rsidR="00DF1C0E" w:rsidRPr="000F087A">
        <w:rPr>
          <w:rFonts w:cs="Times New Roman"/>
        </w:rPr>
        <w:t xml:space="preserve">of each Guarantor </w:t>
      </w:r>
      <w:r w:rsidR="00483FDD" w:rsidRPr="000F087A">
        <w:rPr>
          <w:rFonts w:cs="Times New Roman"/>
        </w:rPr>
        <w:t xml:space="preserve">adjusted </w:t>
      </w:r>
      <w:r w:rsidR="00FA1FA2" w:rsidRPr="000F087A">
        <w:rPr>
          <w:rFonts w:cs="Times New Roman"/>
        </w:rPr>
        <w:t xml:space="preserve">on a </w:t>
      </w:r>
      <w:r w:rsidR="00FA1FA2" w:rsidRPr="00D375FE">
        <w:rPr>
          <w:rFonts w:cs="Times New Roman"/>
          <w:i/>
          <w:iCs/>
        </w:rPr>
        <w:t xml:space="preserve">pro rata </w:t>
      </w:r>
      <w:r w:rsidR="00FA1FA2" w:rsidRPr="00D375FE">
        <w:rPr>
          <w:rFonts w:cs="Times New Roman"/>
        </w:rPr>
        <w:t xml:space="preserve"> </w:t>
      </w:r>
      <w:r w:rsidR="00FA1FA2" w:rsidRPr="00E62DEE">
        <w:rPr>
          <w:rFonts w:cs="Times New Roman"/>
          <w:i/>
          <w:iCs/>
        </w:rPr>
        <w:t>pari passu</w:t>
      </w:r>
      <w:r w:rsidR="00FA1FA2" w:rsidRPr="00AE13FA">
        <w:rPr>
          <w:rFonts w:cs="Times New Roman"/>
          <w:i/>
          <w:iCs/>
        </w:rPr>
        <w:t xml:space="preserve"> </w:t>
      </w:r>
      <w:r w:rsidR="00FA1FA2" w:rsidRPr="00AE13FA">
        <w:rPr>
          <w:rFonts w:cs="Times New Roman"/>
        </w:rPr>
        <w:t xml:space="preserve"> basis </w:t>
      </w:r>
      <w:r w:rsidR="00483FDD" w:rsidRPr="00AE13FA">
        <w:rPr>
          <w:rFonts w:cs="Times New Roman"/>
        </w:rPr>
        <w:t xml:space="preserve">the </w:t>
      </w:r>
      <w:r w:rsidR="006B54B0" w:rsidRPr="00AE13FA">
        <w:rPr>
          <w:rFonts w:cs="Times New Roman"/>
        </w:rPr>
        <w:t>non-paying</w:t>
      </w:r>
      <w:r w:rsidR="00483FDD" w:rsidRPr="000F087A">
        <w:rPr>
          <w:rFonts w:cs="Times New Roman"/>
        </w:rPr>
        <w:t xml:space="preserve"> Guarantor</w:t>
      </w:r>
      <w:r w:rsidR="000017E7">
        <w:rPr>
          <w:rFonts w:cs="Times New Roman"/>
        </w:rPr>
        <w:t>(</w:t>
      </w:r>
      <w:r w:rsidR="000946EA" w:rsidRPr="000F087A">
        <w:rPr>
          <w:rFonts w:cs="Times New Roman"/>
        </w:rPr>
        <w:t>s</w:t>
      </w:r>
      <w:r w:rsidR="000017E7">
        <w:rPr>
          <w:rFonts w:cs="Times New Roman"/>
        </w:rPr>
        <w:t>)</w:t>
      </w:r>
      <w:r w:rsidR="00FA1FA2" w:rsidRPr="000F087A">
        <w:rPr>
          <w:rFonts w:cs="Times New Roman"/>
        </w:rPr>
        <w:t>, however,</w:t>
      </w:r>
      <w:r w:rsidR="00483FDD" w:rsidRPr="000F087A">
        <w:rPr>
          <w:rFonts w:cs="Times New Roman"/>
        </w:rPr>
        <w:t xml:space="preserve"> </w:t>
      </w:r>
      <w:r w:rsidR="00DE5C09" w:rsidRPr="000F087A">
        <w:rPr>
          <w:rFonts w:cs="Times New Roman"/>
        </w:rPr>
        <w:t xml:space="preserve">being </w:t>
      </w:r>
      <w:r w:rsidR="00483FDD" w:rsidRPr="000F087A">
        <w:rPr>
          <w:rFonts w:cs="Times New Roman"/>
        </w:rPr>
        <w:t>exc</w:t>
      </w:r>
      <w:r w:rsidR="005E5977" w:rsidRPr="000F087A">
        <w:rPr>
          <w:rFonts w:cs="Times New Roman"/>
        </w:rPr>
        <w:t xml:space="preserve">luded </w:t>
      </w:r>
      <w:r w:rsidR="00DF1C0E" w:rsidRPr="000F087A">
        <w:rPr>
          <w:rFonts w:cs="Times New Roman"/>
        </w:rPr>
        <w:t xml:space="preserve">such that </w:t>
      </w:r>
      <w:r w:rsidR="000017E7">
        <w:rPr>
          <w:rFonts w:cs="Times New Roman"/>
        </w:rPr>
        <w:t>its/</w:t>
      </w:r>
      <w:r w:rsidR="000946EA" w:rsidRPr="00D375FE">
        <w:rPr>
          <w:rFonts w:cs="Times New Roman"/>
        </w:rPr>
        <w:t>their</w:t>
      </w:r>
      <w:r w:rsidR="00DF1C0E" w:rsidRPr="00D375FE">
        <w:rPr>
          <w:rFonts w:cs="Times New Roman"/>
        </w:rPr>
        <w:t xml:space="preserve"> Adjusted Payment </w:t>
      </w:r>
      <w:r w:rsidR="00F2300C" w:rsidRPr="00D375FE">
        <w:rPr>
          <w:rFonts w:cs="Times New Roman"/>
        </w:rPr>
        <w:t xml:space="preserve">Contribution Key </w:t>
      </w:r>
      <w:r w:rsidR="005B3D8C">
        <w:rPr>
          <w:rFonts w:cs="Times New Roman"/>
        </w:rPr>
        <w:t>Percentage</w:t>
      </w:r>
      <w:r w:rsidR="005B3D8C" w:rsidRPr="009B5208">
        <w:rPr>
          <w:rFonts w:cs="Times New Roman"/>
        </w:rPr>
        <w:t xml:space="preserve"> </w:t>
      </w:r>
      <w:r w:rsidR="00F2300C" w:rsidRPr="00D375FE">
        <w:rPr>
          <w:rFonts w:cs="Times New Roman"/>
        </w:rPr>
        <w:t>is equal to z</w:t>
      </w:r>
      <w:r w:rsidR="00DF1C0E" w:rsidRPr="00D375FE">
        <w:rPr>
          <w:rFonts w:cs="Times New Roman"/>
        </w:rPr>
        <w:t xml:space="preserve">ero for this purpose </w:t>
      </w:r>
      <w:r w:rsidR="00FA1FA2" w:rsidRPr="004E1EDA">
        <w:rPr>
          <w:rFonts w:cs="Times New Roman"/>
        </w:rPr>
        <w:t xml:space="preserve">such that </w:t>
      </w:r>
      <w:r w:rsidR="005E5977" w:rsidRPr="004E1EDA">
        <w:rPr>
          <w:rFonts w:cs="Times New Roman"/>
        </w:rPr>
        <w:t>the aggregate of the A</w:t>
      </w:r>
      <w:r w:rsidR="00483FDD" w:rsidRPr="004E1EDA">
        <w:rPr>
          <w:rFonts w:cs="Times New Roman"/>
        </w:rPr>
        <w:t xml:space="preserve">djusted </w:t>
      </w:r>
      <w:r w:rsidR="005E5977" w:rsidRPr="005F55FE">
        <w:rPr>
          <w:rFonts w:cs="Times New Roman"/>
        </w:rPr>
        <w:t xml:space="preserve">Payment </w:t>
      </w:r>
      <w:r w:rsidR="00483FDD" w:rsidRPr="004E7E8C">
        <w:rPr>
          <w:rFonts w:cs="Times New Roman"/>
        </w:rPr>
        <w:t xml:space="preserve">Contribution Key </w:t>
      </w:r>
      <w:r w:rsidR="00FF3E7A">
        <w:rPr>
          <w:rFonts w:cs="Times New Roman"/>
        </w:rPr>
        <w:t>Percentage</w:t>
      </w:r>
      <w:r w:rsidR="00FF3E7A" w:rsidRPr="009B5208">
        <w:rPr>
          <w:rFonts w:cs="Times New Roman"/>
        </w:rPr>
        <w:t xml:space="preserve"> </w:t>
      </w:r>
      <w:r w:rsidR="00483FDD" w:rsidRPr="004E7E8C">
        <w:rPr>
          <w:rFonts w:cs="Times New Roman"/>
        </w:rPr>
        <w:t>of the remainder of the Guarantors is equal to 100</w:t>
      </w:r>
      <w:r w:rsidR="003F37A9">
        <w:rPr>
          <w:rFonts w:cs="Times New Roman"/>
        </w:rPr>
        <w:t xml:space="preserve"> per cent</w:t>
      </w:r>
      <w:r w:rsidR="003F37A9" w:rsidRPr="004E7E8C">
        <w:rPr>
          <w:rFonts w:cs="Times New Roman"/>
        </w:rPr>
        <w:t xml:space="preserve">. </w:t>
      </w:r>
    </w:p>
    <w:p w14:paraId="10DBC939" w14:textId="79344AB7" w:rsidR="009B5208" w:rsidRDefault="006B54B0" w:rsidP="00155516">
      <w:pPr>
        <w:pStyle w:val="StandardL2"/>
        <w:numPr>
          <w:ilvl w:val="0"/>
          <w:numId w:val="0"/>
        </w:numPr>
        <w:ind w:left="720"/>
        <w:rPr>
          <w:rFonts w:cs="Times New Roman"/>
        </w:rPr>
      </w:pPr>
      <w:r w:rsidRPr="009B5208">
        <w:rPr>
          <w:rFonts w:cs="Times New Roman"/>
        </w:rPr>
        <w:t xml:space="preserve">The </w:t>
      </w:r>
      <w:r w:rsidR="007541EA" w:rsidRPr="009B5208">
        <w:rPr>
          <w:rFonts w:cs="Times New Roman"/>
        </w:rPr>
        <w:t xml:space="preserve">Commission </w:t>
      </w:r>
      <w:r w:rsidR="00637738" w:rsidRPr="009B5208">
        <w:rPr>
          <w:rFonts w:cs="Times New Roman"/>
        </w:rPr>
        <w:t xml:space="preserve">shall make </w:t>
      </w:r>
      <w:r w:rsidR="009927C4" w:rsidRPr="009B5208">
        <w:rPr>
          <w:rFonts w:cs="Times New Roman"/>
        </w:rPr>
        <w:t xml:space="preserve">Additional </w:t>
      </w:r>
      <w:r w:rsidR="00637738" w:rsidRPr="009B5208">
        <w:rPr>
          <w:rFonts w:cs="Times New Roman"/>
        </w:rPr>
        <w:t xml:space="preserve">Demands on all Guarantors </w:t>
      </w:r>
      <w:r w:rsidR="00C63F78" w:rsidRPr="0075116A">
        <w:rPr>
          <w:rFonts w:cs="Times New Roman"/>
          <w:bCs/>
        </w:rPr>
        <w:t xml:space="preserve">pro rata to the relative share of each of the other </w:t>
      </w:r>
      <w:r w:rsidR="00C63F78">
        <w:rPr>
          <w:rFonts w:cs="Times New Roman"/>
          <w:bCs/>
        </w:rPr>
        <w:t>Guarantors</w:t>
      </w:r>
      <w:r w:rsidR="00C63F78" w:rsidRPr="0075116A">
        <w:rPr>
          <w:rFonts w:cs="Times New Roman"/>
          <w:bCs/>
        </w:rPr>
        <w:t xml:space="preserve"> in the </w:t>
      </w:r>
      <w:r w:rsidR="00DE341A">
        <w:rPr>
          <w:rFonts w:cs="Times New Roman"/>
          <w:bCs/>
        </w:rPr>
        <w:t>Guarantee Contribution Key</w:t>
      </w:r>
      <w:r w:rsidR="00C63F78">
        <w:rPr>
          <w:rFonts w:cs="Times New Roman"/>
          <w:bCs/>
        </w:rPr>
        <w:t>,</w:t>
      </w:r>
      <w:r w:rsidR="00C63F78" w:rsidRPr="0075116A">
        <w:rPr>
          <w:rFonts w:cs="Times New Roman"/>
          <w:bCs/>
        </w:rPr>
        <w:t xml:space="preserve"> as adapted </w:t>
      </w:r>
      <w:r w:rsidR="00662515">
        <w:rPr>
          <w:rFonts w:cs="Times New Roman"/>
          <w:bCs/>
        </w:rPr>
        <w:t>so as to not</w:t>
      </w:r>
      <w:r w:rsidR="00662515" w:rsidRPr="0075116A">
        <w:rPr>
          <w:rFonts w:cs="Times New Roman"/>
          <w:bCs/>
        </w:rPr>
        <w:t xml:space="preserve"> </w:t>
      </w:r>
      <w:r w:rsidR="00C63F78" w:rsidRPr="0075116A">
        <w:rPr>
          <w:rFonts w:cs="Times New Roman"/>
          <w:bCs/>
        </w:rPr>
        <w:t>tak</w:t>
      </w:r>
      <w:r w:rsidR="00662515">
        <w:rPr>
          <w:rFonts w:cs="Times New Roman"/>
          <w:bCs/>
        </w:rPr>
        <w:t>e</w:t>
      </w:r>
      <w:r w:rsidR="00C63F78" w:rsidRPr="0075116A">
        <w:rPr>
          <w:rFonts w:cs="Times New Roman"/>
          <w:bCs/>
        </w:rPr>
        <w:t xml:space="preserve"> into account the relative share of </w:t>
      </w:r>
      <w:r w:rsidR="00DE341A">
        <w:rPr>
          <w:rFonts w:cs="Times New Roman"/>
          <w:bCs/>
        </w:rPr>
        <w:t xml:space="preserve">the </w:t>
      </w:r>
      <w:r w:rsidR="00C63F78">
        <w:rPr>
          <w:rFonts w:cs="Times New Roman"/>
          <w:bCs/>
        </w:rPr>
        <w:t>Guarantor</w:t>
      </w:r>
      <w:r w:rsidR="00C63F78" w:rsidRPr="0075116A">
        <w:rPr>
          <w:rFonts w:cs="Times New Roman"/>
          <w:bCs/>
        </w:rPr>
        <w:t xml:space="preserve"> </w:t>
      </w:r>
      <w:r w:rsidR="00C63F78">
        <w:rPr>
          <w:rFonts w:cs="Times New Roman"/>
          <w:bCs/>
        </w:rPr>
        <w:t>having failed to honour its duty</w:t>
      </w:r>
      <w:r w:rsidR="009B5208" w:rsidRPr="009B5208">
        <w:rPr>
          <w:rFonts w:cs="Times New Roman"/>
        </w:rPr>
        <w:t>.</w:t>
      </w:r>
      <w:r w:rsidR="001A1F30" w:rsidRPr="009B5208">
        <w:rPr>
          <w:rFonts w:cs="Times New Roman"/>
        </w:rPr>
        <w:t xml:space="preserve"> </w:t>
      </w:r>
    </w:p>
    <w:p w14:paraId="5AC353D1" w14:textId="2F71B0DC" w:rsidR="004E4282" w:rsidRPr="009B5208" w:rsidRDefault="009B5208" w:rsidP="00155516">
      <w:pPr>
        <w:pStyle w:val="StandardL2"/>
        <w:numPr>
          <w:ilvl w:val="0"/>
          <w:numId w:val="0"/>
        </w:numPr>
        <w:ind w:left="720"/>
        <w:rPr>
          <w:rFonts w:cs="Times New Roman"/>
        </w:rPr>
      </w:pPr>
      <w:r w:rsidRPr="009B5208">
        <w:rPr>
          <w:rFonts w:cs="Times New Roman"/>
        </w:rPr>
        <w:t xml:space="preserve">Any </w:t>
      </w:r>
      <w:r>
        <w:rPr>
          <w:rFonts w:cs="Times New Roman"/>
        </w:rPr>
        <w:t xml:space="preserve">Additional </w:t>
      </w:r>
      <w:r w:rsidRPr="009B5208">
        <w:rPr>
          <w:rFonts w:cs="Times New Roman"/>
        </w:rPr>
        <w:t xml:space="preserve">Demand shall specify the </w:t>
      </w:r>
      <w:r>
        <w:rPr>
          <w:rFonts w:cs="Times New Roman"/>
        </w:rPr>
        <w:t>Additional Shortfall</w:t>
      </w:r>
      <w:r w:rsidRPr="009B5208">
        <w:rPr>
          <w:rFonts w:cs="Times New Roman"/>
        </w:rPr>
        <w:t xml:space="preserve"> and shall request in writing the Guarantor to transfer an amount equal to </w:t>
      </w:r>
      <w:r>
        <w:rPr>
          <w:rFonts w:cs="Times New Roman"/>
        </w:rPr>
        <w:t>Additional Demanded Amount</w:t>
      </w:r>
      <w:r w:rsidRPr="009B5208">
        <w:rPr>
          <w:rFonts w:cs="Times New Roman"/>
        </w:rPr>
        <w:t>, in cleared funds to the account referred to in Clause 1.9</w:t>
      </w:r>
      <w:r>
        <w:rPr>
          <w:rFonts w:cs="Times New Roman"/>
        </w:rPr>
        <w:t xml:space="preserve">. </w:t>
      </w:r>
      <w:r w:rsidR="00C63F78">
        <w:rPr>
          <w:rFonts w:cs="Times New Roman"/>
        </w:rPr>
        <w:t>The Additional Demanded Amount shall comply with Clause 1.</w:t>
      </w:r>
      <w:r w:rsidR="00C36C3D">
        <w:rPr>
          <w:rFonts w:cs="Times New Roman"/>
        </w:rPr>
        <w:t>4</w:t>
      </w:r>
      <w:r w:rsidR="00C63F78">
        <w:rPr>
          <w:rFonts w:cs="Times New Roman"/>
        </w:rPr>
        <w:t xml:space="preserve">. </w:t>
      </w:r>
      <w:r w:rsidRPr="009B5208">
        <w:rPr>
          <w:rFonts w:cs="Times New Roman"/>
        </w:rPr>
        <w:t xml:space="preserve">The Guarantor unconditionally and irrevocably guarantees to the Commission the due and punctual payment of the Additional Demanded Amount </w:t>
      </w:r>
      <w:r w:rsidR="00C63F78">
        <w:rPr>
          <w:rFonts w:cs="Times New Roman"/>
        </w:rPr>
        <w:t xml:space="preserve">on demand </w:t>
      </w:r>
      <w:r w:rsidR="00DF1C0E" w:rsidRPr="009B5208">
        <w:rPr>
          <w:rFonts w:cs="Times New Roman"/>
        </w:rPr>
        <w:t xml:space="preserve">and the Guarantor shall </w:t>
      </w:r>
      <w:r w:rsidR="00C63F78">
        <w:rPr>
          <w:rFonts w:cs="Times New Roman"/>
        </w:rPr>
        <w:t>transfer</w:t>
      </w:r>
      <w:r w:rsidR="00DF1C0E" w:rsidRPr="009B5208">
        <w:rPr>
          <w:rFonts w:cs="Times New Roman"/>
        </w:rPr>
        <w:t xml:space="preserve"> </w:t>
      </w:r>
      <w:r w:rsidR="00C63F78">
        <w:rPr>
          <w:rFonts w:cs="Times New Roman"/>
        </w:rPr>
        <w:t>the</w:t>
      </w:r>
      <w:r w:rsidR="00C63F78" w:rsidRPr="009B5208">
        <w:rPr>
          <w:rFonts w:cs="Times New Roman"/>
        </w:rPr>
        <w:t xml:space="preserve"> </w:t>
      </w:r>
      <w:r w:rsidR="009927C4" w:rsidRPr="009B5208">
        <w:rPr>
          <w:rFonts w:cs="Times New Roman"/>
        </w:rPr>
        <w:t xml:space="preserve">Additional </w:t>
      </w:r>
      <w:r w:rsidR="00DF1C0E" w:rsidRPr="009B5208">
        <w:rPr>
          <w:rFonts w:cs="Times New Roman"/>
        </w:rPr>
        <w:t>Demand</w:t>
      </w:r>
      <w:r w:rsidR="00C63F78">
        <w:rPr>
          <w:rFonts w:cs="Times New Roman"/>
        </w:rPr>
        <w:t>ed Amount</w:t>
      </w:r>
      <w:r w:rsidR="00DF1C0E" w:rsidRPr="009B5208">
        <w:rPr>
          <w:rFonts w:cs="Times New Roman"/>
        </w:rPr>
        <w:t xml:space="preserve"> </w:t>
      </w:r>
      <w:r w:rsidRPr="009B5208">
        <w:rPr>
          <w:rFonts w:cs="Times New Roman"/>
        </w:rPr>
        <w:t xml:space="preserve">in accordance with the terms of such Additional Demand. The transfer shall occur </w:t>
      </w:r>
      <w:r w:rsidR="00956AC2">
        <w:rPr>
          <w:rFonts w:cs="Times New Roman"/>
        </w:rPr>
        <w:t xml:space="preserve">within ten (10) Business Days or such time </w:t>
      </w:r>
      <w:r w:rsidR="00DF1C0E" w:rsidRPr="009B5208">
        <w:rPr>
          <w:rFonts w:cs="Times New Roman"/>
        </w:rPr>
        <w:t>such that sufficient funds have been paid to the account specified in Cla</w:t>
      </w:r>
      <w:r w:rsidR="00F2300C" w:rsidRPr="009B5208">
        <w:rPr>
          <w:rFonts w:cs="Times New Roman"/>
        </w:rPr>
        <w:t>use 1.</w:t>
      </w:r>
      <w:r w:rsidR="009927C4" w:rsidRPr="009B5208">
        <w:rPr>
          <w:rFonts w:cs="Times New Roman"/>
        </w:rPr>
        <w:t>9</w:t>
      </w:r>
      <w:r w:rsidR="006818CC" w:rsidRPr="009B5208">
        <w:rPr>
          <w:rFonts w:cs="Times New Roman"/>
        </w:rPr>
        <w:t xml:space="preserve"> </w:t>
      </w:r>
      <w:r w:rsidR="00F2300C" w:rsidRPr="009B5208">
        <w:rPr>
          <w:rFonts w:cs="Times New Roman"/>
        </w:rPr>
        <w:t>to permit payment in ful</w:t>
      </w:r>
      <w:r w:rsidR="00DF1C0E" w:rsidRPr="009B5208">
        <w:rPr>
          <w:rFonts w:cs="Times New Roman"/>
        </w:rPr>
        <w:t xml:space="preserve">l </w:t>
      </w:r>
      <w:r w:rsidR="00BB19F2" w:rsidRPr="009B5208">
        <w:rPr>
          <w:rFonts w:cs="Times New Roman"/>
        </w:rPr>
        <w:lastRenderedPageBreak/>
        <w:t xml:space="preserve">the </w:t>
      </w:r>
      <w:r w:rsidR="00BB19F2">
        <w:t xml:space="preserve">Amount Due </w:t>
      </w:r>
      <w:r w:rsidR="00DF1C0E" w:rsidRPr="009B5208">
        <w:rPr>
          <w:rFonts w:cs="Times New Roman"/>
        </w:rPr>
        <w:t xml:space="preserve">on the scheduled date </w:t>
      </w:r>
      <w:r w:rsidR="00F2300C" w:rsidRPr="009B5208">
        <w:rPr>
          <w:rFonts w:cs="Times New Roman"/>
        </w:rPr>
        <w:t xml:space="preserve">of payment </w:t>
      </w:r>
      <w:r w:rsidR="00B0247F" w:rsidRPr="009B5208">
        <w:rPr>
          <w:rFonts w:cs="Times New Roman"/>
        </w:rPr>
        <w:t>or, in the event of such a</w:t>
      </w:r>
      <w:r w:rsidR="009927C4" w:rsidRPr="009B5208">
        <w:rPr>
          <w:rFonts w:cs="Times New Roman"/>
        </w:rPr>
        <w:t>n</w:t>
      </w:r>
      <w:r w:rsidR="00B0247F" w:rsidRPr="009B5208">
        <w:rPr>
          <w:rFonts w:cs="Times New Roman"/>
        </w:rPr>
        <w:t xml:space="preserve"> </w:t>
      </w:r>
      <w:r w:rsidR="009927C4" w:rsidRPr="009B5208">
        <w:rPr>
          <w:rFonts w:cs="Times New Roman"/>
        </w:rPr>
        <w:t xml:space="preserve">Additional </w:t>
      </w:r>
      <w:r w:rsidR="00B0247F" w:rsidRPr="009B5208">
        <w:rPr>
          <w:rFonts w:cs="Times New Roman"/>
        </w:rPr>
        <w:t xml:space="preserve">Demand being made by the </w:t>
      </w:r>
      <w:r w:rsidR="007541EA" w:rsidRPr="009B5208">
        <w:rPr>
          <w:rFonts w:cs="Times New Roman"/>
        </w:rPr>
        <w:t xml:space="preserve">Commission </w:t>
      </w:r>
      <w:r w:rsidR="00B0247F" w:rsidRPr="009B5208">
        <w:rPr>
          <w:rFonts w:cs="Times New Roman"/>
        </w:rPr>
        <w:t>after the scheduled date of payment</w:t>
      </w:r>
      <w:r w:rsidR="00F532E5" w:rsidRPr="009B5208">
        <w:rPr>
          <w:rFonts w:cs="Times New Roman"/>
        </w:rPr>
        <w:t>,</w:t>
      </w:r>
      <w:r w:rsidR="00B0247F" w:rsidRPr="009B5208">
        <w:rPr>
          <w:rFonts w:cs="Times New Roman"/>
        </w:rPr>
        <w:t xml:space="preserve"> prior to the expiry of the grace period for non-payment </w:t>
      </w:r>
      <w:r w:rsidR="009102E2" w:rsidRPr="009B5208">
        <w:rPr>
          <w:rFonts w:cs="Times New Roman"/>
        </w:rPr>
        <w:t xml:space="preserve">of such amount </w:t>
      </w:r>
      <w:r w:rsidR="00B0247F" w:rsidRPr="009B5208">
        <w:rPr>
          <w:rFonts w:cs="Times New Roman"/>
        </w:rPr>
        <w:t xml:space="preserve">set out in the </w:t>
      </w:r>
      <w:r w:rsidR="009927C4" w:rsidRPr="009B5208">
        <w:rPr>
          <w:rFonts w:cs="Times New Roman"/>
        </w:rPr>
        <w:t xml:space="preserve">Borrowings </w:t>
      </w:r>
      <w:r w:rsidR="00FA1FA2" w:rsidRPr="009B5208">
        <w:rPr>
          <w:rFonts w:cs="Times New Roman"/>
        </w:rPr>
        <w:t xml:space="preserve">(in each case </w:t>
      </w:r>
      <w:r w:rsidR="00106495" w:rsidRPr="009B5208">
        <w:rPr>
          <w:rFonts w:cs="Times New Roman"/>
        </w:rPr>
        <w:t xml:space="preserve">provided that </w:t>
      </w:r>
      <w:r w:rsidR="00FA1FA2" w:rsidRPr="009B5208">
        <w:rPr>
          <w:rFonts w:cs="Times New Roman"/>
        </w:rPr>
        <w:t xml:space="preserve">the </w:t>
      </w:r>
      <w:r w:rsidR="009927C4" w:rsidRPr="009B5208">
        <w:rPr>
          <w:rFonts w:cs="Times New Roman"/>
        </w:rPr>
        <w:t xml:space="preserve">Additional </w:t>
      </w:r>
      <w:r w:rsidR="00FA1FA2" w:rsidRPr="009B5208">
        <w:rPr>
          <w:rFonts w:cs="Times New Roman"/>
        </w:rPr>
        <w:t xml:space="preserve">Demand is made </w:t>
      </w:r>
      <w:r w:rsidR="00106495" w:rsidRPr="009B5208">
        <w:rPr>
          <w:rFonts w:cs="Times New Roman"/>
        </w:rPr>
        <w:t xml:space="preserve">more than </w:t>
      </w:r>
      <w:r w:rsidR="008E2705">
        <w:rPr>
          <w:rFonts w:cs="Times New Roman"/>
        </w:rPr>
        <w:t>five</w:t>
      </w:r>
      <w:r w:rsidR="008E2705" w:rsidRPr="009B5208">
        <w:rPr>
          <w:rFonts w:cs="Times New Roman"/>
        </w:rPr>
        <w:t xml:space="preserve"> </w:t>
      </w:r>
      <w:r w:rsidR="00FA1FA2" w:rsidRPr="009B5208">
        <w:rPr>
          <w:rFonts w:cs="Times New Roman"/>
        </w:rPr>
        <w:t>(</w:t>
      </w:r>
      <w:r w:rsidR="008E2705">
        <w:rPr>
          <w:rFonts w:cs="Times New Roman"/>
        </w:rPr>
        <w:t>5</w:t>
      </w:r>
      <w:r w:rsidR="00FA1FA2" w:rsidRPr="009B5208">
        <w:rPr>
          <w:rFonts w:cs="Times New Roman"/>
        </w:rPr>
        <w:t xml:space="preserve">) Business Days prior to the </w:t>
      </w:r>
      <w:r w:rsidR="00106495" w:rsidRPr="009B5208">
        <w:rPr>
          <w:rFonts w:cs="Times New Roman"/>
        </w:rPr>
        <w:t xml:space="preserve">scheduled due </w:t>
      </w:r>
      <w:r w:rsidR="00FA1FA2" w:rsidRPr="009B5208">
        <w:rPr>
          <w:rFonts w:cs="Times New Roman"/>
        </w:rPr>
        <w:t xml:space="preserve">date of the required payment, </w:t>
      </w:r>
      <w:r w:rsidR="00106495" w:rsidRPr="009B5208">
        <w:rPr>
          <w:rFonts w:cs="Times New Roman"/>
        </w:rPr>
        <w:t>and</w:t>
      </w:r>
      <w:r w:rsidR="00BF15CE" w:rsidRPr="009B5208">
        <w:rPr>
          <w:rFonts w:cs="Times New Roman"/>
        </w:rPr>
        <w:t>,</w:t>
      </w:r>
      <w:r w:rsidR="00106495" w:rsidRPr="009B5208">
        <w:rPr>
          <w:rFonts w:cs="Times New Roman"/>
        </w:rPr>
        <w:t xml:space="preserve"> if this is not the </w:t>
      </w:r>
      <w:r w:rsidR="00FA1FA2" w:rsidRPr="009B5208">
        <w:rPr>
          <w:rFonts w:cs="Times New Roman"/>
        </w:rPr>
        <w:t>case</w:t>
      </w:r>
      <w:r w:rsidR="00BF15CE" w:rsidRPr="009B5208">
        <w:rPr>
          <w:rFonts w:cs="Times New Roman"/>
        </w:rPr>
        <w:t>,</w:t>
      </w:r>
      <w:r w:rsidR="00FA1FA2" w:rsidRPr="009B5208">
        <w:rPr>
          <w:rFonts w:cs="Times New Roman"/>
        </w:rPr>
        <w:t xml:space="preserve"> such </w:t>
      </w:r>
      <w:r w:rsidR="009927C4" w:rsidRPr="009B5208">
        <w:rPr>
          <w:rFonts w:cs="Times New Roman"/>
        </w:rPr>
        <w:t xml:space="preserve">Additional </w:t>
      </w:r>
      <w:r w:rsidR="00FA1FA2" w:rsidRPr="009B5208">
        <w:rPr>
          <w:rFonts w:cs="Times New Roman"/>
        </w:rPr>
        <w:t xml:space="preserve">Demand shall be paid no later than the </w:t>
      </w:r>
      <w:r w:rsidR="008E2705">
        <w:rPr>
          <w:rFonts w:cs="Times New Roman"/>
        </w:rPr>
        <w:t>fifth</w:t>
      </w:r>
      <w:r w:rsidR="00956AC2" w:rsidRPr="009B5208">
        <w:rPr>
          <w:rFonts w:cs="Times New Roman"/>
        </w:rPr>
        <w:t xml:space="preserve"> </w:t>
      </w:r>
      <w:r w:rsidR="00FA1FA2" w:rsidRPr="009B5208">
        <w:rPr>
          <w:rFonts w:cs="Times New Roman"/>
        </w:rPr>
        <w:t>(</w:t>
      </w:r>
      <w:r w:rsidR="008E2705">
        <w:rPr>
          <w:rFonts w:cs="Times New Roman"/>
        </w:rPr>
        <w:t>5</w:t>
      </w:r>
      <w:r w:rsidR="00956AC2" w:rsidRPr="00956AC2">
        <w:rPr>
          <w:rFonts w:cs="Times New Roman"/>
          <w:vertAlign w:val="superscript"/>
        </w:rPr>
        <w:t>th</w:t>
      </w:r>
      <w:r w:rsidR="00FA1FA2" w:rsidRPr="009B5208">
        <w:rPr>
          <w:rFonts w:cs="Times New Roman"/>
        </w:rPr>
        <w:t xml:space="preserve">) Business Day following the date of receipt of such </w:t>
      </w:r>
      <w:r w:rsidR="009927C4" w:rsidRPr="009B5208">
        <w:rPr>
          <w:rFonts w:cs="Times New Roman"/>
        </w:rPr>
        <w:t xml:space="preserve">Additional </w:t>
      </w:r>
      <w:r w:rsidR="00FA1FA2" w:rsidRPr="009B5208">
        <w:rPr>
          <w:rFonts w:cs="Times New Roman"/>
        </w:rPr>
        <w:t>Demand</w:t>
      </w:r>
      <w:r w:rsidR="00106495" w:rsidRPr="009B5208">
        <w:rPr>
          <w:rFonts w:cs="Times New Roman"/>
        </w:rPr>
        <w:t>)</w:t>
      </w:r>
      <w:r w:rsidR="00DF1C0E" w:rsidRPr="009B5208">
        <w:rPr>
          <w:rFonts w:cs="Times New Roman"/>
        </w:rPr>
        <w:t>. This Clause 1.</w:t>
      </w:r>
      <w:r w:rsidR="00C36C3D">
        <w:rPr>
          <w:rFonts w:cs="Times New Roman"/>
        </w:rPr>
        <w:t>7</w:t>
      </w:r>
      <w:r w:rsidR="00DF1C0E" w:rsidRPr="009B5208">
        <w:rPr>
          <w:rFonts w:cs="Times New Roman"/>
        </w:rPr>
        <w:t xml:space="preserve"> shall apply</w:t>
      </w:r>
      <w:r w:rsidR="00106495" w:rsidRPr="009B5208">
        <w:rPr>
          <w:rFonts w:cs="Times New Roman"/>
        </w:rPr>
        <w:t xml:space="preserve"> cumulatively</w:t>
      </w:r>
      <w:r w:rsidR="00DF1C0E" w:rsidRPr="009B5208">
        <w:rPr>
          <w:rFonts w:cs="Times New Roman"/>
        </w:rPr>
        <w:t xml:space="preserve"> </w:t>
      </w:r>
      <w:r w:rsidR="00DF1C0E" w:rsidRPr="009B5208">
        <w:rPr>
          <w:rFonts w:cs="Times New Roman"/>
          <w:i/>
          <w:iCs/>
        </w:rPr>
        <w:t>mutatis mutandis</w:t>
      </w:r>
      <w:r w:rsidR="00DF1C0E" w:rsidRPr="009B5208">
        <w:rPr>
          <w:rFonts w:cs="Times New Roman"/>
        </w:rPr>
        <w:t xml:space="preserve"> if one or more Guarantors do not pay their </w:t>
      </w:r>
      <w:r w:rsidR="00BB19F2" w:rsidRPr="009B5208">
        <w:rPr>
          <w:rFonts w:cs="Times New Roman"/>
        </w:rPr>
        <w:t xml:space="preserve">respective </w:t>
      </w:r>
      <w:r w:rsidR="00DF1C0E" w:rsidRPr="009B5208">
        <w:rPr>
          <w:rFonts w:cs="Times New Roman"/>
        </w:rPr>
        <w:t xml:space="preserve">Adjusted Contribution Key </w:t>
      </w:r>
      <w:r w:rsidR="005B3D8C">
        <w:rPr>
          <w:rFonts w:cs="Times New Roman"/>
        </w:rPr>
        <w:t>Percentage</w:t>
      </w:r>
      <w:r w:rsidR="005B3D8C" w:rsidRPr="009B5208">
        <w:rPr>
          <w:rFonts w:cs="Times New Roman"/>
        </w:rPr>
        <w:t xml:space="preserve"> </w:t>
      </w:r>
      <w:r w:rsidR="00DF1C0E" w:rsidRPr="009B5208">
        <w:rPr>
          <w:rFonts w:cs="Times New Roman"/>
        </w:rPr>
        <w:t>of a</w:t>
      </w:r>
      <w:r w:rsidR="00BB19F2" w:rsidRPr="009B5208">
        <w:rPr>
          <w:rFonts w:cs="Times New Roman"/>
        </w:rPr>
        <w:t>n Additional</w:t>
      </w:r>
      <w:r w:rsidR="00DF1C0E" w:rsidRPr="009B5208">
        <w:rPr>
          <w:rFonts w:cs="Times New Roman"/>
        </w:rPr>
        <w:t xml:space="preserve"> Shortfall.</w:t>
      </w:r>
      <w:bookmarkEnd w:id="9"/>
    </w:p>
    <w:p w14:paraId="1273570A" w14:textId="77777777" w:rsidR="004F44F6" w:rsidRDefault="001226A2" w:rsidP="00263E1E">
      <w:pPr>
        <w:pStyle w:val="StandardL2"/>
      </w:pPr>
      <w:bookmarkStart w:id="10" w:name="_Ref271303741"/>
      <w:r>
        <w:t xml:space="preserve">Following a Demand or Additional Demand, the Commission shall initiate recovery proceedings in respect of the Loan Agreement and, if applicable, the Guarantee Agreement. </w:t>
      </w:r>
      <w:r w:rsidR="00390D42" w:rsidRPr="00AE13FA">
        <w:t>T</w:t>
      </w:r>
      <w:r w:rsidR="009357DE" w:rsidRPr="000F087A">
        <w:t xml:space="preserve">he </w:t>
      </w:r>
      <w:r w:rsidR="005B4FE0">
        <w:t>Commission</w:t>
      </w:r>
      <w:r w:rsidR="00365812" w:rsidRPr="000F087A">
        <w:rPr>
          <w:rFonts w:cs="Times New Roman"/>
        </w:rPr>
        <w:t xml:space="preserve"> </w:t>
      </w:r>
      <w:r w:rsidR="00F9081E">
        <w:t>shall</w:t>
      </w:r>
      <w:r w:rsidR="00F9081E" w:rsidRPr="000F087A">
        <w:t xml:space="preserve"> </w:t>
      </w:r>
      <w:r w:rsidR="00646B1C" w:rsidRPr="000F087A">
        <w:t xml:space="preserve">reimburse </w:t>
      </w:r>
      <w:r w:rsidR="00646B1C" w:rsidRPr="00D375FE">
        <w:t xml:space="preserve">the Guarantor </w:t>
      </w:r>
      <w:r w:rsidR="00F9081E">
        <w:t xml:space="preserve">from </w:t>
      </w:r>
      <w:r w:rsidR="00646B1C" w:rsidRPr="000F087A">
        <w:t xml:space="preserve">amounts </w:t>
      </w:r>
      <w:r w:rsidR="001849BD" w:rsidRPr="000F087A">
        <w:t xml:space="preserve">recovered by the Commission </w:t>
      </w:r>
      <w:r w:rsidR="009102E2" w:rsidRPr="00D375FE">
        <w:t xml:space="preserve">in respect of </w:t>
      </w:r>
      <w:r w:rsidR="009F18B1">
        <w:t xml:space="preserve">the </w:t>
      </w:r>
      <w:r w:rsidR="009102E2" w:rsidRPr="00D375FE">
        <w:t>Loan</w:t>
      </w:r>
      <w:r w:rsidR="009F18B1">
        <w:t xml:space="preserve"> Agreements</w:t>
      </w:r>
      <w:r w:rsidR="000F44DB">
        <w:t xml:space="preserve"> or Guarantee</w:t>
      </w:r>
      <w:r w:rsidR="00F9081E">
        <w:t xml:space="preserve"> Agreements</w:t>
      </w:r>
      <w:r w:rsidR="000471A3" w:rsidRPr="00D375FE">
        <w:t>.</w:t>
      </w:r>
      <w:bookmarkEnd w:id="8"/>
      <w:bookmarkEnd w:id="10"/>
      <w:r w:rsidR="000F44DB" w:rsidRPr="000F44DB">
        <w:t xml:space="preserve"> </w:t>
      </w:r>
      <w:r w:rsidR="00C63F78">
        <w:t xml:space="preserve">For </w:t>
      </w:r>
      <w:r w:rsidR="000F44DB">
        <w:t>amounts recovered</w:t>
      </w:r>
      <w:r w:rsidR="00A21111">
        <w:t xml:space="preserve"> following a Demand</w:t>
      </w:r>
      <w:r w:rsidR="00C63F78">
        <w:t xml:space="preserve"> or an Additional Demand</w:t>
      </w:r>
      <w:r w:rsidR="00C36C3D">
        <w:t xml:space="preserve"> on the Guarantor</w:t>
      </w:r>
      <w:r w:rsidR="000F44DB" w:rsidRPr="000F44DB">
        <w:t xml:space="preserve">, the Commission </w:t>
      </w:r>
      <w:r w:rsidR="000F44DB">
        <w:t>shall by notice</w:t>
      </w:r>
      <w:r w:rsidR="000F44DB" w:rsidRPr="000F44DB">
        <w:t xml:space="preserve"> request payment details of the Guarantor and upon their receipt reimburse the Guarantor </w:t>
      </w:r>
      <w:r w:rsidR="00575ACC">
        <w:t xml:space="preserve">within ten (10) Business Days </w:t>
      </w:r>
      <w:r w:rsidR="000F44DB" w:rsidRPr="000F44DB">
        <w:t>for any amount provided under the respective Demand</w:t>
      </w:r>
      <w:r w:rsidR="00C63F78">
        <w:t xml:space="preserve"> or Additional Demand</w:t>
      </w:r>
      <w:r w:rsidR="00846263">
        <w:t>. In the case of a recovery</w:t>
      </w:r>
      <w:r w:rsidR="00EB6F0B">
        <w:t xml:space="preserve"> </w:t>
      </w:r>
      <w:r w:rsidR="00C63F78">
        <w:t>in several instalments</w:t>
      </w:r>
      <w:r w:rsidR="00846263">
        <w:t xml:space="preserve">, the Guarantor will be reimbursed </w:t>
      </w:r>
      <w:r w:rsidR="000F44DB">
        <w:t xml:space="preserve">in proportion to the Guarantor’s contribution to </w:t>
      </w:r>
      <w:r w:rsidR="00846263">
        <w:t>the Shortfall or Additional Shortfall</w:t>
      </w:r>
      <w:r w:rsidR="000F44DB" w:rsidRPr="000F44DB">
        <w:t>.</w:t>
      </w:r>
      <w:r w:rsidR="00F43F1A">
        <w:t xml:space="preserve"> In such a case, priority will be given to repay Additional Demands and only once fully satisfied will Demands be satisfied.</w:t>
      </w:r>
    </w:p>
    <w:p w14:paraId="6DDED380" w14:textId="77777777" w:rsidR="008172C0" w:rsidRPr="000F087A" w:rsidRDefault="008172C0" w:rsidP="000471A3">
      <w:pPr>
        <w:pStyle w:val="StandardL2"/>
      </w:pPr>
      <w:r w:rsidRPr="004E1EDA">
        <w:t>Payments under this Guarantee</w:t>
      </w:r>
      <w:r w:rsidR="00F9081E">
        <w:t xml:space="preserve"> Agreement</w:t>
      </w:r>
      <w:r w:rsidRPr="004E1EDA">
        <w:t xml:space="preserve"> shall be made </w:t>
      </w:r>
      <w:r w:rsidR="00623BB6" w:rsidRPr="00AE13FA">
        <w:t xml:space="preserve">to the account </w:t>
      </w:r>
      <w:r w:rsidR="009F18B1">
        <w:rPr>
          <w:rFonts w:cs="Times New Roman"/>
        </w:rPr>
        <w:t xml:space="preserve">as </w:t>
      </w:r>
      <w:r w:rsidR="00365812" w:rsidRPr="000F087A">
        <w:t xml:space="preserve">identified in </w:t>
      </w:r>
      <w:r w:rsidR="009F18B1">
        <w:t>each</w:t>
      </w:r>
      <w:r w:rsidR="00365812" w:rsidRPr="000F087A">
        <w:t xml:space="preserve"> Demand.</w:t>
      </w:r>
    </w:p>
    <w:p w14:paraId="1864D089" w14:textId="77777777" w:rsidR="00EA4D68" w:rsidRPr="00AE13FA" w:rsidRDefault="009F18B1" w:rsidP="009102E2">
      <w:pPr>
        <w:pStyle w:val="StandardL2"/>
      </w:pPr>
      <w:r>
        <w:t xml:space="preserve">The </w:t>
      </w:r>
      <w:r w:rsidR="00EA4D68" w:rsidRPr="000F087A">
        <w:t xml:space="preserve">Guarantor </w:t>
      </w:r>
      <w:r>
        <w:t>is</w:t>
      </w:r>
      <w:r w:rsidRPr="000F087A">
        <w:t xml:space="preserve"> </w:t>
      </w:r>
      <w:r w:rsidR="00EA4D68" w:rsidRPr="000F087A">
        <w:t xml:space="preserve">not entitled to </w:t>
      </w:r>
      <w:r w:rsidR="00EA4D68" w:rsidRPr="00D375FE">
        <w:t>set-off or deduct any amounts ow</w:t>
      </w:r>
      <w:r>
        <w:t>ed</w:t>
      </w:r>
      <w:r w:rsidR="00EA4D68" w:rsidRPr="00D375FE">
        <w:t xml:space="preserve"> to </w:t>
      </w:r>
      <w:r>
        <w:t>it</w:t>
      </w:r>
      <w:r w:rsidRPr="00D375FE">
        <w:t xml:space="preserve"> </w:t>
      </w:r>
      <w:r w:rsidR="00EA4D68" w:rsidRPr="00D375FE">
        <w:t xml:space="preserve">by </w:t>
      </w:r>
      <w:r w:rsidR="00232B49" w:rsidRPr="00D375FE">
        <w:t xml:space="preserve">the </w:t>
      </w:r>
      <w:r w:rsidR="00365812" w:rsidRPr="00D375FE">
        <w:rPr>
          <w:rFonts w:cs="Times New Roman"/>
        </w:rPr>
        <w:t xml:space="preserve">Union </w:t>
      </w:r>
      <w:r w:rsidR="00EA4D68" w:rsidRPr="00AE13FA">
        <w:t xml:space="preserve">from any payments due by </w:t>
      </w:r>
      <w:r w:rsidR="009102E2" w:rsidRPr="00AE13FA">
        <w:t xml:space="preserve">the </w:t>
      </w:r>
      <w:r w:rsidR="00EA4D68" w:rsidRPr="000F087A">
        <w:t xml:space="preserve">Guarantor under </w:t>
      </w:r>
      <w:r>
        <w:t>this</w:t>
      </w:r>
      <w:r w:rsidRPr="00AE13FA">
        <w:t xml:space="preserve"> </w:t>
      </w:r>
      <w:r w:rsidR="00EA4D68" w:rsidRPr="00AE13FA">
        <w:t>Guarantee</w:t>
      </w:r>
      <w:r w:rsidR="00F9081E">
        <w:t xml:space="preserve"> Agreement</w:t>
      </w:r>
      <w:r w:rsidR="00EA4D68" w:rsidRPr="00AE13FA">
        <w:t>.</w:t>
      </w:r>
    </w:p>
    <w:p w14:paraId="6EA0D522" w14:textId="77777777" w:rsidR="00D95E93" w:rsidRPr="000F087A" w:rsidRDefault="00D95E93" w:rsidP="001648ED">
      <w:pPr>
        <w:pStyle w:val="StandardL1"/>
      </w:pPr>
      <w:bookmarkStart w:id="11" w:name="_Toc38704893"/>
      <w:bookmarkStart w:id="12" w:name="_Toc40016228"/>
      <w:r w:rsidRPr="000F087A">
        <w:t>Preservation of Rights</w:t>
      </w:r>
      <w:bookmarkEnd w:id="11"/>
      <w:bookmarkEnd w:id="12"/>
      <w:r w:rsidRPr="000F087A">
        <w:t xml:space="preserve"> </w:t>
      </w:r>
    </w:p>
    <w:p w14:paraId="2B1D707D" w14:textId="77777777" w:rsidR="00D95E93" w:rsidRPr="00AE13FA" w:rsidRDefault="00D95E93" w:rsidP="00102747">
      <w:pPr>
        <w:pStyle w:val="StandardL2"/>
      </w:pPr>
      <w:r w:rsidRPr="00AE13FA">
        <w:t xml:space="preserve">Continuing obligations </w:t>
      </w:r>
    </w:p>
    <w:p w14:paraId="23713E0F" w14:textId="77777777" w:rsidR="00D95E93" w:rsidRPr="006227D6" w:rsidRDefault="00D95E93" w:rsidP="00EA4D68">
      <w:pPr>
        <w:pStyle w:val="BodyText1"/>
        <w:rPr>
          <w:rFonts w:cs="Times New Roman"/>
        </w:rPr>
      </w:pPr>
      <w:r w:rsidRPr="000F087A">
        <w:rPr>
          <w:rFonts w:cs="Times New Roman"/>
        </w:rPr>
        <w:t xml:space="preserve">The obligations of </w:t>
      </w:r>
      <w:r w:rsidR="00F9607C" w:rsidRPr="00E62DEE">
        <w:rPr>
          <w:rFonts w:cs="Times New Roman"/>
        </w:rPr>
        <w:t>the</w:t>
      </w:r>
      <w:r w:rsidR="001648ED" w:rsidRPr="00AE13FA">
        <w:rPr>
          <w:rFonts w:cs="Times New Roman"/>
        </w:rPr>
        <w:t xml:space="preserve"> </w:t>
      </w:r>
      <w:r w:rsidRPr="00AE13FA">
        <w:rPr>
          <w:rFonts w:cs="Times New Roman"/>
        </w:rPr>
        <w:t>Guarantor herein contained shall constitute and be continuing obligations notwithstanding any settlement of account or other matter or thing whatsoever and shall not be considered satisfied by any</w:t>
      </w:r>
      <w:r w:rsidRPr="000F087A">
        <w:rPr>
          <w:rFonts w:cs="Times New Roman"/>
        </w:rPr>
        <w:t xml:space="preserve"> intermediate payment or satisfaction of all or any of the </w:t>
      </w:r>
      <w:r w:rsidR="00365812" w:rsidRPr="000F087A">
        <w:rPr>
          <w:rFonts w:cs="Times New Roman"/>
        </w:rPr>
        <w:t>Union</w:t>
      </w:r>
      <w:r w:rsidRPr="000F087A">
        <w:rPr>
          <w:rFonts w:cs="Times New Roman"/>
        </w:rPr>
        <w:t xml:space="preserve">'s obligations under or in respect of any </w:t>
      </w:r>
      <w:r w:rsidR="00133EA3" w:rsidRPr="000F087A">
        <w:rPr>
          <w:rFonts w:cs="Times New Roman"/>
        </w:rPr>
        <w:t xml:space="preserve">Borrowings </w:t>
      </w:r>
      <w:r w:rsidRPr="00D375FE">
        <w:rPr>
          <w:rFonts w:cs="Times New Roman"/>
        </w:rPr>
        <w:t xml:space="preserve">and shall continue in full force and effect for so long as </w:t>
      </w:r>
      <w:r w:rsidR="00637738" w:rsidRPr="00D375FE">
        <w:rPr>
          <w:rFonts w:cs="Times New Roman"/>
        </w:rPr>
        <w:t>and</w:t>
      </w:r>
      <w:r w:rsidRPr="00D375FE">
        <w:rPr>
          <w:rFonts w:cs="Times New Roman"/>
        </w:rPr>
        <w:t xml:space="preserve"> until all sums due from the </w:t>
      </w:r>
      <w:r w:rsidR="00365812" w:rsidRPr="004E1EDA">
        <w:rPr>
          <w:rFonts w:cs="Times New Roman"/>
        </w:rPr>
        <w:t xml:space="preserve">Union </w:t>
      </w:r>
      <w:r w:rsidRPr="004E1EDA">
        <w:rPr>
          <w:rFonts w:cs="Times New Roman"/>
        </w:rPr>
        <w:t xml:space="preserve">in respect of the </w:t>
      </w:r>
      <w:r w:rsidR="00133EA3" w:rsidRPr="005F55FE">
        <w:rPr>
          <w:rFonts w:cs="Times New Roman"/>
        </w:rPr>
        <w:t xml:space="preserve">Borrowings </w:t>
      </w:r>
      <w:r w:rsidRPr="005F55FE">
        <w:rPr>
          <w:rFonts w:cs="Times New Roman"/>
        </w:rPr>
        <w:t xml:space="preserve">have been paid, and all other actual or contingent obligations of the </w:t>
      </w:r>
      <w:r w:rsidR="00365812" w:rsidRPr="004E7E8C">
        <w:rPr>
          <w:rFonts w:cs="Times New Roman"/>
        </w:rPr>
        <w:t xml:space="preserve">Union </w:t>
      </w:r>
      <w:r w:rsidRPr="0065131E">
        <w:rPr>
          <w:rFonts w:cs="Times New Roman"/>
        </w:rPr>
        <w:t>thereunder or in respect thereof have been satisfied, in full</w:t>
      </w:r>
      <w:r w:rsidR="00EA4D68" w:rsidRPr="006227D6">
        <w:rPr>
          <w:rFonts w:cs="Times New Roman"/>
        </w:rPr>
        <w:t xml:space="preserve"> provided that each Guarantor shall only be liable for its Guarantee</w:t>
      </w:r>
      <w:r w:rsidR="00133EA3" w:rsidRPr="006227D6">
        <w:rPr>
          <w:rFonts w:cs="Times New Roman"/>
        </w:rPr>
        <w:t>d Contribution</w:t>
      </w:r>
      <w:r w:rsidRPr="006227D6">
        <w:rPr>
          <w:rFonts w:cs="Times New Roman"/>
        </w:rPr>
        <w:t xml:space="preserve">. </w:t>
      </w:r>
    </w:p>
    <w:p w14:paraId="4A668656" w14:textId="77777777" w:rsidR="00D95E93" w:rsidRPr="006227D6" w:rsidRDefault="00D95E93" w:rsidP="00055A55">
      <w:pPr>
        <w:pStyle w:val="StandardL2"/>
        <w:keepNext/>
        <w:rPr>
          <w:rFonts w:cs="Times New Roman"/>
        </w:rPr>
      </w:pPr>
      <w:r w:rsidRPr="006227D6">
        <w:rPr>
          <w:rFonts w:cs="Times New Roman"/>
        </w:rPr>
        <w:t xml:space="preserve">Obligations not discharged </w:t>
      </w:r>
    </w:p>
    <w:p w14:paraId="5A3C769E" w14:textId="77777777" w:rsidR="00D95E93" w:rsidRPr="000F087A" w:rsidRDefault="00133EA3" w:rsidP="001648ED">
      <w:pPr>
        <w:pStyle w:val="BodyText1"/>
        <w:rPr>
          <w:rFonts w:cs="Times New Roman"/>
        </w:rPr>
      </w:pPr>
      <w:r w:rsidRPr="006227D6">
        <w:rPr>
          <w:rFonts w:cs="Times New Roman"/>
        </w:rPr>
        <w:t>T</w:t>
      </w:r>
      <w:r w:rsidR="00D95E93" w:rsidRPr="006227D6">
        <w:rPr>
          <w:rFonts w:cs="Times New Roman"/>
        </w:rPr>
        <w:t xml:space="preserve">he obligations of the Guarantor herein contained </w:t>
      </w:r>
      <w:r w:rsidR="00D95E93" w:rsidRPr="000F087A">
        <w:rPr>
          <w:rFonts w:cs="Times New Roman"/>
        </w:rPr>
        <w:t xml:space="preserve">shall </w:t>
      </w:r>
      <w:r w:rsidRPr="000F087A">
        <w:rPr>
          <w:rFonts w:cs="Times New Roman"/>
        </w:rPr>
        <w:t xml:space="preserve">not </w:t>
      </w:r>
      <w:r w:rsidR="00D95E93" w:rsidRPr="000F087A">
        <w:rPr>
          <w:rFonts w:cs="Times New Roman"/>
        </w:rPr>
        <w:t xml:space="preserve">be discharged, impaired or otherwise affected by: </w:t>
      </w:r>
    </w:p>
    <w:p w14:paraId="5C9F8262" w14:textId="77777777" w:rsidR="00D95E93" w:rsidRPr="0065131E" w:rsidRDefault="00D95E93" w:rsidP="00055A55">
      <w:pPr>
        <w:pStyle w:val="StandardL3"/>
      </w:pPr>
      <w:r w:rsidRPr="004E1EDA">
        <w:rPr>
          <w:i/>
          <w:iCs/>
        </w:rPr>
        <w:t>Indulgence</w:t>
      </w:r>
      <w:r w:rsidR="00055A55" w:rsidRPr="004E1EDA">
        <w:rPr>
          <w:i/>
          <w:iCs/>
        </w:rPr>
        <w:t>, Waivers or Consents</w:t>
      </w:r>
      <w:r w:rsidRPr="004E1EDA">
        <w:t xml:space="preserve">: </w:t>
      </w:r>
      <w:r w:rsidR="001648ED" w:rsidRPr="005F55FE">
        <w:t xml:space="preserve"> </w:t>
      </w:r>
      <w:r w:rsidRPr="005F55FE">
        <w:t xml:space="preserve">time or other indulgence </w:t>
      </w:r>
      <w:r w:rsidR="00055A55" w:rsidRPr="004E7E8C">
        <w:t xml:space="preserve">or any waiver or consent </w:t>
      </w:r>
      <w:r w:rsidRPr="004E7E8C">
        <w:t xml:space="preserve">being granted or agreed to be granted to the </w:t>
      </w:r>
      <w:r w:rsidR="00365812" w:rsidRPr="004E7E8C">
        <w:rPr>
          <w:rFonts w:cs="Times New Roman"/>
        </w:rPr>
        <w:t>Union</w:t>
      </w:r>
      <w:r w:rsidR="005B4FE0">
        <w:rPr>
          <w:rFonts w:cs="Times New Roman"/>
        </w:rPr>
        <w:t xml:space="preserve"> or </w:t>
      </w:r>
      <w:r w:rsidR="00C36C3D">
        <w:rPr>
          <w:rFonts w:cs="Times New Roman"/>
        </w:rPr>
        <w:t xml:space="preserve">to the </w:t>
      </w:r>
      <w:r w:rsidR="005B4FE0">
        <w:rPr>
          <w:rFonts w:cs="Times New Roman"/>
        </w:rPr>
        <w:lastRenderedPageBreak/>
        <w:t>Commission</w:t>
      </w:r>
      <w:r w:rsidRPr="004E7E8C">
        <w:t xml:space="preserve"> in respect of any of its obligations under or in respect of any </w:t>
      </w:r>
      <w:r w:rsidR="00133EA3" w:rsidRPr="004E7E8C">
        <w:t>Borrowings</w:t>
      </w:r>
      <w:r w:rsidR="0033129E" w:rsidRPr="0033129E">
        <w:t xml:space="preserve"> </w:t>
      </w:r>
      <w:r w:rsidR="0033129E">
        <w:t>and/or Loan Agreement</w:t>
      </w:r>
      <w:r w:rsidRPr="0065131E">
        <w:t xml:space="preserve">; </w:t>
      </w:r>
    </w:p>
    <w:p w14:paraId="6E59D486" w14:textId="77777777" w:rsidR="006818CC" w:rsidRPr="004E7E8C" w:rsidRDefault="00D95E93" w:rsidP="00FF0E5D">
      <w:pPr>
        <w:pStyle w:val="StandardL3"/>
      </w:pPr>
      <w:r w:rsidRPr="0065131E">
        <w:rPr>
          <w:i/>
          <w:iCs/>
        </w:rPr>
        <w:t>Amendment</w:t>
      </w:r>
      <w:r w:rsidRPr="0065131E">
        <w:t xml:space="preserve">: </w:t>
      </w:r>
      <w:r w:rsidR="001648ED" w:rsidRPr="006227D6">
        <w:t xml:space="preserve"> a</w:t>
      </w:r>
      <w:r w:rsidRPr="006227D6">
        <w:t xml:space="preserve">ny amendment, novation, supplement, extension, (whether of maturity or otherwise) or restatement (in each case, however fundamental and of whatsoever nature) or replacement, waiver or release of, any obligation of the </w:t>
      </w:r>
      <w:r w:rsidR="00365812" w:rsidRPr="006227D6">
        <w:rPr>
          <w:rFonts w:cs="Times New Roman"/>
        </w:rPr>
        <w:t xml:space="preserve">Union </w:t>
      </w:r>
      <w:r w:rsidRPr="006227D6">
        <w:t xml:space="preserve">under or in respect of any </w:t>
      </w:r>
      <w:r w:rsidR="00133EA3" w:rsidRPr="00AE13FA">
        <w:t>Borrowings</w:t>
      </w:r>
      <w:r w:rsidRPr="00AE13FA">
        <w:t xml:space="preserve"> or any security or other guarantee o</w:t>
      </w:r>
      <w:r w:rsidRPr="000F087A">
        <w:t xml:space="preserve">r indemnity in respect thereof including without limitation any extension of or any increase of the obligations of the </w:t>
      </w:r>
      <w:r w:rsidR="00365812" w:rsidRPr="000F087A">
        <w:rPr>
          <w:rFonts w:cs="Times New Roman"/>
        </w:rPr>
        <w:t xml:space="preserve">Union </w:t>
      </w:r>
      <w:r w:rsidRPr="000F087A">
        <w:t xml:space="preserve">in respect of any </w:t>
      </w:r>
      <w:r w:rsidR="00133EA3" w:rsidRPr="00D375FE">
        <w:t xml:space="preserve">Borrowings </w:t>
      </w:r>
      <w:r w:rsidRPr="00D375FE">
        <w:t xml:space="preserve">or the addition of any new obligations for the </w:t>
      </w:r>
      <w:r w:rsidR="00365812" w:rsidRPr="004E1EDA">
        <w:rPr>
          <w:rFonts w:cs="Times New Roman"/>
        </w:rPr>
        <w:t xml:space="preserve">Union </w:t>
      </w:r>
      <w:r w:rsidR="00055A55" w:rsidRPr="004E7E8C">
        <w:t>provided that none of the foregoing shall result in any increase of the Guarantor'</w:t>
      </w:r>
      <w:r w:rsidR="00846263">
        <w:t>s</w:t>
      </w:r>
      <w:r w:rsidR="00055A55" w:rsidRPr="004E7E8C">
        <w:t xml:space="preserve"> liabilit</w:t>
      </w:r>
      <w:r w:rsidR="00846263">
        <w:t>y</w:t>
      </w:r>
      <w:r w:rsidR="00055A55" w:rsidRPr="004E7E8C">
        <w:t xml:space="preserve"> under this Guarantee</w:t>
      </w:r>
      <w:r w:rsidR="005B4FE0">
        <w:t xml:space="preserve"> Agreement</w:t>
      </w:r>
      <w:r w:rsidR="001648ED" w:rsidRPr="004E7E8C">
        <w:t>;</w:t>
      </w:r>
      <w:r w:rsidR="005B4FE0">
        <w:t xml:space="preserve"> or</w:t>
      </w:r>
    </w:p>
    <w:p w14:paraId="073AFA3D" w14:textId="77777777" w:rsidR="00D95E93" w:rsidRPr="00AE13FA" w:rsidRDefault="00D95E93" w:rsidP="00055A55">
      <w:pPr>
        <w:pStyle w:val="StandardL2"/>
        <w:keepNext/>
        <w:rPr>
          <w:rFonts w:cs="Times New Roman"/>
          <w:i/>
          <w:iCs/>
        </w:rPr>
      </w:pPr>
      <w:r w:rsidRPr="00AE13FA">
        <w:rPr>
          <w:rFonts w:cs="Times New Roman"/>
          <w:i/>
          <w:iCs/>
        </w:rPr>
        <w:t xml:space="preserve">Pari passu </w:t>
      </w:r>
    </w:p>
    <w:p w14:paraId="7C9EBCD0" w14:textId="77777777" w:rsidR="00D95E93" w:rsidRDefault="0007728A" w:rsidP="00395435">
      <w:pPr>
        <w:pStyle w:val="BodyText1"/>
        <w:rPr>
          <w:rFonts w:cs="Times New Roman"/>
        </w:rPr>
      </w:pPr>
      <w:r w:rsidRPr="000F087A">
        <w:rPr>
          <w:rFonts w:cs="Times New Roman"/>
        </w:rPr>
        <w:t xml:space="preserve">The </w:t>
      </w:r>
      <w:r w:rsidR="00D95E93" w:rsidRPr="00AE13FA">
        <w:rPr>
          <w:rFonts w:cs="Times New Roman"/>
        </w:rPr>
        <w:t xml:space="preserve">Guarantor undertakes that its obligations hereunder will at all times rank </w:t>
      </w:r>
      <w:r w:rsidR="00D95E93" w:rsidRPr="000F087A">
        <w:rPr>
          <w:rFonts w:cs="Times New Roman"/>
          <w:i/>
          <w:iCs/>
        </w:rPr>
        <w:t>pari passu</w:t>
      </w:r>
      <w:r w:rsidR="00D95E93" w:rsidRPr="000F087A">
        <w:rPr>
          <w:rFonts w:cs="Times New Roman"/>
        </w:rPr>
        <w:t xml:space="preserve"> with all other present and future</w:t>
      </w:r>
      <w:r w:rsidR="00037EF5" w:rsidRPr="000F087A">
        <w:rPr>
          <w:rFonts w:cs="Times New Roman"/>
        </w:rPr>
        <w:t>, direct, unconditional, unsubordinated and</w:t>
      </w:r>
      <w:r w:rsidR="00D95E93" w:rsidRPr="000F087A">
        <w:rPr>
          <w:rFonts w:cs="Times New Roman"/>
        </w:rPr>
        <w:t xml:space="preserve"> unsecured obligations of </w:t>
      </w:r>
      <w:r w:rsidR="00A91623" w:rsidRPr="000F087A">
        <w:rPr>
          <w:rFonts w:cs="Times New Roman"/>
        </w:rPr>
        <w:t xml:space="preserve">such </w:t>
      </w:r>
      <w:r w:rsidR="00D95E93" w:rsidRPr="000F087A">
        <w:rPr>
          <w:rFonts w:cs="Times New Roman"/>
        </w:rPr>
        <w:t>Guarantor</w:t>
      </w:r>
      <w:r w:rsidR="00037EF5" w:rsidRPr="00D375FE">
        <w:rPr>
          <w:rFonts w:cs="Times New Roman"/>
        </w:rPr>
        <w:t>.</w:t>
      </w:r>
      <w:r w:rsidR="00D95E93" w:rsidRPr="00D375FE">
        <w:rPr>
          <w:rFonts w:cs="Times New Roman"/>
        </w:rPr>
        <w:t xml:space="preserve"> </w:t>
      </w:r>
    </w:p>
    <w:p w14:paraId="70BE82C7" w14:textId="77777777" w:rsidR="006850DD" w:rsidRDefault="006850DD" w:rsidP="006850DD">
      <w:pPr>
        <w:pStyle w:val="StandardL2"/>
        <w:keepNext/>
        <w:rPr>
          <w:rFonts w:cs="Times New Roman"/>
        </w:rPr>
      </w:pPr>
      <w:r>
        <w:rPr>
          <w:rFonts w:cs="Times New Roman"/>
        </w:rPr>
        <w:t>Subrogation of Guarantor’s Rights</w:t>
      </w:r>
    </w:p>
    <w:p w14:paraId="57ABF903" w14:textId="77777777" w:rsidR="006850DD" w:rsidRPr="00D375FE" w:rsidRDefault="006850DD" w:rsidP="00395435">
      <w:pPr>
        <w:pStyle w:val="BodyText1"/>
        <w:rPr>
          <w:rFonts w:cs="Times New Roman"/>
        </w:rPr>
      </w:pPr>
      <w:r>
        <w:rPr>
          <w:rFonts w:cs="Times New Roman"/>
        </w:rPr>
        <w:t>Acknowledging that this Guarantee Agreement does not guarantee the repayment of a Loan Agreement, the Guarantor acknowledges that it is not entitled to any rights of subrogation.</w:t>
      </w:r>
    </w:p>
    <w:p w14:paraId="7B7CD781" w14:textId="77777777" w:rsidR="00D95E93" w:rsidRPr="000F087A" w:rsidRDefault="00C63F78" w:rsidP="00034069">
      <w:pPr>
        <w:pStyle w:val="StandardL1"/>
      </w:pPr>
      <w:bookmarkStart w:id="13" w:name="_Toc38568570"/>
      <w:bookmarkStart w:id="14" w:name="_Toc38568571"/>
      <w:bookmarkStart w:id="15" w:name="_Toc38568572"/>
      <w:bookmarkStart w:id="16" w:name="_Toc38704894"/>
      <w:bookmarkStart w:id="17" w:name="_Toc40016229"/>
      <w:bookmarkEnd w:id="13"/>
      <w:bookmarkEnd w:id="14"/>
      <w:bookmarkEnd w:id="15"/>
      <w:r>
        <w:t xml:space="preserve">Information </w:t>
      </w:r>
      <w:bookmarkEnd w:id="16"/>
      <w:r w:rsidR="00D925D8">
        <w:t>Undertakings</w:t>
      </w:r>
      <w:bookmarkEnd w:id="17"/>
    </w:p>
    <w:p w14:paraId="7F6473E2" w14:textId="77777777" w:rsidR="00D95E93" w:rsidRDefault="00A13E33" w:rsidP="00CA7186">
      <w:pPr>
        <w:pStyle w:val="StandardL2"/>
        <w:keepNext/>
        <w:rPr>
          <w:rFonts w:cs="Times New Roman"/>
        </w:rPr>
      </w:pPr>
      <w:r>
        <w:rPr>
          <w:rFonts w:cs="Times New Roman"/>
        </w:rPr>
        <w:t>The Commission shall inform</w:t>
      </w:r>
      <w:r w:rsidR="00102747" w:rsidRPr="00D375FE">
        <w:rPr>
          <w:rFonts w:cs="Times New Roman"/>
        </w:rPr>
        <w:t xml:space="preserve"> </w:t>
      </w:r>
      <w:r w:rsidR="000F643D" w:rsidRPr="00D375FE">
        <w:rPr>
          <w:rFonts w:cs="Times New Roman"/>
        </w:rPr>
        <w:t xml:space="preserve">the </w:t>
      </w:r>
      <w:r w:rsidR="000F44DB">
        <w:rPr>
          <w:rFonts w:cs="Times New Roman"/>
        </w:rPr>
        <w:t xml:space="preserve">General Secretariat of the </w:t>
      </w:r>
      <w:r w:rsidR="000F643D" w:rsidRPr="00D375FE">
        <w:rPr>
          <w:rFonts w:cs="Times New Roman"/>
        </w:rPr>
        <w:t>Council</w:t>
      </w:r>
      <w:r w:rsidR="00C06FDE" w:rsidRPr="00E62DEE">
        <w:rPr>
          <w:rFonts w:cs="Times New Roman"/>
        </w:rPr>
        <w:t xml:space="preserve"> </w:t>
      </w:r>
      <w:r w:rsidR="000F44DB">
        <w:rPr>
          <w:rFonts w:cs="Times New Roman"/>
        </w:rPr>
        <w:t xml:space="preserve">of the European Union </w:t>
      </w:r>
      <w:r>
        <w:rPr>
          <w:rFonts w:cs="Times New Roman"/>
        </w:rPr>
        <w:t>of the signature of the Guarantee Agreement</w:t>
      </w:r>
      <w:r w:rsidR="00D95E93" w:rsidRPr="000F087A">
        <w:rPr>
          <w:rFonts w:cs="Times New Roman"/>
        </w:rPr>
        <w:t xml:space="preserve">. </w:t>
      </w:r>
    </w:p>
    <w:p w14:paraId="4BBEA767" w14:textId="77777777" w:rsidR="00365F59" w:rsidRDefault="00D925D8" w:rsidP="00CA7186">
      <w:pPr>
        <w:pStyle w:val="StandardL2"/>
        <w:keepNext/>
        <w:rPr>
          <w:rFonts w:cs="Times New Roman"/>
        </w:rPr>
      </w:pPr>
      <w:r w:rsidRPr="00D925D8">
        <w:rPr>
          <w:rFonts w:cs="Times New Roman"/>
        </w:rPr>
        <w:t xml:space="preserve">The Commission shall report to the </w:t>
      </w:r>
      <w:r>
        <w:rPr>
          <w:rFonts w:cs="Times New Roman"/>
        </w:rPr>
        <w:t>Guarantors</w:t>
      </w:r>
      <w:r w:rsidRPr="00D925D8">
        <w:rPr>
          <w:rFonts w:cs="Times New Roman"/>
        </w:rPr>
        <w:t xml:space="preserve"> on the outstanding claims</w:t>
      </w:r>
      <w:r>
        <w:rPr>
          <w:rFonts w:cs="Times New Roman"/>
        </w:rPr>
        <w:t xml:space="preserve"> under Loan Agreements</w:t>
      </w:r>
      <w:r w:rsidRPr="00D925D8">
        <w:rPr>
          <w:rFonts w:cs="Times New Roman"/>
        </w:rPr>
        <w:t xml:space="preserve"> and liabilities under </w:t>
      </w:r>
      <w:r>
        <w:rPr>
          <w:rFonts w:cs="Times New Roman"/>
        </w:rPr>
        <w:t>Borrowings</w:t>
      </w:r>
      <w:r w:rsidRPr="00D925D8">
        <w:rPr>
          <w:rFonts w:cs="Times New Roman"/>
        </w:rPr>
        <w:t xml:space="preserve"> on a quarterly basis.</w:t>
      </w:r>
      <w:r w:rsidR="00F43F1A">
        <w:rPr>
          <w:rFonts w:cs="Times New Roman"/>
        </w:rPr>
        <w:t xml:space="preserve"> </w:t>
      </w:r>
    </w:p>
    <w:p w14:paraId="6C28EF76" w14:textId="77777777" w:rsidR="00D925D8" w:rsidRPr="00D925D8" w:rsidRDefault="00365F59" w:rsidP="00CA7186">
      <w:pPr>
        <w:pStyle w:val="StandardL2"/>
        <w:keepNext/>
        <w:rPr>
          <w:rFonts w:cs="Times New Roman"/>
        </w:rPr>
      </w:pPr>
      <w:r>
        <w:rPr>
          <w:rFonts w:cs="Times New Roman"/>
        </w:rPr>
        <w:t xml:space="preserve">The Commission shall immediately notify </w:t>
      </w:r>
      <w:r w:rsidR="008023F4">
        <w:rPr>
          <w:rFonts w:cs="Times New Roman"/>
        </w:rPr>
        <w:t xml:space="preserve">the Guarantors of becoming </w:t>
      </w:r>
      <w:r w:rsidR="00595C67">
        <w:rPr>
          <w:rFonts w:cs="Times New Roman"/>
        </w:rPr>
        <w:t xml:space="preserve">aware of </w:t>
      </w:r>
      <w:r w:rsidR="008023F4">
        <w:rPr>
          <w:rFonts w:cs="Times New Roman"/>
        </w:rPr>
        <w:t>any event that may reasonably be expected to result in a</w:t>
      </w:r>
      <w:r w:rsidR="00F43F1A">
        <w:rPr>
          <w:rFonts w:cs="Times New Roman"/>
        </w:rPr>
        <w:t xml:space="preserve"> </w:t>
      </w:r>
      <w:r w:rsidR="008023F4">
        <w:rPr>
          <w:rFonts w:cs="Times New Roman"/>
        </w:rPr>
        <w:t>call</w:t>
      </w:r>
      <w:r w:rsidR="00F43F1A">
        <w:rPr>
          <w:rFonts w:cs="Times New Roman"/>
        </w:rPr>
        <w:t xml:space="preserve"> under the Guarantee Agreement.</w:t>
      </w:r>
    </w:p>
    <w:p w14:paraId="797761EC" w14:textId="77777777" w:rsidR="00D95E93" w:rsidRPr="000F087A" w:rsidRDefault="00D95E93" w:rsidP="00835D88">
      <w:pPr>
        <w:pStyle w:val="StandardL1"/>
      </w:pPr>
      <w:bookmarkStart w:id="18" w:name="_Toc38704895"/>
      <w:bookmarkStart w:id="19" w:name="_Toc40016230"/>
      <w:r w:rsidRPr="000F087A">
        <w:t xml:space="preserve">Benefit of </w:t>
      </w:r>
      <w:r w:rsidR="005B4FE0">
        <w:t>t</w:t>
      </w:r>
      <w:r w:rsidR="00A13E33">
        <w:t>he</w:t>
      </w:r>
      <w:r w:rsidR="00A13E33" w:rsidRPr="000F087A">
        <w:t xml:space="preserve"> </w:t>
      </w:r>
      <w:r w:rsidRPr="000F087A">
        <w:t xml:space="preserve">Guarantee </w:t>
      </w:r>
      <w:r w:rsidR="005B4FE0">
        <w:t>Agreement</w:t>
      </w:r>
      <w:bookmarkEnd w:id="18"/>
      <w:bookmarkEnd w:id="19"/>
    </w:p>
    <w:p w14:paraId="73F495D7" w14:textId="77777777" w:rsidR="00D95E93" w:rsidRPr="00AE13FA" w:rsidRDefault="00D95E93" w:rsidP="00933790">
      <w:pPr>
        <w:pStyle w:val="StandardL2"/>
        <w:keepNext/>
        <w:rPr>
          <w:rFonts w:cs="Times New Roman"/>
        </w:rPr>
      </w:pPr>
      <w:r w:rsidRPr="00AE13FA">
        <w:rPr>
          <w:rFonts w:cs="Times New Roman"/>
        </w:rPr>
        <w:t xml:space="preserve">Benefit </w:t>
      </w:r>
    </w:p>
    <w:p w14:paraId="092543BB" w14:textId="77777777" w:rsidR="00D95E93" w:rsidRPr="00AE13FA" w:rsidRDefault="00A13E33" w:rsidP="008248C9">
      <w:pPr>
        <w:pStyle w:val="BodyText1"/>
        <w:rPr>
          <w:rFonts w:cs="Times New Roman"/>
        </w:rPr>
      </w:pPr>
      <w:r>
        <w:rPr>
          <w:rFonts w:cs="Times New Roman"/>
        </w:rPr>
        <w:t>T</w:t>
      </w:r>
      <w:r w:rsidR="00A52803" w:rsidRPr="000F087A">
        <w:rPr>
          <w:rFonts w:cs="Times New Roman"/>
        </w:rPr>
        <w:t>he</w:t>
      </w:r>
      <w:r w:rsidR="00C63F78">
        <w:rPr>
          <w:rFonts w:cs="Times New Roman"/>
        </w:rPr>
        <w:t xml:space="preserve"> Guarantor shall honour this Guarantee Agreement on demand.</w:t>
      </w:r>
    </w:p>
    <w:p w14:paraId="75A422B0" w14:textId="77777777" w:rsidR="00D95E93" w:rsidRPr="00AE13FA" w:rsidRDefault="00D95E93" w:rsidP="008248C9">
      <w:pPr>
        <w:pStyle w:val="StandardL2"/>
        <w:keepNext/>
        <w:rPr>
          <w:rFonts w:cs="Times New Roman"/>
        </w:rPr>
      </w:pPr>
      <w:r w:rsidRPr="00AE13FA">
        <w:rPr>
          <w:rFonts w:cs="Times New Roman"/>
        </w:rPr>
        <w:t xml:space="preserve">Assignment </w:t>
      </w:r>
    </w:p>
    <w:p w14:paraId="34D3BE43" w14:textId="77777777" w:rsidR="00D95E93" w:rsidRPr="00AE13FA" w:rsidRDefault="00D95E93" w:rsidP="00933660">
      <w:pPr>
        <w:pStyle w:val="BodyText1"/>
        <w:rPr>
          <w:rFonts w:cs="Times New Roman"/>
        </w:rPr>
      </w:pPr>
      <w:r w:rsidRPr="000F087A">
        <w:rPr>
          <w:rFonts w:cs="Times New Roman"/>
        </w:rPr>
        <w:t>The Guarantor</w:t>
      </w:r>
      <w:r w:rsidRPr="00AE13FA">
        <w:rPr>
          <w:rFonts w:cs="Times New Roman"/>
        </w:rPr>
        <w:t xml:space="preserve"> shall not be entitled to assign or transfer all or any of </w:t>
      </w:r>
      <w:r w:rsidR="009D07FC" w:rsidRPr="000F087A">
        <w:rPr>
          <w:rFonts w:cs="Times New Roman"/>
        </w:rPr>
        <w:t xml:space="preserve">their </w:t>
      </w:r>
      <w:r w:rsidRPr="000F087A">
        <w:rPr>
          <w:rFonts w:cs="Times New Roman"/>
        </w:rPr>
        <w:t>rights, benefits and obligations hereunder.</w:t>
      </w:r>
      <w:r w:rsidR="00C03BB1" w:rsidRPr="000F087A">
        <w:rPr>
          <w:rFonts w:cs="Times New Roman"/>
        </w:rPr>
        <w:t xml:space="preserve"> </w:t>
      </w:r>
    </w:p>
    <w:p w14:paraId="3A36E1CA" w14:textId="77777777" w:rsidR="008248C9" w:rsidRPr="000F087A" w:rsidRDefault="007A5E55" w:rsidP="00E36473">
      <w:pPr>
        <w:pStyle w:val="StandardL1"/>
        <w:rPr>
          <w:rFonts w:cs="Times New Roman"/>
        </w:rPr>
      </w:pPr>
      <w:bookmarkStart w:id="20" w:name="_Toc40016231"/>
      <w:r>
        <w:rPr>
          <w:rFonts w:cs="Times New Roman"/>
        </w:rPr>
        <w:t xml:space="preserve">Reduction and </w:t>
      </w:r>
      <w:bookmarkStart w:id="21" w:name="_Toc38704896"/>
      <w:r w:rsidR="00E36473" w:rsidRPr="00AE13FA">
        <w:rPr>
          <w:rFonts w:cs="Times New Roman"/>
        </w:rPr>
        <w:t>Expiry of the Guarantee</w:t>
      </w:r>
      <w:bookmarkEnd w:id="21"/>
      <w:bookmarkEnd w:id="20"/>
    </w:p>
    <w:p w14:paraId="6680C6DE" w14:textId="77777777" w:rsidR="007A5E55" w:rsidRDefault="007A5E55" w:rsidP="00B95944">
      <w:pPr>
        <w:pStyle w:val="StandardL2"/>
      </w:pPr>
      <w:r>
        <w:t>From 31</w:t>
      </w:r>
      <w:r w:rsidRPr="007A5E55">
        <w:rPr>
          <w:vertAlign w:val="superscript"/>
        </w:rPr>
        <w:t>st</w:t>
      </w:r>
      <w:r>
        <w:t xml:space="preserve"> December 2025, should </w:t>
      </w:r>
      <w:r w:rsidR="00FC6997">
        <w:t>a</w:t>
      </w:r>
      <w:r>
        <w:t xml:space="preserve"> Commission report referred to in Clause 3.2 </w:t>
      </w:r>
      <w:r w:rsidR="00E95BB1">
        <w:t xml:space="preserve">provide that the outstanding liabilities under Borrowings is less than EUR 25 000 000 </w:t>
      </w:r>
      <w:r w:rsidR="00E95BB1">
        <w:lastRenderedPageBreak/>
        <w:t xml:space="preserve">000, the Guaranteed Contributions from Guarantors shall </w:t>
      </w:r>
      <w:r w:rsidR="00B95944">
        <w:t xml:space="preserve">irrevocably </w:t>
      </w:r>
      <w:r w:rsidR="00E95BB1">
        <w:t xml:space="preserve">be reduced on a </w:t>
      </w:r>
      <w:r w:rsidR="00B95944" w:rsidRPr="00B95944">
        <w:rPr>
          <w:i/>
        </w:rPr>
        <w:t xml:space="preserve">pro rata </w:t>
      </w:r>
      <w:r w:rsidR="00E95BB1" w:rsidRPr="00B95944">
        <w:rPr>
          <w:i/>
        </w:rPr>
        <w:t xml:space="preserve">pari passu </w:t>
      </w:r>
      <w:r w:rsidR="00E95BB1">
        <w:t>basis so that the total Guaranteed Contributions from Guarantors is equal to the outstanding liabilities under Borrowings.</w:t>
      </w:r>
      <w:r w:rsidR="00B95944" w:rsidRPr="00B95944">
        <w:t xml:space="preserve"> </w:t>
      </w:r>
      <w:r w:rsidR="00897673">
        <w:t xml:space="preserve">From its date of application, </w:t>
      </w:r>
      <w:r w:rsidR="00897673">
        <w:rPr>
          <w:rFonts w:cs="Times New Roman"/>
        </w:rPr>
        <w:t>t</w:t>
      </w:r>
      <w:r w:rsidR="00B95944" w:rsidRPr="00B95944">
        <w:rPr>
          <w:rFonts w:cs="Times New Roman"/>
        </w:rPr>
        <w:t xml:space="preserve">his Clause </w:t>
      </w:r>
      <w:r w:rsidR="00B95944">
        <w:rPr>
          <w:rFonts w:cs="Times New Roman"/>
        </w:rPr>
        <w:t>5.1</w:t>
      </w:r>
      <w:r w:rsidR="00490919">
        <w:rPr>
          <w:rFonts w:cs="Times New Roman"/>
        </w:rPr>
        <w:t xml:space="preserve"> shall apply </w:t>
      </w:r>
      <w:r w:rsidR="00897673">
        <w:rPr>
          <w:rFonts w:cs="Times New Roman"/>
        </w:rPr>
        <w:t>to each report</w:t>
      </w:r>
      <w:r w:rsidR="00490919">
        <w:rPr>
          <w:rFonts w:cs="Times New Roman"/>
        </w:rPr>
        <w:t>.</w:t>
      </w:r>
    </w:p>
    <w:p w14:paraId="755A0D3C" w14:textId="12001EF6" w:rsidR="00E36473" w:rsidRDefault="005D5436" w:rsidP="006334ED">
      <w:pPr>
        <w:pStyle w:val="StandardL2"/>
        <w:rPr>
          <w:rFonts w:cs="Times New Roman"/>
        </w:rPr>
      </w:pPr>
      <w:r>
        <w:rPr>
          <w:rFonts w:cs="Times New Roman"/>
        </w:rPr>
        <w:t>Subject to Clause 5.</w:t>
      </w:r>
      <w:r w:rsidR="007A5E55">
        <w:rPr>
          <w:rFonts w:cs="Times New Roman"/>
        </w:rPr>
        <w:t>3</w:t>
      </w:r>
      <w:r>
        <w:rPr>
          <w:rFonts w:cs="Times New Roman"/>
        </w:rPr>
        <w:t>, t</w:t>
      </w:r>
      <w:r w:rsidR="00E36473" w:rsidRPr="000F087A">
        <w:rPr>
          <w:rFonts w:cs="Times New Roman"/>
        </w:rPr>
        <w:t xml:space="preserve">his Guarantee </w:t>
      </w:r>
      <w:r w:rsidR="00A13E33">
        <w:rPr>
          <w:rFonts w:cs="Times New Roman"/>
        </w:rPr>
        <w:t xml:space="preserve">Agreement </w:t>
      </w:r>
      <w:r w:rsidR="00E36473" w:rsidRPr="000F087A">
        <w:rPr>
          <w:rFonts w:cs="Times New Roman"/>
        </w:rPr>
        <w:t>shall expire on the date (the "</w:t>
      </w:r>
      <w:r w:rsidR="00E36473" w:rsidRPr="000F087A">
        <w:rPr>
          <w:rFonts w:cs="Times New Roman"/>
          <w:b/>
          <w:bCs/>
        </w:rPr>
        <w:t>Expiration Date</w:t>
      </w:r>
      <w:r w:rsidR="00E36473" w:rsidRPr="000F087A">
        <w:rPr>
          <w:rFonts w:cs="Times New Roman"/>
        </w:rPr>
        <w:t>")</w:t>
      </w:r>
      <w:r w:rsidR="00543F4D" w:rsidRPr="000F087A">
        <w:rPr>
          <w:rFonts w:cs="Times New Roman"/>
        </w:rPr>
        <w:t xml:space="preserve"> which is the earlier of (i) the date</w:t>
      </w:r>
      <w:r w:rsidR="00E36473" w:rsidRPr="000F087A">
        <w:rPr>
          <w:rFonts w:cs="Times New Roman"/>
        </w:rPr>
        <w:t xml:space="preserve"> when all </w:t>
      </w:r>
      <w:r w:rsidR="00365812" w:rsidRPr="00D375FE">
        <w:rPr>
          <w:rFonts w:cs="Times New Roman"/>
        </w:rPr>
        <w:t>Borrowings</w:t>
      </w:r>
      <w:r w:rsidR="00E36473" w:rsidRPr="00D375FE">
        <w:rPr>
          <w:rFonts w:cs="Times New Roman"/>
        </w:rPr>
        <w:t xml:space="preserve"> have been irrevocably paid in full, no further </w:t>
      </w:r>
      <w:r w:rsidR="00365812" w:rsidRPr="004E1EDA">
        <w:rPr>
          <w:rFonts w:cs="Times New Roman"/>
        </w:rPr>
        <w:t xml:space="preserve">Borrowings </w:t>
      </w:r>
      <w:r w:rsidR="00E36473" w:rsidRPr="004E1EDA">
        <w:rPr>
          <w:rFonts w:cs="Times New Roman"/>
        </w:rPr>
        <w:t xml:space="preserve">may be issued under </w:t>
      </w:r>
      <w:r w:rsidR="00C63F78">
        <w:rPr>
          <w:rFonts w:cs="Times New Roman"/>
        </w:rPr>
        <w:t xml:space="preserve">Council Regulation </w:t>
      </w:r>
      <w:r w:rsidR="00E5439D" w:rsidRPr="009F4488">
        <w:t>(EU) 2020/672</w:t>
      </w:r>
      <w:r w:rsidR="00E36473" w:rsidRPr="004E1EDA">
        <w:rPr>
          <w:rFonts w:cs="Times New Roman"/>
        </w:rPr>
        <w:t xml:space="preserve"> and </w:t>
      </w:r>
      <w:r w:rsidR="00365812" w:rsidRPr="005F55FE">
        <w:rPr>
          <w:rFonts w:cs="Times New Roman"/>
        </w:rPr>
        <w:t xml:space="preserve">any and </w:t>
      </w:r>
      <w:r w:rsidR="00E36473" w:rsidRPr="005F55FE">
        <w:rPr>
          <w:rFonts w:cs="Times New Roman"/>
        </w:rPr>
        <w:t>all obligations of the Guarantor have been fully and irrevocably paid</w:t>
      </w:r>
      <w:r w:rsidR="00543F4D" w:rsidRPr="004E7E8C">
        <w:rPr>
          <w:rFonts w:cs="Times New Roman"/>
        </w:rPr>
        <w:t xml:space="preserve"> and (ii) </w:t>
      </w:r>
      <w:r w:rsidR="00365812" w:rsidRPr="004E7E8C">
        <w:rPr>
          <w:rFonts w:cs="Times New Roman"/>
        </w:rPr>
        <w:t>31</w:t>
      </w:r>
      <w:r w:rsidR="00365812" w:rsidRPr="00E62DEE">
        <w:rPr>
          <w:rFonts w:cs="Times New Roman"/>
          <w:vertAlign w:val="superscript"/>
        </w:rPr>
        <w:t>st</w:t>
      </w:r>
      <w:r w:rsidR="00365812" w:rsidRPr="00AE13FA">
        <w:rPr>
          <w:rFonts w:cs="Times New Roman"/>
        </w:rPr>
        <w:t xml:space="preserve"> December 2053</w:t>
      </w:r>
      <w:r w:rsidR="009C3F01" w:rsidRPr="00E62DEE">
        <w:rPr>
          <w:rFonts w:cs="Times New Roman"/>
        </w:rPr>
        <w:t>.</w:t>
      </w:r>
    </w:p>
    <w:p w14:paraId="1ABAA7CB" w14:textId="77777777" w:rsidR="005D5436" w:rsidRPr="005D5436" w:rsidRDefault="005D5436" w:rsidP="005D5436">
      <w:pPr>
        <w:pStyle w:val="StandardL2"/>
        <w:rPr>
          <w:rFonts w:cs="Times New Roman"/>
        </w:rPr>
      </w:pPr>
      <w:r>
        <w:rPr>
          <w:rFonts w:cs="Times New Roman"/>
        </w:rPr>
        <w:t>In the event of any Demand or Additional Demand under this Guarantee Agreement, the obligation of the Commission to</w:t>
      </w:r>
      <w:r w:rsidRPr="005D5436">
        <w:rPr>
          <w:rFonts w:cs="Times New Roman"/>
        </w:rPr>
        <w:t xml:space="preserve"> reimburse the Guarantor from amounts recovered </w:t>
      </w:r>
      <w:r>
        <w:rPr>
          <w:rFonts w:cs="Times New Roman"/>
        </w:rPr>
        <w:t>in line with Clause 1.8 shall continue until there is a reimbursement in full notwithstanding the occurrence of the Expiration Date.</w:t>
      </w:r>
    </w:p>
    <w:p w14:paraId="05C3C6EE" w14:textId="77777777" w:rsidR="00D95E93" w:rsidRPr="00AE13FA" w:rsidRDefault="005B4FE0" w:rsidP="00835D88">
      <w:pPr>
        <w:pStyle w:val="StandardL1"/>
      </w:pPr>
      <w:bookmarkStart w:id="22" w:name="_Toc38704897"/>
      <w:bookmarkStart w:id="23" w:name="_Toc40016232"/>
      <w:r>
        <w:t>Interpretation in C</w:t>
      </w:r>
      <w:r w:rsidR="00A13E33">
        <w:t xml:space="preserve">onformity and </w:t>
      </w:r>
      <w:r w:rsidR="00D95E93" w:rsidRPr="00AE13FA">
        <w:t>Partial Invalidity</w:t>
      </w:r>
      <w:bookmarkEnd w:id="22"/>
      <w:bookmarkEnd w:id="23"/>
      <w:r w:rsidR="00D95E93" w:rsidRPr="00AE13FA">
        <w:t xml:space="preserve"> </w:t>
      </w:r>
    </w:p>
    <w:p w14:paraId="42B34412" w14:textId="77777777" w:rsidR="00D95E93" w:rsidRPr="000F087A" w:rsidRDefault="00A13E33" w:rsidP="00835D88">
      <w:pPr>
        <w:pStyle w:val="BodyText1"/>
        <w:rPr>
          <w:rFonts w:cs="Times New Roman"/>
        </w:rPr>
      </w:pPr>
      <w:r w:rsidRPr="00A13E33">
        <w:rPr>
          <w:rFonts w:cs="Times New Roman"/>
        </w:rPr>
        <w:t xml:space="preserve">All provisions hereof shall be interpreted, in case of doubt, so that they are in conformity with the governing law. </w:t>
      </w:r>
      <w:r w:rsidR="00D95E93" w:rsidRPr="00AE13FA">
        <w:rPr>
          <w:rFonts w:cs="Times New Roman"/>
        </w:rPr>
        <w:t xml:space="preserve">If at any time any provision hereof is or becomes illegal, invalid or unenforceable </w:t>
      </w:r>
      <w:r>
        <w:rPr>
          <w:rFonts w:cs="Times New Roman"/>
        </w:rPr>
        <w:t xml:space="preserve">under </w:t>
      </w:r>
      <w:r w:rsidR="00C63F78">
        <w:rPr>
          <w:rFonts w:cs="Times New Roman"/>
        </w:rPr>
        <w:t>the governing</w:t>
      </w:r>
      <w:r>
        <w:rPr>
          <w:rFonts w:cs="Times New Roman"/>
        </w:rPr>
        <w:t xml:space="preserve"> law, </w:t>
      </w:r>
      <w:r w:rsidR="00D95E93" w:rsidRPr="000F087A">
        <w:rPr>
          <w:rFonts w:cs="Times New Roman"/>
        </w:rPr>
        <w:t xml:space="preserve">the legality, validity or enforceability of the remaining provisions hereof shall </w:t>
      </w:r>
      <w:r>
        <w:rPr>
          <w:rFonts w:cs="Times New Roman"/>
        </w:rPr>
        <w:t xml:space="preserve">not </w:t>
      </w:r>
      <w:r w:rsidR="00D95E93" w:rsidRPr="000F087A">
        <w:rPr>
          <w:rFonts w:cs="Times New Roman"/>
        </w:rPr>
        <w:t xml:space="preserve">in any way be affected or impaired thereby. </w:t>
      </w:r>
    </w:p>
    <w:p w14:paraId="72473570" w14:textId="77777777" w:rsidR="00D95E93" w:rsidRPr="000F087A" w:rsidRDefault="00D95E93" w:rsidP="00835D88">
      <w:pPr>
        <w:pStyle w:val="StandardL1"/>
      </w:pPr>
      <w:bookmarkStart w:id="24" w:name="_Toc38704898"/>
      <w:bookmarkStart w:id="25" w:name="_Toc40016233"/>
      <w:r w:rsidRPr="000F087A">
        <w:t>Notices</w:t>
      </w:r>
      <w:bookmarkEnd w:id="24"/>
      <w:bookmarkEnd w:id="25"/>
      <w:r w:rsidRPr="000F087A">
        <w:t xml:space="preserve"> </w:t>
      </w:r>
    </w:p>
    <w:p w14:paraId="30D9EDCB" w14:textId="77777777" w:rsidR="00D95E93" w:rsidRPr="00D375FE" w:rsidRDefault="00D95E93" w:rsidP="009C3F01">
      <w:pPr>
        <w:pStyle w:val="StandardL2"/>
        <w:keepNext/>
        <w:rPr>
          <w:rFonts w:cs="Times New Roman"/>
        </w:rPr>
      </w:pPr>
      <w:bookmarkStart w:id="26" w:name="_Ref263172740"/>
      <w:r w:rsidRPr="00D375FE">
        <w:rPr>
          <w:rFonts w:cs="Times New Roman"/>
        </w:rPr>
        <w:t>Address for notices</w:t>
      </w:r>
      <w:bookmarkEnd w:id="26"/>
      <w:r w:rsidRPr="00D375FE">
        <w:rPr>
          <w:rFonts w:cs="Times New Roman"/>
        </w:rPr>
        <w:t xml:space="preserve"> </w:t>
      </w:r>
    </w:p>
    <w:p w14:paraId="33845200" w14:textId="77777777" w:rsidR="00D95E93" w:rsidRPr="00AE13FA" w:rsidRDefault="00D95E93" w:rsidP="009D07FC">
      <w:pPr>
        <w:pStyle w:val="BodyText1"/>
        <w:rPr>
          <w:rFonts w:cs="Times New Roman"/>
        </w:rPr>
      </w:pPr>
      <w:r w:rsidRPr="00D375FE">
        <w:rPr>
          <w:rFonts w:cs="Times New Roman"/>
        </w:rPr>
        <w:t>All notices, demands and other communications to the Guarantor</w:t>
      </w:r>
      <w:r w:rsidRPr="00AE13FA">
        <w:rPr>
          <w:rFonts w:cs="Times New Roman"/>
        </w:rPr>
        <w:t xml:space="preserve"> hereunder shall be made in writing (by letter or fax</w:t>
      </w:r>
      <w:r w:rsidR="00007A8B" w:rsidRPr="00AE13FA">
        <w:rPr>
          <w:rFonts w:cs="Times New Roman"/>
        </w:rPr>
        <w:t xml:space="preserve"> or </w:t>
      </w:r>
      <w:r w:rsidR="00007A8B" w:rsidRPr="00E62DEE">
        <w:rPr>
          <w:rFonts w:cs="Times New Roman"/>
        </w:rPr>
        <w:t>e-mail</w:t>
      </w:r>
      <w:r w:rsidRPr="00AE13FA">
        <w:rPr>
          <w:rFonts w:cs="Times New Roman"/>
        </w:rPr>
        <w:t xml:space="preserve">) and shall be sent to the Guarantor at: </w:t>
      </w:r>
    </w:p>
    <w:p w14:paraId="764A87E3" w14:textId="77777777" w:rsidR="00D95E93" w:rsidRPr="00AE13FA" w:rsidRDefault="00D95E93" w:rsidP="00835D88">
      <w:pPr>
        <w:pStyle w:val="BodyText1"/>
        <w:rPr>
          <w:rFonts w:cs="Times New Roman"/>
        </w:rPr>
      </w:pPr>
      <w:r w:rsidRPr="00AE13FA">
        <w:rPr>
          <w:rFonts w:cs="Times New Roman"/>
        </w:rPr>
        <w:t xml:space="preserve">[Guarantor's address] </w:t>
      </w:r>
    </w:p>
    <w:p w14:paraId="244C1105" w14:textId="77777777" w:rsidR="00D95E93" w:rsidRPr="000F087A" w:rsidRDefault="00835D88" w:rsidP="00835D88">
      <w:pPr>
        <w:pStyle w:val="BodyText1"/>
        <w:rPr>
          <w:rFonts w:cs="Times New Roman"/>
        </w:rPr>
      </w:pPr>
      <w:r w:rsidRPr="000F087A">
        <w:rPr>
          <w:rFonts w:cs="Times New Roman"/>
        </w:rPr>
        <w:t xml:space="preserve">Fax: </w:t>
      </w:r>
      <w:r w:rsidRPr="000F087A">
        <w:rPr>
          <w:rFonts w:cs="Times New Roman"/>
        </w:rPr>
        <w:tab/>
      </w:r>
      <w:r w:rsidRPr="000F087A">
        <w:rPr>
          <w:rFonts w:cs="Times New Roman"/>
        </w:rPr>
        <w:tab/>
      </w:r>
      <w:r w:rsidR="007C4972" w:rsidRPr="000F087A">
        <w:rPr>
          <w:rFonts w:cs="Times New Roman"/>
        </w:rPr>
        <w:tab/>
      </w:r>
      <w:r w:rsidRPr="000F087A">
        <w:rPr>
          <w:rFonts w:cs="Times New Roman"/>
        </w:rPr>
        <w:t>+</w:t>
      </w:r>
      <w:r w:rsidR="00D95E93" w:rsidRPr="000F087A">
        <w:rPr>
          <w:rFonts w:cs="Times New Roman"/>
        </w:rPr>
        <w:t xml:space="preserve">[number] </w:t>
      </w:r>
    </w:p>
    <w:p w14:paraId="1535A28B" w14:textId="77777777" w:rsidR="00E3564F" w:rsidRPr="000F087A" w:rsidRDefault="00E3564F" w:rsidP="00835D88">
      <w:pPr>
        <w:pStyle w:val="BodyText1"/>
        <w:rPr>
          <w:rFonts w:cs="Times New Roman"/>
        </w:rPr>
      </w:pPr>
      <w:r w:rsidRPr="000F087A">
        <w:rPr>
          <w:rFonts w:cs="Times New Roman"/>
        </w:rPr>
        <w:t xml:space="preserve">E-mail: </w:t>
      </w:r>
      <w:r w:rsidRPr="000F087A">
        <w:rPr>
          <w:rFonts w:cs="Times New Roman"/>
        </w:rPr>
        <w:tab/>
      </w:r>
      <w:r w:rsidRPr="000F087A">
        <w:rPr>
          <w:rFonts w:cs="Times New Roman"/>
        </w:rPr>
        <w:tab/>
        <w:t>[e-mail]</w:t>
      </w:r>
    </w:p>
    <w:p w14:paraId="45A96B0A" w14:textId="77777777" w:rsidR="00D95E93" w:rsidRPr="004E1EDA" w:rsidRDefault="00D95E93" w:rsidP="00835D88">
      <w:pPr>
        <w:pStyle w:val="BodyText1"/>
        <w:rPr>
          <w:rFonts w:cs="Times New Roman"/>
        </w:rPr>
      </w:pPr>
      <w:r w:rsidRPr="00D375FE">
        <w:rPr>
          <w:rFonts w:cs="Times New Roman"/>
        </w:rPr>
        <w:t xml:space="preserve">Attention: </w:t>
      </w:r>
      <w:r w:rsidR="00835D88" w:rsidRPr="00D375FE">
        <w:rPr>
          <w:rFonts w:cs="Times New Roman"/>
        </w:rPr>
        <w:tab/>
      </w:r>
      <w:r w:rsidR="007C4972" w:rsidRPr="00D375FE">
        <w:rPr>
          <w:rFonts w:cs="Times New Roman"/>
        </w:rPr>
        <w:tab/>
      </w:r>
      <w:r w:rsidRPr="004E1EDA">
        <w:rPr>
          <w:rFonts w:cs="Times New Roman"/>
        </w:rPr>
        <w:t xml:space="preserve">[name or department] </w:t>
      </w:r>
    </w:p>
    <w:p w14:paraId="0F7C2F7C" w14:textId="77777777" w:rsidR="009D07FC" w:rsidRPr="005F55FE" w:rsidRDefault="009C3F01" w:rsidP="009D07FC">
      <w:pPr>
        <w:pStyle w:val="BodyText1"/>
        <w:rPr>
          <w:rFonts w:cs="Times New Roman"/>
        </w:rPr>
      </w:pPr>
      <w:r w:rsidRPr="004E1EDA">
        <w:rPr>
          <w:rFonts w:cs="Times New Roman"/>
        </w:rPr>
        <w:t>With a c</w:t>
      </w:r>
      <w:r w:rsidR="00E3564F" w:rsidRPr="005F55FE">
        <w:rPr>
          <w:rFonts w:cs="Times New Roman"/>
        </w:rPr>
        <w:t>opy to:</w:t>
      </w:r>
      <w:r w:rsidR="00E3564F" w:rsidRPr="005F55FE">
        <w:rPr>
          <w:rFonts w:cs="Times New Roman"/>
        </w:rPr>
        <w:tab/>
        <w:t>European Commission</w:t>
      </w:r>
    </w:p>
    <w:p w14:paraId="2A365B26" w14:textId="77777777" w:rsidR="009D07FC" w:rsidRPr="004E7E8C" w:rsidRDefault="009D07FC" w:rsidP="009D07FC">
      <w:pPr>
        <w:pStyle w:val="BodyText1"/>
        <w:rPr>
          <w:rFonts w:cs="Times New Roman"/>
        </w:rPr>
      </w:pPr>
      <w:r w:rsidRPr="004E7E8C">
        <w:rPr>
          <w:rFonts w:cs="Times New Roman"/>
        </w:rPr>
        <w:t xml:space="preserve">Fax: </w:t>
      </w:r>
      <w:r w:rsidRPr="004E7E8C">
        <w:rPr>
          <w:rFonts w:cs="Times New Roman"/>
        </w:rPr>
        <w:tab/>
      </w:r>
      <w:r w:rsidRPr="004E7E8C">
        <w:rPr>
          <w:rFonts w:cs="Times New Roman"/>
        </w:rPr>
        <w:tab/>
      </w:r>
      <w:r w:rsidR="007C4972" w:rsidRPr="004E7E8C">
        <w:rPr>
          <w:rFonts w:cs="Times New Roman"/>
        </w:rPr>
        <w:tab/>
      </w:r>
      <w:r w:rsidRPr="004E7E8C">
        <w:rPr>
          <w:rFonts w:cs="Times New Roman"/>
        </w:rPr>
        <w:t xml:space="preserve">+[number] </w:t>
      </w:r>
    </w:p>
    <w:p w14:paraId="02539601" w14:textId="77777777" w:rsidR="00E3564F" w:rsidRPr="004E7E8C" w:rsidRDefault="00E3564F" w:rsidP="009D07FC">
      <w:pPr>
        <w:pStyle w:val="BodyText1"/>
        <w:rPr>
          <w:rFonts w:cs="Times New Roman"/>
        </w:rPr>
      </w:pPr>
      <w:r w:rsidRPr="004E7E8C">
        <w:rPr>
          <w:rFonts w:cs="Times New Roman"/>
        </w:rPr>
        <w:t>E-mail:</w:t>
      </w:r>
      <w:r w:rsidRPr="004E7E8C">
        <w:rPr>
          <w:rFonts w:cs="Times New Roman"/>
        </w:rPr>
        <w:tab/>
      </w:r>
      <w:r w:rsidRPr="004E7E8C">
        <w:rPr>
          <w:rFonts w:cs="Times New Roman"/>
        </w:rPr>
        <w:tab/>
      </w:r>
      <w:r w:rsidRPr="004E7E8C">
        <w:rPr>
          <w:rFonts w:cs="Times New Roman"/>
        </w:rPr>
        <w:tab/>
        <w:t>[e-mail]</w:t>
      </w:r>
    </w:p>
    <w:p w14:paraId="5BAE45A1" w14:textId="77777777" w:rsidR="009D07FC" w:rsidRPr="006227D6" w:rsidRDefault="009D07FC" w:rsidP="009D07FC">
      <w:pPr>
        <w:pStyle w:val="BodyText1"/>
        <w:rPr>
          <w:rFonts w:cs="Times New Roman"/>
        </w:rPr>
      </w:pPr>
      <w:r w:rsidRPr="006227D6">
        <w:rPr>
          <w:rFonts w:cs="Times New Roman"/>
        </w:rPr>
        <w:t xml:space="preserve">Attention: </w:t>
      </w:r>
      <w:r w:rsidRPr="006227D6">
        <w:rPr>
          <w:rFonts w:cs="Times New Roman"/>
        </w:rPr>
        <w:tab/>
      </w:r>
      <w:r w:rsidR="007C4972" w:rsidRPr="006227D6">
        <w:rPr>
          <w:rFonts w:cs="Times New Roman"/>
        </w:rPr>
        <w:tab/>
      </w:r>
      <w:r w:rsidRPr="006227D6">
        <w:rPr>
          <w:rFonts w:cs="Times New Roman"/>
        </w:rPr>
        <w:t xml:space="preserve">[name or department] </w:t>
      </w:r>
    </w:p>
    <w:p w14:paraId="47B22435" w14:textId="77777777" w:rsidR="00D95E93" w:rsidRPr="00AE13FA" w:rsidRDefault="00D95E93" w:rsidP="009C3F01">
      <w:pPr>
        <w:pStyle w:val="BodyText1"/>
        <w:rPr>
          <w:rFonts w:cs="Times New Roman"/>
        </w:rPr>
      </w:pPr>
      <w:r w:rsidRPr="006227D6">
        <w:rPr>
          <w:rFonts w:cs="Times New Roman"/>
        </w:rPr>
        <w:t>or</w:t>
      </w:r>
      <w:r w:rsidR="009C3F01" w:rsidRPr="006227D6">
        <w:rPr>
          <w:rFonts w:cs="Times New Roman"/>
        </w:rPr>
        <w:t xml:space="preserve">, in relation to </w:t>
      </w:r>
      <w:r w:rsidR="00846263">
        <w:rPr>
          <w:rFonts w:cs="Times New Roman"/>
        </w:rPr>
        <w:t>the</w:t>
      </w:r>
      <w:r w:rsidR="00846263" w:rsidRPr="006227D6">
        <w:rPr>
          <w:rFonts w:cs="Times New Roman"/>
        </w:rPr>
        <w:t xml:space="preserve"> </w:t>
      </w:r>
      <w:r w:rsidR="009C3F01" w:rsidRPr="006227D6">
        <w:rPr>
          <w:rFonts w:cs="Times New Roman"/>
        </w:rPr>
        <w:t>Guarantor,</w:t>
      </w:r>
      <w:r w:rsidRPr="006227D6">
        <w:rPr>
          <w:rFonts w:cs="Times New Roman"/>
        </w:rPr>
        <w:t xml:space="preserve"> to such other address or fax number or for the attention of such other person or department as the Guarantor has notified to the </w:t>
      </w:r>
      <w:r w:rsidR="00E3564F" w:rsidRPr="006227D6">
        <w:rPr>
          <w:rFonts w:cs="Times New Roman"/>
        </w:rPr>
        <w:t>Commission</w:t>
      </w:r>
      <w:r w:rsidRPr="00AE13FA">
        <w:rPr>
          <w:rFonts w:cs="Times New Roman"/>
        </w:rPr>
        <w:t xml:space="preserve"> in the manner prescribed for the giving of notices. </w:t>
      </w:r>
    </w:p>
    <w:p w14:paraId="1823D342" w14:textId="77777777" w:rsidR="00D95E93" w:rsidRPr="000F087A" w:rsidRDefault="00D95E93" w:rsidP="009C3F01">
      <w:pPr>
        <w:pStyle w:val="StandardL2"/>
        <w:keepNext/>
        <w:rPr>
          <w:rFonts w:cs="Times New Roman"/>
        </w:rPr>
      </w:pPr>
      <w:r w:rsidRPr="000F087A">
        <w:rPr>
          <w:rFonts w:cs="Times New Roman"/>
        </w:rPr>
        <w:lastRenderedPageBreak/>
        <w:t xml:space="preserve">Effectiveness </w:t>
      </w:r>
    </w:p>
    <w:p w14:paraId="316C41D3" w14:textId="77777777" w:rsidR="00D95E93" w:rsidRPr="004E1EDA" w:rsidRDefault="00D95E93" w:rsidP="009C3F01">
      <w:pPr>
        <w:pStyle w:val="BodyText1"/>
        <w:rPr>
          <w:rFonts w:cs="Times New Roman"/>
        </w:rPr>
      </w:pPr>
      <w:r w:rsidRPr="000F087A">
        <w:rPr>
          <w:rFonts w:cs="Times New Roman"/>
        </w:rPr>
        <w:t xml:space="preserve">Every notice, demand or other communication sent in accordance with Clause </w:t>
      </w:r>
      <w:r w:rsidR="00764A75" w:rsidRPr="00AE13FA">
        <w:rPr>
          <w:rFonts w:cs="Times New Roman"/>
        </w:rPr>
        <w:fldChar w:fldCharType="begin"/>
      </w:r>
      <w:r w:rsidR="00764A75" w:rsidRPr="006227D6">
        <w:rPr>
          <w:rFonts w:cs="Times New Roman"/>
        </w:rPr>
        <w:instrText xml:space="preserve"> REF _Ref263172740 \r \h </w:instrText>
      </w:r>
      <w:r w:rsidR="00AE13FA">
        <w:rPr>
          <w:rFonts w:cs="Times New Roman"/>
        </w:rPr>
        <w:instrText xml:space="preserve"> \* MERGEFORMAT </w:instrText>
      </w:r>
      <w:r w:rsidR="00764A75" w:rsidRPr="00AE13FA">
        <w:rPr>
          <w:rFonts w:cs="Times New Roman"/>
        </w:rPr>
      </w:r>
      <w:r w:rsidR="00764A75" w:rsidRPr="00AE13FA">
        <w:rPr>
          <w:rFonts w:cs="Times New Roman"/>
        </w:rPr>
        <w:fldChar w:fldCharType="separate"/>
      </w:r>
      <w:r w:rsidR="00816A02" w:rsidRPr="00AE13FA">
        <w:rPr>
          <w:rFonts w:cs="Times New Roman"/>
          <w:cs/>
        </w:rPr>
        <w:t>‎</w:t>
      </w:r>
      <w:r w:rsidR="00816A02" w:rsidRPr="00AE13FA">
        <w:rPr>
          <w:rFonts w:cs="Times New Roman"/>
        </w:rPr>
        <w:t>7.1</w:t>
      </w:r>
      <w:r w:rsidR="00764A75" w:rsidRPr="00AE13FA">
        <w:rPr>
          <w:rFonts w:cs="Times New Roman"/>
        </w:rPr>
        <w:fldChar w:fldCharType="end"/>
      </w:r>
      <w:r w:rsidRPr="00AE13FA">
        <w:rPr>
          <w:rFonts w:cs="Times New Roman"/>
        </w:rPr>
        <w:t xml:space="preserve"> (</w:t>
      </w:r>
      <w:r w:rsidRPr="00AE13FA">
        <w:rPr>
          <w:rFonts w:cs="Times New Roman"/>
          <w:i/>
          <w:iCs/>
        </w:rPr>
        <w:t>Address for notices</w:t>
      </w:r>
      <w:r w:rsidRPr="00AE13FA">
        <w:rPr>
          <w:rFonts w:cs="Times New Roman"/>
        </w:rPr>
        <w:t xml:space="preserve">) shall be effective upon </w:t>
      </w:r>
      <w:r w:rsidR="009C3F01" w:rsidRPr="000F087A">
        <w:rPr>
          <w:rFonts w:cs="Times New Roman"/>
        </w:rPr>
        <w:t xml:space="preserve">actual </w:t>
      </w:r>
      <w:r w:rsidRPr="000F087A">
        <w:rPr>
          <w:rFonts w:cs="Times New Roman"/>
        </w:rPr>
        <w:t xml:space="preserve">receipt by the Guarantor; </w:t>
      </w:r>
      <w:r w:rsidRPr="000F087A">
        <w:rPr>
          <w:rFonts w:cs="Times New Roman"/>
          <w:i/>
          <w:iCs/>
        </w:rPr>
        <w:t xml:space="preserve">provided that </w:t>
      </w:r>
      <w:r w:rsidRPr="000F087A">
        <w:rPr>
          <w:rFonts w:cs="Times New Roman"/>
        </w:rPr>
        <w:t>any such notice, demand or other communication which would otherwise take effect after 4.00 p.m. on any particular day</w:t>
      </w:r>
      <w:r w:rsidR="009C3F01" w:rsidRPr="00D375FE">
        <w:rPr>
          <w:rFonts w:cs="Times New Roman"/>
        </w:rPr>
        <w:t xml:space="preserve"> or on a day which is not a Business Day</w:t>
      </w:r>
      <w:r w:rsidRPr="00D375FE">
        <w:rPr>
          <w:rFonts w:cs="Times New Roman"/>
        </w:rPr>
        <w:t xml:space="preserve"> shall not take effect until 10.00 a.m.</w:t>
      </w:r>
      <w:r w:rsidR="009C3F01" w:rsidRPr="004E1EDA">
        <w:rPr>
          <w:rFonts w:cs="Times New Roman"/>
        </w:rPr>
        <w:t xml:space="preserve"> on the immediately succeeding Business D</w:t>
      </w:r>
      <w:r w:rsidRPr="004E1EDA">
        <w:rPr>
          <w:rFonts w:cs="Times New Roman"/>
        </w:rPr>
        <w:t xml:space="preserve">ay. </w:t>
      </w:r>
    </w:p>
    <w:p w14:paraId="212613FF" w14:textId="77777777" w:rsidR="003D2CC3" w:rsidRPr="004E1EDA" w:rsidRDefault="003D2CC3" w:rsidP="003D2CC3">
      <w:pPr>
        <w:pStyle w:val="StandardL1"/>
      </w:pPr>
      <w:bookmarkStart w:id="27" w:name="_Toc38704899"/>
      <w:bookmarkStart w:id="28" w:name="_Toc40016234"/>
      <w:r w:rsidRPr="004E1EDA">
        <w:t>Interpretation</w:t>
      </w:r>
      <w:bookmarkEnd w:id="27"/>
      <w:bookmarkEnd w:id="28"/>
    </w:p>
    <w:p w14:paraId="4CD9D708" w14:textId="77777777" w:rsidR="003D2CC3" w:rsidRPr="005F55FE" w:rsidRDefault="003D2CC3" w:rsidP="009C3F01">
      <w:pPr>
        <w:pStyle w:val="StandardL2"/>
        <w:keepNext/>
      </w:pPr>
      <w:r w:rsidRPr="005F55FE">
        <w:t xml:space="preserve">Definitions </w:t>
      </w:r>
    </w:p>
    <w:p w14:paraId="5C1B2CFD" w14:textId="77777777" w:rsidR="00F2300C" w:rsidRPr="004E7E8C" w:rsidRDefault="002B0F0D" w:rsidP="004E075D">
      <w:pPr>
        <w:pStyle w:val="BodyText1"/>
        <w:rPr>
          <w:rFonts w:cs="Times New Roman"/>
        </w:rPr>
      </w:pPr>
      <w:r w:rsidRPr="004E7E8C">
        <w:rPr>
          <w:rFonts w:cs="Times New Roman"/>
        </w:rPr>
        <w:t>In this Gu</w:t>
      </w:r>
      <w:r w:rsidR="00F2300C" w:rsidRPr="004E7E8C">
        <w:rPr>
          <w:rFonts w:cs="Times New Roman"/>
        </w:rPr>
        <w:t>arantee</w:t>
      </w:r>
      <w:r w:rsidR="005B4FE0">
        <w:rPr>
          <w:rFonts w:cs="Times New Roman"/>
        </w:rPr>
        <w:t xml:space="preserve"> Agreement</w:t>
      </w:r>
      <w:r w:rsidR="00F2300C" w:rsidRPr="004E7E8C">
        <w:rPr>
          <w:rFonts w:cs="Times New Roman"/>
        </w:rPr>
        <w:t>:</w:t>
      </w:r>
    </w:p>
    <w:p w14:paraId="1999D302" w14:textId="77777777" w:rsidR="00F2300C" w:rsidRPr="006227D6" w:rsidRDefault="007F2C4C" w:rsidP="004E075D">
      <w:pPr>
        <w:pStyle w:val="BodyText1"/>
      </w:pPr>
      <w:r w:rsidRPr="004E7E8C">
        <w:t>"</w:t>
      </w:r>
      <w:r w:rsidRPr="0065131E">
        <w:rPr>
          <w:b/>
          <w:bCs/>
        </w:rPr>
        <w:t>Business Day</w:t>
      </w:r>
      <w:r w:rsidRPr="0065131E">
        <w:t xml:space="preserve">" shall mean a day </w:t>
      </w:r>
      <w:r w:rsidRPr="006227D6">
        <w:t xml:space="preserve">on which commercial banks and foreign exchange markets are open or required to be </w:t>
      </w:r>
      <w:r w:rsidR="002B0F0D" w:rsidRPr="006227D6">
        <w:t>open for business in Luxembourg</w:t>
      </w:r>
      <w:r w:rsidR="00167DA8">
        <w:t>.</w:t>
      </w:r>
    </w:p>
    <w:p w14:paraId="3D40B930" w14:textId="77777777" w:rsidR="003D2CC3" w:rsidRPr="005F55FE" w:rsidRDefault="003D2CC3" w:rsidP="009C3F01">
      <w:pPr>
        <w:pStyle w:val="StandardL2"/>
        <w:keepNext/>
      </w:pPr>
      <w:r w:rsidRPr="004E1EDA">
        <w:t>Other agreement</w:t>
      </w:r>
      <w:r w:rsidRPr="005F55FE">
        <w:t xml:space="preserve">s </w:t>
      </w:r>
    </w:p>
    <w:p w14:paraId="770D2885" w14:textId="77777777" w:rsidR="003D2CC3" w:rsidRPr="000F087A" w:rsidRDefault="003D2CC3" w:rsidP="003D2CC3">
      <w:pPr>
        <w:pStyle w:val="BodyText1"/>
        <w:rPr>
          <w:rFonts w:cs="Times New Roman"/>
        </w:rPr>
      </w:pPr>
      <w:r w:rsidRPr="004E7E8C">
        <w:rPr>
          <w:rFonts w:cs="Times New Roman"/>
        </w:rPr>
        <w:t>All references in this Guarantee</w:t>
      </w:r>
      <w:r w:rsidR="005B4FE0">
        <w:rPr>
          <w:rFonts w:cs="Times New Roman"/>
        </w:rPr>
        <w:t xml:space="preserve"> Agreement</w:t>
      </w:r>
      <w:r w:rsidRPr="004E7E8C">
        <w:rPr>
          <w:rFonts w:cs="Times New Roman"/>
        </w:rPr>
        <w:t xml:space="preserve"> to an agreement, instrument or other document </w:t>
      </w:r>
      <w:r w:rsidRPr="00AE13FA">
        <w:rPr>
          <w:rFonts w:cs="Times New Roman"/>
        </w:rPr>
        <w:t xml:space="preserve">shall be construed as a reference to that agreement, instrument or other document as the same may be amended, supplemented, restated, extended, replaced or novated from time to time. </w:t>
      </w:r>
    </w:p>
    <w:p w14:paraId="4ED87E76" w14:textId="77777777" w:rsidR="009475CF" w:rsidRPr="006227D6" w:rsidRDefault="009475CF" w:rsidP="009475CF">
      <w:pPr>
        <w:pStyle w:val="StandardL1"/>
      </w:pPr>
      <w:bookmarkStart w:id="29" w:name="_Ref263167380"/>
      <w:bookmarkStart w:id="30" w:name="_Toc38704900"/>
      <w:bookmarkStart w:id="31" w:name="_Toc40016235"/>
      <w:r w:rsidRPr="006227D6">
        <w:t>Law and Jurisdiction</w:t>
      </w:r>
      <w:bookmarkEnd w:id="29"/>
      <w:bookmarkEnd w:id="30"/>
      <w:bookmarkEnd w:id="31"/>
      <w:r w:rsidRPr="006227D6">
        <w:t xml:space="preserve"> </w:t>
      </w:r>
    </w:p>
    <w:p w14:paraId="6278505A" w14:textId="77777777" w:rsidR="009475CF" w:rsidRPr="006227D6" w:rsidRDefault="009475CF" w:rsidP="009C3F01">
      <w:pPr>
        <w:pStyle w:val="StandardL2"/>
        <w:keepNext/>
        <w:rPr>
          <w:rFonts w:cs="Times New Roman"/>
        </w:rPr>
      </w:pPr>
      <w:r w:rsidRPr="006227D6">
        <w:rPr>
          <w:rFonts w:cs="Times New Roman"/>
        </w:rPr>
        <w:t xml:space="preserve">Governing law </w:t>
      </w:r>
    </w:p>
    <w:p w14:paraId="3CAF8495" w14:textId="77777777" w:rsidR="009475CF" w:rsidRPr="00AE13FA" w:rsidRDefault="009475CF" w:rsidP="00637738">
      <w:pPr>
        <w:pStyle w:val="BodyText1"/>
        <w:rPr>
          <w:rFonts w:cs="Times New Roman"/>
        </w:rPr>
      </w:pPr>
      <w:r w:rsidRPr="006227D6">
        <w:rPr>
          <w:rFonts w:cs="Times New Roman"/>
        </w:rPr>
        <w:t>This Guarantee</w:t>
      </w:r>
      <w:r w:rsidR="005B4FE0">
        <w:rPr>
          <w:rFonts w:cs="Times New Roman"/>
        </w:rPr>
        <w:t xml:space="preserve"> Agreement</w:t>
      </w:r>
      <w:r w:rsidRPr="006227D6">
        <w:rPr>
          <w:rFonts w:cs="Times New Roman"/>
        </w:rPr>
        <w:t xml:space="preserve"> and any non-contractual obligations arising out of or in connection with it </w:t>
      </w:r>
      <w:r w:rsidR="00024D4D">
        <w:rPr>
          <w:rFonts w:cs="Times New Roman"/>
        </w:rPr>
        <w:t>shall be</w:t>
      </w:r>
      <w:r w:rsidR="00024D4D" w:rsidRPr="006227D6">
        <w:rPr>
          <w:rFonts w:cs="Times New Roman"/>
        </w:rPr>
        <w:t xml:space="preserve"> </w:t>
      </w:r>
      <w:r w:rsidRPr="006227D6">
        <w:rPr>
          <w:rFonts w:cs="Times New Roman"/>
        </w:rPr>
        <w:t>governed by</w:t>
      </w:r>
      <w:r w:rsidR="00E3564F" w:rsidRPr="006227D6">
        <w:rPr>
          <w:rFonts w:cs="Times New Roman"/>
        </w:rPr>
        <w:t xml:space="preserve"> </w:t>
      </w:r>
      <w:r w:rsidR="00024D4D">
        <w:rPr>
          <w:rFonts w:cs="Times New Roman"/>
        </w:rPr>
        <w:t>and shall be construed in accordance with E</w:t>
      </w:r>
      <w:r w:rsidR="00ED04BB">
        <w:rPr>
          <w:rFonts w:cs="Times New Roman"/>
        </w:rPr>
        <w:t xml:space="preserve">uropean </w:t>
      </w:r>
      <w:r w:rsidR="00024D4D">
        <w:rPr>
          <w:rFonts w:cs="Times New Roman"/>
        </w:rPr>
        <w:t>U</w:t>
      </w:r>
      <w:r w:rsidR="00ED04BB">
        <w:rPr>
          <w:rFonts w:cs="Times New Roman"/>
        </w:rPr>
        <w:t>nion</w:t>
      </w:r>
      <w:r w:rsidR="00024D4D">
        <w:rPr>
          <w:rFonts w:cs="Times New Roman"/>
        </w:rPr>
        <w:t xml:space="preserve"> law,</w:t>
      </w:r>
      <w:r w:rsidR="00A13E33">
        <w:rPr>
          <w:rFonts w:cs="Times New Roman"/>
        </w:rPr>
        <w:t xml:space="preserve"> supplemented if necessary by the</w:t>
      </w:r>
      <w:r w:rsidR="00024D4D">
        <w:rPr>
          <w:rFonts w:cs="Times New Roman"/>
        </w:rPr>
        <w:t xml:space="preserve"> </w:t>
      </w:r>
      <w:r w:rsidR="00E3564F" w:rsidRPr="006227D6">
        <w:rPr>
          <w:rFonts w:cs="Times New Roman"/>
        </w:rPr>
        <w:t>Luxembourgish</w:t>
      </w:r>
      <w:r w:rsidRPr="006227D6">
        <w:rPr>
          <w:rFonts w:cs="Times New Roman"/>
        </w:rPr>
        <w:t xml:space="preserve"> </w:t>
      </w:r>
      <w:r w:rsidRPr="00AE13FA">
        <w:rPr>
          <w:rFonts w:cs="Times New Roman"/>
        </w:rPr>
        <w:t xml:space="preserve">law. </w:t>
      </w:r>
    </w:p>
    <w:p w14:paraId="347E1395" w14:textId="77777777" w:rsidR="009475CF" w:rsidRPr="000F087A" w:rsidRDefault="00543F4D" w:rsidP="009C3F01">
      <w:pPr>
        <w:pStyle w:val="StandardL2"/>
        <w:keepNext/>
        <w:rPr>
          <w:rFonts w:cs="Times New Roman"/>
        </w:rPr>
      </w:pPr>
      <w:bookmarkStart w:id="32" w:name="_Ref267496668"/>
      <w:r w:rsidRPr="00AE13FA">
        <w:rPr>
          <w:rFonts w:cs="Times New Roman"/>
        </w:rPr>
        <w:t>Exclusive Jurisdiction</w:t>
      </w:r>
      <w:bookmarkEnd w:id="32"/>
    </w:p>
    <w:p w14:paraId="63C21198" w14:textId="77777777" w:rsidR="009475CF" w:rsidRPr="000F087A" w:rsidRDefault="0071483C" w:rsidP="0071483C">
      <w:pPr>
        <w:pStyle w:val="BodyText1"/>
        <w:rPr>
          <w:rFonts w:cs="Times New Roman"/>
        </w:rPr>
      </w:pPr>
      <w:r w:rsidRPr="000F087A">
        <w:rPr>
          <w:rFonts w:cs="Times New Roman"/>
        </w:rPr>
        <w:t xml:space="preserve">The </w:t>
      </w:r>
      <w:r w:rsidR="00024D4D" w:rsidRPr="005F11E8">
        <w:t>Court of Justice of the European Union</w:t>
      </w:r>
      <w:r w:rsidR="00024D4D">
        <w:t xml:space="preserve">, </w:t>
      </w:r>
      <w:r w:rsidR="00024D4D" w:rsidRPr="005F11E8">
        <w:t xml:space="preserve">in accordance with Article 272 of the Treaty on the </w:t>
      </w:r>
      <w:r w:rsidR="00C63F78">
        <w:t>F</w:t>
      </w:r>
      <w:r w:rsidR="00024D4D" w:rsidRPr="005F11E8">
        <w:t>unctioning of the European Union</w:t>
      </w:r>
      <w:r w:rsidR="00024D4D">
        <w:t>,</w:t>
      </w:r>
      <w:r w:rsidR="00024D4D" w:rsidRPr="005F11E8">
        <w:t xml:space="preserve"> </w:t>
      </w:r>
      <w:r w:rsidR="00395435" w:rsidRPr="00AE13FA">
        <w:rPr>
          <w:rFonts w:cs="Times New Roman"/>
        </w:rPr>
        <w:t>shall</w:t>
      </w:r>
      <w:r w:rsidR="009475CF" w:rsidRPr="00AE13FA">
        <w:rPr>
          <w:rFonts w:cs="Times New Roman"/>
        </w:rPr>
        <w:t xml:space="preserve"> have exclusive jurisdiction to settle any dispute (a "</w:t>
      </w:r>
      <w:r w:rsidR="009475CF" w:rsidRPr="000F087A">
        <w:rPr>
          <w:rFonts w:cs="Times New Roman"/>
          <w:b/>
          <w:bCs/>
        </w:rPr>
        <w:t>Dispute</w:t>
      </w:r>
      <w:r w:rsidR="009475CF" w:rsidRPr="000F087A">
        <w:rPr>
          <w:rFonts w:cs="Times New Roman"/>
        </w:rPr>
        <w:t xml:space="preserve">"), arising out of or in connection with this Guarantee </w:t>
      </w:r>
      <w:r w:rsidR="005B4FE0">
        <w:rPr>
          <w:rFonts w:cs="Times New Roman"/>
        </w:rPr>
        <w:t xml:space="preserve">Agreement </w:t>
      </w:r>
      <w:r w:rsidR="009475CF" w:rsidRPr="000F087A">
        <w:rPr>
          <w:rFonts w:cs="Times New Roman"/>
        </w:rPr>
        <w:t>(including a dispute relating to the existence, validity or termination of this Guarantee</w:t>
      </w:r>
      <w:r w:rsidR="005B4FE0">
        <w:rPr>
          <w:rFonts w:cs="Times New Roman"/>
        </w:rPr>
        <w:t xml:space="preserve"> Agreement</w:t>
      </w:r>
      <w:r w:rsidR="009475CF" w:rsidRPr="000F087A">
        <w:rPr>
          <w:rFonts w:cs="Times New Roman"/>
        </w:rPr>
        <w:t xml:space="preserve"> or any non-contractual obligation arising out of or in connection with this Guarantee</w:t>
      </w:r>
      <w:r w:rsidR="005B4FE0">
        <w:rPr>
          <w:rFonts w:cs="Times New Roman"/>
        </w:rPr>
        <w:t xml:space="preserve"> Agreement</w:t>
      </w:r>
      <w:r w:rsidR="009475CF" w:rsidRPr="000F087A">
        <w:rPr>
          <w:rFonts w:cs="Times New Roman"/>
        </w:rPr>
        <w:t>) or the consequences of its nullity.</w:t>
      </w:r>
    </w:p>
    <w:p w14:paraId="2729E596" w14:textId="77777777" w:rsidR="00D95E93" w:rsidRPr="00D375FE" w:rsidRDefault="009C4EFB" w:rsidP="005160E4">
      <w:pPr>
        <w:pStyle w:val="BodyText"/>
        <w:rPr>
          <w:rFonts w:cs="Times New Roman"/>
        </w:rPr>
      </w:pPr>
      <w:r>
        <w:rPr>
          <w:rFonts w:cs="Times New Roman"/>
        </w:rPr>
        <w:t xml:space="preserve">All Clauses and terms stipulated herein have been duly noted and approved by </w:t>
      </w:r>
      <w:r w:rsidR="00B77D20" w:rsidRPr="0065131E">
        <w:t>[•]</w:t>
      </w:r>
      <w:r w:rsidR="00825819">
        <w:t xml:space="preserve">[in line with </w:t>
      </w:r>
      <w:r w:rsidR="001226A2" w:rsidRPr="0065131E">
        <w:t>•</w:t>
      </w:r>
      <w:r w:rsidR="001226A2">
        <w:rPr>
          <w:rStyle w:val="FootnoteReference"/>
        </w:rPr>
        <w:footnoteReference w:id="2"/>
      </w:r>
      <w:r w:rsidR="00825819">
        <w:t>]</w:t>
      </w:r>
      <w:r w:rsidR="00B77D20">
        <w:t xml:space="preserve"> and the Commission</w:t>
      </w:r>
      <w:r>
        <w:rPr>
          <w:rFonts w:cs="Times New Roman"/>
        </w:rPr>
        <w:t xml:space="preserve">. This Guarantee Agreement shall enter into force upon the date of signature by the last </w:t>
      </w:r>
      <w:r w:rsidR="00DA5F98">
        <w:rPr>
          <w:rFonts w:cs="Times New Roman"/>
        </w:rPr>
        <w:t>P</w:t>
      </w:r>
      <w:r>
        <w:rPr>
          <w:rFonts w:cs="Times New Roman"/>
        </w:rPr>
        <w:t>arty.</w:t>
      </w:r>
    </w:p>
    <w:p w14:paraId="0D597E84" w14:textId="34D56BB5" w:rsidR="00E3564F" w:rsidRPr="004E1EDA" w:rsidRDefault="009152FC" w:rsidP="00E3564F">
      <w:pPr>
        <w:pStyle w:val="BodyText"/>
        <w:rPr>
          <w:rFonts w:cs="Times New Roman"/>
        </w:rPr>
      </w:pPr>
      <w:r>
        <w:rPr>
          <w:rFonts w:cs="Times New Roman"/>
        </w:rPr>
        <w:t>Done in two originals, one for the Guarantor and for the Commission.</w:t>
      </w:r>
    </w:p>
    <w:p w14:paraId="3D574B52" w14:textId="77777777" w:rsidR="00145F3A" w:rsidRPr="005F55FE" w:rsidRDefault="00145F3A" w:rsidP="00E3564F">
      <w:pPr>
        <w:pStyle w:val="BodyText"/>
        <w:rPr>
          <w:rFonts w:cs="Times New Roman"/>
        </w:rPr>
      </w:pPr>
      <w:r w:rsidRPr="004E1EDA">
        <w:rPr>
          <w:rFonts w:cs="Times New Roman"/>
          <w:b/>
          <w:bCs/>
        </w:rPr>
        <w:t xml:space="preserve">EXECUTED </w:t>
      </w:r>
      <w:r w:rsidRPr="005F55FE">
        <w:rPr>
          <w:rFonts w:cs="Times New Roman"/>
        </w:rPr>
        <w:t xml:space="preserve">as a </w:t>
      </w:r>
      <w:r w:rsidR="009C4EFB">
        <w:rPr>
          <w:rFonts w:cs="Times New Roman"/>
        </w:rPr>
        <w:t>guarantee</w:t>
      </w:r>
      <w:r w:rsidR="009C4EFB" w:rsidRPr="005F55FE">
        <w:rPr>
          <w:rFonts w:cs="Times New Roman"/>
        </w:rPr>
        <w:t xml:space="preserve"> </w:t>
      </w:r>
    </w:p>
    <w:p w14:paraId="58F15990" w14:textId="77777777" w:rsidR="00145F3A" w:rsidRPr="004E7E8C" w:rsidRDefault="00482FC3" w:rsidP="00637738">
      <w:pPr>
        <w:pStyle w:val="BodyText"/>
        <w:jc w:val="left"/>
        <w:rPr>
          <w:rFonts w:cs="Times New Roman"/>
          <w:b/>
          <w:bCs/>
        </w:rPr>
      </w:pPr>
      <w:r>
        <w:rPr>
          <w:rFonts w:cs="Times New Roman"/>
          <w:b/>
          <w:bCs/>
        </w:rPr>
        <w:lastRenderedPageBreak/>
        <w:t xml:space="preserve">by </w:t>
      </w:r>
      <w:r w:rsidR="00E3564F" w:rsidRPr="004E7E8C">
        <w:rPr>
          <w:rFonts w:cs="Times New Roman"/>
          <w:b/>
          <w:bCs/>
        </w:rPr>
        <w:t>[</w:t>
      </w:r>
      <w:r w:rsidR="006713A4" w:rsidRPr="004E7E8C">
        <w:rPr>
          <w:rFonts w:cs="Times New Roman"/>
          <w:b/>
          <w:bCs/>
        </w:rPr>
        <w:t>NAME OF THE MEMBER STATE</w:t>
      </w:r>
      <w:r w:rsidR="00E3564F" w:rsidRPr="004E7E8C">
        <w:rPr>
          <w:rFonts w:cs="Times New Roman"/>
          <w:b/>
          <w:bCs/>
        </w:rPr>
        <w:t xml:space="preserve">] </w:t>
      </w:r>
    </w:p>
    <w:p w14:paraId="3E05BBCF" w14:textId="77777777" w:rsidR="00145F3A" w:rsidRPr="004E7E8C" w:rsidRDefault="00145F3A" w:rsidP="008172C0">
      <w:pPr>
        <w:pStyle w:val="BodyText"/>
        <w:jc w:val="left"/>
        <w:rPr>
          <w:rFonts w:cs="Times New Roman"/>
        </w:rPr>
      </w:pPr>
      <w:r w:rsidRPr="004E7E8C">
        <w:rPr>
          <w:rFonts w:cs="Times New Roman"/>
        </w:rPr>
        <w:t>Represented by:</w:t>
      </w:r>
    </w:p>
    <w:p w14:paraId="7D02CD83" w14:textId="77777777" w:rsidR="003B1E90" w:rsidRDefault="003B1E90" w:rsidP="00145F3A">
      <w:pPr>
        <w:pStyle w:val="BodyText"/>
        <w:jc w:val="left"/>
        <w:rPr>
          <w:rFonts w:cs="Times New Roman"/>
        </w:rPr>
      </w:pPr>
    </w:p>
    <w:p w14:paraId="6F930835" w14:textId="77777777" w:rsidR="003B1E90" w:rsidRDefault="003B1E90" w:rsidP="00145F3A">
      <w:pPr>
        <w:pStyle w:val="BodyText"/>
        <w:jc w:val="left"/>
        <w:rPr>
          <w:rFonts w:cs="Times New Roman"/>
        </w:rPr>
      </w:pPr>
    </w:p>
    <w:p w14:paraId="76AECF90" w14:textId="77777777" w:rsidR="00145F3A" w:rsidRDefault="009C4EFB" w:rsidP="00145F3A">
      <w:pPr>
        <w:pStyle w:val="BodyText"/>
        <w:jc w:val="left"/>
        <w:rPr>
          <w:rFonts w:cs="Times New Roman"/>
        </w:rPr>
      </w:pPr>
      <w:r>
        <w:rPr>
          <w:rFonts w:cs="Times New Roman"/>
        </w:rPr>
        <w:t>[NAME]</w:t>
      </w:r>
    </w:p>
    <w:p w14:paraId="2B5DC053" w14:textId="77777777" w:rsidR="009C4EFB" w:rsidRDefault="009C4EFB" w:rsidP="00145F3A">
      <w:pPr>
        <w:pStyle w:val="BodyText"/>
        <w:jc w:val="left"/>
        <w:rPr>
          <w:rFonts w:cs="Times New Roman"/>
        </w:rPr>
      </w:pPr>
      <w:r>
        <w:rPr>
          <w:rFonts w:cs="Times New Roman"/>
        </w:rPr>
        <w:t>[POSITION]</w:t>
      </w:r>
    </w:p>
    <w:p w14:paraId="46A7F11D" w14:textId="77777777" w:rsidR="009C4EFB" w:rsidRPr="004E7E8C" w:rsidRDefault="009C4EFB" w:rsidP="00145F3A">
      <w:pPr>
        <w:pStyle w:val="BodyText"/>
        <w:jc w:val="left"/>
        <w:rPr>
          <w:rFonts w:cs="Times New Roman"/>
        </w:rPr>
      </w:pPr>
      <w:r>
        <w:rPr>
          <w:rFonts w:cs="Times New Roman"/>
        </w:rPr>
        <w:t>[DATE OF SIGNATURE]</w:t>
      </w:r>
    </w:p>
    <w:p w14:paraId="33D9D1E2" w14:textId="77777777" w:rsidR="00145F3A" w:rsidRPr="006227D6" w:rsidRDefault="00145F3A" w:rsidP="00145F3A">
      <w:pPr>
        <w:pStyle w:val="BodyText"/>
        <w:jc w:val="left"/>
        <w:rPr>
          <w:rFonts w:cs="Times New Roman"/>
        </w:rPr>
      </w:pPr>
    </w:p>
    <w:p w14:paraId="4655979A" w14:textId="77777777" w:rsidR="00E6253C" w:rsidRPr="006227D6" w:rsidRDefault="00E6253C" w:rsidP="00E6253C">
      <w:pPr>
        <w:pStyle w:val="BodyText"/>
        <w:jc w:val="left"/>
        <w:rPr>
          <w:rFonts w:cs="Times New Roman"/>
        </w:rPr>
      </w:pPr>
      <w:r w:rsidRPr="006227D6">
        <w:rPr>
          <w:rFonts w:cs="Times New Roman"/>
          <w:b/>
          <w:bCs/>
        </w:rPr>
        <w:t xml:space="preserve">EXECUTED </w:t>
      </w:r>
      <w:r w:rsidRPr="006227D6">
        <w:rPr>
          <w:rFonts w:cs="Times New Roman"/>
        </w:rPr>
        <w:t xml:space="preserve">as a </w:t>
      </w:r>
      <w:r w:rsidR="009C4EFB">
        <w:rPr>
          <w:rFonts w:cs="Times New Roman"/>
        </w:rPr>
        <w:t>guarantee</w:t>
      </w:r>
      <w:r w:rsidR="009C4EFB" w:rsidRPr="006227D6">
        <w:rPr>
          <w:rFonts w:cs="Times New Roman"/>
        </w:rPr>
        <w:t xml:space="preserve"> </w:t>
      </w:r>
    </w:p>
    <w:p w14:paraId="5CA5DA3E" w14:textId="77777777" w:rsidR="00E6253C" w:rsidRPr="006227D6" w:rsidRDefault="00E6253C" w:rsidP="00E6253C">
      <w:pPr>
        <w:pStyle w:val="BodyText"/>
        <w:jc w:val="left"/>
        <w:rPr>
          <w:rFonts w:cs="Times New Roman"/>
          <w:b/>
          <w:bCs/>
        </w:rPr>
      </w:pPr>
      <w:r w:rsidRPr="006227D6">
        <w:rPr>
          <w:rFonts w:cs="Times New Roman"/>
          <w:b/>
          <w:bCs/>
        </w:rPr>
        <w:t xml:space="preserve">by </w:t>
      </w:r>
      <w:r w:rsidR="00E3564F" w:rsidRPr="006227D6">
        <w:rPr>
          <w:rFonts w:cs="Times New Roman"/>
          <w:b/>
          <w:bCs/>
        </w:rPr>
        <w:t xml:space="preserve">the </w:t>
      </w:r>
      <w:r w:rsidR="00482FC3">
        <w:rPr>
          <w:rFonts w:cs="Times New Roman"/>
          <w:b/>
          <w:bCs/>
        </w:rPr>
        <w:t xml:space="preserve">European </w:t>
      </w:r>
      <w:r w:rsidR="00E3564F" w:rsidRPr="006227D6">
        <w:rPr>
          <w:rFonts w:cs="Times New Roman"/>
          <w:b/>
          <w:bCs/>
        </w:rPr>
        <w:t xml:space="preserve">Commission </w:t>
      </w:r>
    </w:p>
    <w:p w14:paraId="61B25A8F" w14:textId="77777777" w:rsidR="00145F3A" w:rsidRPr="006227D6" w:rsidRDefault="00145F3A" w:rsidP="00E6253C">
      <w:pPr>
        <w:pStyle w:val="BodyText"/>
        <w:jc w:val="left"/>
        <w:rPr>
          <w:rFonts w:cs="Times New Roman"/>
        </w:rPr>
      </w:pPr>
      <w:r w:rsidRPr="006227D6">
        <w:rPr>
          <w:rFonts w:cs="Times New Roman"/>
        </w:rPr>
        <w:t>Represented by:</w:t>
      </w:r>
    </w:p>
    <w:p w14:paraId="1248F838" w14:textId="77777777" w:rsidR="003B1E90" w:rsidRDefault="003B1E90" w:rsidP="009C4EFB">
      <w:pPr>
        <w:pStyle w:val="BodyText"/>
        <w:jc w:val="left"/>
        <w:rPr>
          <w:rFonts w:cs="Times New Roman"/>
        </w:rPr>
      </w:pPr>
    </w:p>
    <w:p w14:paraId="14672EC6" w14:textId="77777777" w:rsidR="003B1E90" w:rsidRDefault="003B1E90" w:rsidP="009C4EFB">
      <w:pPr>
        <w:pStyle w:val="BodyText"/>
        <w:jc w:val="left"/>
        <w:rPr>
          <w:rFonts w:cs="Times New Roman"/>
        </w:rPr>
      </w:pPr>
    </w:p>
    <w:p w14:paraId="557A1EC5" w14:textId="77777777" w:rsidR="009C4EFB" w:rsidRDefault="009C4EFB" w:rsidP="009C4EFB">
      <w:pPr>
        <w:pStyle w:val="BodyText"/>
        <w:jc w:val="left"/>
        <w:rPr>
          <w:rFonts w:cs="Times New Roman"/>
        </w:rPr>
      </w:pPr>
      <w:r>
        <w:rPr>
          <w:rFonts w:cs="Times New Roman"/>
        </w:rPr>
        <w:t>[NAME]</w:t>
      </w:r>
    </w:p>
    <w:p w14:paraId="48FB584A" w14:textId="77777777" w:rsidR="009C4EFB" w:rsidRDefault="009C4EFB" w:rsidP="009C4EFB">
      <w:pPr>
        <w:pStyle w:val="BodyText"/>
        <w:jc w:val="left"/>
        <w:rPr>
          <w:rFonts w:cs="Times New Roman"/>
        </w:rPr>
      </w:pPr>
      <w:r>
        <w:rPr>
          <w:rFonts w:cs="Times New Roman"/>
        </w:rPr>
        <w:t>[POSITION]</w:t>
      </w:r>
    </w:p>
    <w:p w14:paraId="6D76D7DC" w14:textId="77777777" w:rsidR="005160E4" w:rsidRPr="006227D6" w:rsidRDefault="009C4EFB" w:rsidP="005160E4">
      <w:pPr>
        <w:pStyle w:val="BodyText"/>
        <w:jc w:val="left"/>
        <w:rPr>
          <w:rFonts w:cs="Times New Roman"/>
        </w:rPr>
      </w:pPr>
      <w:r>
        <w:rPr>
          <w:rFonts w:cs="Times New Roman"/>
        </w:rPr>
        <w:t>[DATE OF SIGNATURE]</w:t>
      </w:r>
    </w:p>
    <w:p w14:paraId="03440FFB" w14:textId="77777777" w:rsidR="009C3F01" w:rsidRPr="006227D6" w:rsidRDefault="009C3F01" w:rsidP="005160E4">
      <w:pPr>
        <w:pStyle w:val="BodyText"/>
        <w:jc w:val="left"/>
        <w:rPr>
          <w:rFonts w:cs="Times New Roman"/>
        </w:rPr>
      </w:pPr>
    </w:p>
    <w:p w14:paraId="6525C9CD" w14:textId="77777777" w:rsidR="005160E4" w:rsidRPr="00AE13FA" w:rsidRDefault="005160E4" w:rsidP="00D95E93">
      <w:pPr>
        <w:pStyle w:val="BodyText"/>
        <w:rPr>
          <w:rFonts w:cs="Times New Roman"/>
        </w:rPr>
        <w:sectPr w:rsidR="005160E4" w:rsidRPr="00AE13FA" w:rsidSect="003249B4">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340" w:gutter="0"/>
          <w:pgNumType w:start="1"/>
          <w:cols w:space="708"/>
          <w:titlePg/>
          <w:docGrid w:linePitch="360"/>
        </w:sectPr>
      </w:pPr>
    </w:p>
    <w:p w14:paraId="75BBB176" w14:textId="798868EB" w:rsidR="00C12EC3" w:rsidRPr="000F087A" w:rsidRDefault="003713B5" w:rsidP="005160E4">
      <w:pPr>
        <w:keepNext/>
        <w:keepLines/>
        <w:pageBreakBefore/>
        <w:spacing w:after="800"/>
        <w:jc w:val="center"/>
        <w:outlineLvl w:val="0"/>
        <w:rPr>
          <w:b/>
          <w:caps/>
        </w:rPr>
      </w:pPr>
      <w:r w:rsidRPr="00AE13FA">
        <w:rPr>
          <w:b/>
          <w:caps/>
        </w:rPr>
        <w:lastRenderedPageBreak/>
        <w:t>Schedule 1</w:t>
      </w:r>
      <w:r w:rsidRPr="000F087A">
        <w:rPr>
          <w:b/>
          <w:bCs/>
          <w:caps/>
        </w:rPr>
        <w:br/>
        <w:t xml:space="preserve">Guaranteed </w:t>
      </w:r>
      <w:r w:rsidR="00E95BB1">
        <w:rPr>
          <w:b/>
          <w:bCs/>
          <w:caps/>
        </w:rPr>
        <w:t>Contribution</w:t>
      </w:r>
      <w:r w:rsidR="00E95BB1" w:rsidRPr="000F087A">
        <w:rPr>
          <w:b/>
          <w:caps/>
        </w:rPr>
        <w:t xml:space="preserve"> </w:t>
      </w:r>
    </w:p>
    <w:tbl>
      <w:tblPr>
        <w:tblW w:w="8897" w:type="dxa"/>
        <w:tblLook w:val="0000" w:firstRow="0" w:lastRow="0" w:firstColumn="0" w:lastColumn="0" w:noHBand="0" w:noVBand="0"/>
      </w:tblPr>
      <w:tblGrid>
        <w:gridCol w:w="3240"/>
        <w:gridCol w:w="2137"/>
        <w:gridCol w:w="3520"/>
      </w:tblGrid>
      <w:tr w:rsidR="00C12EC3" w:rsidRPr="006227D6" w14:paraId="24B2A4D3" w14:textId="77777777" w:rsidTr="00F34748">
        <w:trPr>
          <w:trHeight w:val="315"/>
        </w:trPr>
        <w:tc>
          <w:tcPr>
            <w:tcW w:w="3240" w:type="dxa"/>
            <w:noWrap/>
          </w:tcPr>
          <w:p w14:paraId="3C93F39A" w14:textId="77777777" w:rsidR="00C12EC3" w:rsidRPr="000F087A" w:rsidRDefault="00C12EC3" w:rsidP="00F34748">
            <w:pPr>
              <w:spacing w:after="0"/>
              <w:jc w:val="center"/>
              <w:rPr>
                <w:b/>
                <w:bCs/>
              </w:rPr>
            </w:pPr>
            <w:r w:rsidRPr="000F087A">
              <w:rPr>
                <w:b/>
                <w:bCs/>
              </w:rPr>
              <w:br/>
            </w:r>
            <w:smartTag w:uri="urn:schemas-microsoft-com:office:smarttags" w:element="place">
              <w:smartTag w:uri="urn:schemas-microsoft-com:office:smarttags" w:element="PlaceName">
                <w:r w:rsidRPr="000F087A">
                  <w:rPr>
                    <w:b/>
                    <w:bCs/>
                  </w:rPr>
                  <w:t>Member</w:t>
                </w:r>
              </w:smartTag>
              <w:r w:rsidRPr="000F087A">
                <w:rPr>
                  <w:b/>
                  <w:bCs/>
                </w:rPr>
                <w:t xml:space="preserve"> </w:t>
              </w:r>
              <w:smartTag w:uri="urn:schemas-microsoft-com:office:smarttags" w:element="PlaceType">
                <w:r w:rsidRPr="000F087A">
                  <w:rPr>
                    <w:b/>
                    <w:bCs/>
                  </w:rPr>
                  <w:t>State</w:t>
                </w:r>
              </w:smartTag>
            </w:smartTag>
          </w:p>
        </w:tc>
        <w:tc>
          <w:tcPr>
            <w:tcW w:w="2137" w:type="dxa"/>
          </w:tcPr>
          <w:p w14:paraId="12F53EFA" w14:textId="77777777" w:rsidR="00C12EC3" w:rsidRPr="00D375FE" w:rsidRDefault="00C12EC3" w:rsidP="00F34748">
            <w:pPr>
              <w:spacing w:after="0"/>
              <w:jc w:val="center"/>
              <w:rPr>
                <w:b/>
                <w:bCs/>
              </w:rPr>
            </w:pPr>
          </w:p>
        </w:tc>
        <w:tc>
          <w:tcPr>
            <w:tcW w:w="3520" w:type="dxa"/>
          </w:tcPr>
          <w:p w14:paraId="657DC31A" w14:textId="77777777" w:rsidR="00C12EC3" w:rsidRPr="005F55FE" w:rsidRDefault="00C12EC3" w:rsidP="00DE7676">
            <w:pPr>
              <w:spacing w:after="0"/>
              <w:jc w:val="center"/>
              <w:rPr>
                <w:b/>
                <w:bCs/>
              </w:rPr>
            </w:pPr>
            <w:r w:rsidRPr="004E1EDA">
              <w:rPr>
                <w:b/>
                <w:bCs/>
              </w:rPr>
              <w:br/>
              <w:t>Amount (EUR)</w:t>
            </w:r>
          </w:p>
        </w:tc>
      </w:tr>
      <w:tr w:rsidR="00DE7676" w:rsidRPr="006227D6" w14:paraId="58DB59E4" w14:textId="77777777" w:rsidTr="00F34748">
        <w:trPr>
          <w:trHeight w:val="315"/>
        </w:trPr>
        <w:tc>
          <w:tcPr>
            <w:tcW w:w="3240" w:type="dxa"/>
            <w:noWrap/>
          </w:tcPr>
          <w:p w14:paraId="7469E719" w14:textId="77777777" w:rsidR="00DE7676" w:rsidRPr="006227D6" w:rsidRDefault="00DE7676" w:rsidP="00DE7676">
            <w:pPr>
              <w:spacing w:after="0" w:line="276" w:lineRule="auto"/>
            </w:pPr>
            <w:smartTag w:uri="urn:schemas-microsoft-com:office:smarttags" w:element="PlaceType">
              <w:r w:rsidRPr="006227D6">
                <w:t>Kingdom</w:t>
              </w:r>
            </w:smartTag>
            <w:r w:rsidRPr="006227D6">
              <w:t xml:space="preserve"> of Belgium</w:t>
            </w:r>
          </w:p>
          <w:p w14:paraId="1DD3AFFB" w14:textId="77777777" w:rsidR="00DE7676" w:rsidRPr="006227D6" w:rsidRDefault="00DE7676" w:rsidP="00DE7676">
            <w:pPr>
              <w:spacing w:after="0" w:line="276" w:lineRule="auto"/>
            </w:pPr>
            <w:r w:rsidRPr="006227D6">
              <w:t>Republic of Bulgaria</w:t>
            </w:r>
          </w:p>
          <w:p w14:paraId="5D12FA70" w14:textId="77777777" w:rsidR="00DE7676" w:rsidRPr="006227D6" w:rsidRDefault="00DE7676" w:rsidP="00DE7676">
            <w:pPr>
              <w:spacing w:after="0" w:line="276" w:lineRule="auto"/>
            </w:pPr>
            <w:r w:rsidRPr="006227D6">
              <w:t>Czech Republic</w:t>
            </w:r>
          </w:p>
          <w:p w14:paraId="3C1E74C0" w14:textId="77777777" w:rsidR="00DE7676" w:rsidRPr="006227D6" w:rsidRDefault="00DE7676" w:rsidP="00DE7676">
            <w:pPr>
              <w:spacing w:after="0" w:line="276" w:lineRule="auto"/>
            </w:pPr>
            <w:r w:rsidRPr="006227D6">
              <w:t>Kingdom of Denmark</w:t>
            </w:r>
          </w:p>
        </w:tc>
        <w:tc>
          <w:tcPr>
            <w:tcW w:w="2137" w:type="dxa"/>
          </w:tcPr>
          <w:p w14:paraId="7771D053" w14:textId="77777777" w:rsidR="00DE7676" w:rsidRPr="006227D6" w:rsidRDefault="00DE7676" w:rsidP="00DE7676">
            <w:pPr>
              <w:spacing w:after="0" w:line="276" w:lineRule="auto"/>
              <w:ind w:right="567"/>
              <w:jc w:val="right"/>
            </w:pPr>
          </w:p>
        </w:tc>
        <w:tc>
          <w:tcPr>
            <w:tcW w:w="3520" w:type="dxa"/>
          </w:tcPr>
          <w:p w14:paraId="6451F38A" w14:textId="77777777" w:rsidR="00DE7676" w:rsidRPr="006227D6" w:rsidRDefault="00DE7676" w:rsidP="00DE7676">
            <w:pPr>
              <w:spacing w:after="0" w:line="276" w:lineRule="auto"/>
              <w:ind w:right="567"/>
              <w:jc w:val="right"/>
            </w:pPr>
            <w:r w:rsidRPr="006227D6">
              <w:t>838</w:t>
            </w:r>
            <w:r>
              <w:t xml:space="preserve"> 224 </w:t>
            </w:r>
            <w:r w:rsidR="00965C62">
              <w:t>250</w:t>
            </w:r>
          </w:p>
          <w:p w14:paraId="36F8EAD9" w14:textId="77777777" w:rsidR="00DE7676" w:rsidRPr="006227D6" w:rsidRDefault="00DE7676" w:rsidP="00DE7676">
            <w:pPr>
              <w:spacing w:after="0" w:line="276" w:lineRule="auto"/>
              <w:ind w:right="567"/>
              <w:jc w:val="right"/>
            </w:pPr>
            <w:r w:rsidRPr="006227D6">
              <w:t>107</w:t>
            </w:r>
            <w:r>
              <w:t xml:space="preserve"> 466 5</w:t>
            </w:r>
            <w:r w:rsidR="00965C62">
              <w:t>00</w:t>
            </w:r>
          </w:p>
          <w:p w14:paraId="06564806" w14:textId="77777777" w:rsidR="00DE7676" w:rsidRPr="006227D6" w:rsidRDefault="00DE7676" w:rsidP="00DE7676">
            <w:pPr>
              <w:spacing w:after="0" w:line="276" w:lineRule="auto"/>
              <w:ind w:right="567"/>
              <w:jc w:val="right"/>
            </w:pPr>
            <w:r w:rsidRPr="006227D6">
              <w:t>37</w:t>
            </w:r>
            <w:r>
              <w:t xml:space="preserve">4 538 </w:t>
            </w:r>
            <w:r w:rsidR="00965C62">
              <w:t>500</w:t>
            </w:r>
          </w:p>
          <w:p w14:paraId="3715C2B5" w14:textId="77777777" w:rsidR="00DE7676" w:rsidRPr="006227D6" w:rsidRDefault="00DE7676" w:rsidP="00965C62">
            <w:pPr>
              <w:spacing w:after="0" w:line="276" w:lineRule="auto"/>
              <w:ind w:right="567"/>
              <w:jc w:val="right"/>
            </w:pPr>
            <w:r w:rsidRPr="006227D6">
              <w:t>56</w:t>
            </w:r>
            <w:r>
              <w:t xml:space="preserve">3 837 </w:t>
            </w:r>
            <w:r w:rsidR="00965C62">
              <w:t>750</w:t>
            </w:r>
          </w:p>
        </w:tc>
      </w:tr>
      <w:tr w:rsidR="00DE7676" w:rsidRPr="006227D6" w14:paraId="72F5BD41" w14:textId="77777777" w:rsidTr="00F34748">
        <w:trPr>
          <w:trHeight w:val="315"/>
        </w:trPr>
        <w:tc>
          <w:tcPr>
            <w:tcW w:w="3240" w:type="dxa"/>
            <w:noWrap/>
          </w:tcPr>
          <w:p w14:paraId="72146C3F" w14:textId="77777777" w:rsidR="00DE7676" w:rsidRPr="006227D6" w:rsidRDefault="00DE7676" w:rsidP="00DE7676">
            <w:pPr>
              <w:spacing w:after="0" w:line="276" w:lineRule="auto"/>
            </w:pPr>
            <w:r w:rsidRPr="006227D6">
              <w:t>Federal Republic of Germany</w:t>
            </w:r>
          </w:p>
          <w:p w14:paraId="1489A6B9" w14:textId="77777777" w:rsidR="00DE7676" w:rsidRPr="006227D6" w:rsidRDefault="00DE7676" w:rsidP="00DE7676">
            <w:pPr>
              <w:spacing w:after="0" w:line="276" w:lineRule="auto"/>
            </w:pPr>
            <w:r w:rsidRPr="006227D6">
              <w:t xml:space="preserve">Republic of Estonia  </w:t>
            </w:r>
          </w:p>
        </w:tc>
        <w:tc>
          <w:tcPr>
            <w:tcW w:w="2137" w:type="dxa"/>
          </w:tcPr>
          <w:p w14:paraId="7FCDC82B" w14:textId="77777777" w:rsidR="00DE7676" w:rsidRPr="006227D6" w:rsidRDefault="00DE7676" w:rsidP="00DE7676">
            <w:pPr>
              <w:spacing w:after="0" w:line="276" w:lineRule="auto"/>
              <w:ind w:right="567"/>
              <w:jc w:val="right"/>
            </w:pPr>
          </w:p>
        </w:tc>
        <w:tc>
          <w:tcPr>
            <w:tcW w:w="3520" w:type="dxa"/>
          </w:tcPr>
          <w:p w14:paraId="148505F8" w14:textId="77777777" w:rsidR="00DE7676" w:rsidRPr="006227D6" w:rsidRDefault="00DE7676" w:rsidP="00DE7676">
            <w:pPr>
              <w:spacing w:after="0" w:line="276" w:lineRule="auto"/>
              <w:ind w:right="567"/>
              <w:jc w:val="right"/>
            </w:pPr>
            <w:r w:rsidRPr="006227D6">
              <w:t>6</w:t>
            </w:r>
            <w:r>
              <w:t xml:space="preserve"> </w:t>
            </w:r>
            <w:r w:rsidRPr="006227D6">
              <w:t>38</w:t>
            </w:r>
            <w:r>
              <w:t>3 8</w:t>
            </w:r>
            <w:r w:rsidR="00965C62">
              <w:t>20</w:t>
            </w:r>
            <w:r>
              <w:t xml:space="preserve"> </w:t>
            </w:r>
            <w:r w:rsidR="00965C62">
              <w:t>000</w:t>
            </w:r>
          </w:p>
          <w:p w14:paraId="4E42C7BF" w14:textId="77777777" w:rsidR="00DE7676" w:rsidRPr="006227D6" w:rsidRDefault="00DE7676" w:rsidP="00965C62">
            <w:pPr>
              <w:spacing w:after="0" w:line="276" w:lineRule="auto"/>
              <w:ind w:right="567"/>
              <w:jc w:val="right"/>
            </w:pPr>
            <w:r w:rsidRPr="006227D6">
              <w:t>4</w:t>
            </w:r>
            <w:r>
              <w:t xml:space="preserve">8 716 </w:t>
            </w:r>
            <w:r w:rsidR="00965C62">
              <w:t>500</w:t>
            </w:r>
          </w:p>
        </w:tc>
      </w:tr>
      <w:tr w:rsidR="00DE7676" w:rsidRPr="006227D6" w14:paraId="0F7B5B11" w14:textId="77777777" w:rsidTr="00F34748">
        <w:trPr>
          <w:trHeight w:val="315"/>
        </w:trPr>
        <w:tc>
          <w:tcPr>
            <w:tcW w:w="3240" w:type="dxa"/>
            <w:noWrap/>
          </w:tcPr>
          <w:p w14:paraId="586A62C5" w14:textId="77777777" w:rsidR="00DE7676" w:rsidRPr="006227D6" w:rsidRDefault="00DE7676" w:rsidP="00DE7676">
            <w:pPr>
              <w:spacing w:after="0" w:line="276" w:lineRule="auto"/>
            </w:pPr>
            <w:r w:rsidRPr="006227D6">
              <w:t>Ireland</w:t>
            </w:r>
          </w:p>
          <w:p w14:paraId="045BF8A9" w14:textId="77777777" w:rsidR="00DE7676" w:rsidRPr="006227D6" w:rsidRDefault="00DE7676" w:rsidP="00DE7676">
            <w:pPr>
              <w:spacing w:after="0" w:line="276" w:lineRule="auto"/>
            </w:pPr>
            <w:r w:rsidRPr="006227D6">
              <w:t xml:space="preserve">Hellenic Republic </w:t>
            </w:r>
          </w:p>
        </w:tc>
        <w:tc>
          <w:tcPr>
            <w:tcW w:w="2137" w:type="dxa"/>
          </w:tcPr>
          <w:p w14:paraId="575F1DBF" w14:textId="77777777" w:rsidR="00DE7676" w:rsidRPr="006227D6" w:rsidRDefault="00DE7676" w:rsidP="00DE7676">
            <w:pPr>
              <w:spacing w:after="0" w:line="276" w:lineRule="auto"/>
              <w:ind w:right="567"/>
              <w:jc w:val="right"/>
            </w:pPr>
          </w:p>
        </w:tc>
        <w:tc>
          <w:tcPr>
            <w:tcW w:w="3520" w:type="dxa"/>
          </w:tcPr>
          <w:p w14:paraId="7705049F" w14:textId="77777777" w:rsidR="00DE7676" w:rsidRPr="006227D6" w:rsidRDefault="00DE7676" w:rsidP="00DE7676">
            <w:pPr>
              <w:spacing w:after="0" w:line="276" w:lineRule="auto"/>
              <w:ind w:right="567"/>
              <w:jc w:val="right"/>
            </w:pPr>
            <w:r w:rsidRPr="006227D6">
              <w:t>483</w:t>
            </w:r>
            <w:r>
              <w:t xml:space="preserve"> 401 </w:t>
            </w:r>
            <w:r w:rsidR="00965C62">
              <w:t>250</w:t>
            </w:r>
          </w:p>
          <w:p w14:paraId="168F389B" w14:textId="77777777" w:rsidR="00DE7676" w:rsidRPr="006227D6" w:rsidRDefault="00DE7676" w:rsidP="00965C62">
            <w:pPr>
              <w:spacing w:after="0" w:line="276" w:lineRule="auto"/>
              <w:ind w:right="567"/>
              <w:jc w:val="right"/>
            </w:pPr>
            <w:r w:rsidRPr="006227D6">
              <w:t>34</w:t>
            </w:r>
            <w:r>
              <w:t xml:space="preserve">2 618 </w:t>
            </w:r>
            <w:r w:rsidR="00965C62">
              <w:t>750</w:t>
            </w:r>
          </w:p>
        </w:tc>
      </w:tr>
      <w:tr w:rsidR="00DE7676" w:rsidRPr="006227D6" w14:paraId="2D1B1397" w14:textId="77777777" w:rsidTr="00F34748">
        <w:trPr>
          <w:trHeight w:val="315"/>
        </w:trPr>
        <w:tc>
          <w:tcPr>
            <w:tcW w:w="3240" w:type="dxa"/>
            <w:noWrap/>
          </w:tcPr>
          <w:p w14:paraId="0A615CF7" w14:textId="77777777" w:rsidR="00DE7676" w:rsidRPr="006227D6" w:rsidRDefault="00DE7676" w:rsidP="00DE7676">
            <w:pPr>
              <w:spacing w:after="0" w:line="276" w:lineRule="auto"/>
            </w:pPr>
            <w:smartTag w:uri="urn:schemas-microsoft-com:office:smarttags" w:element="place">
              <w:smartTag w:uri="urn:schemas-microsoft-com:office:smarttags" w:element="PlaceType">
                <w:r w:rsidRPr="006227D6">
                  <w:t>Kingdom</w:t>
                </w:r>
              </w:smartTag>
              <w:r w:rsidRPr="006227D6">
                <w:t xml:space="preserve"> of </w:t>
              </w:r>
              <w:smartTag w:uri="urn:schemas-microsoft-com:office:smarttags" w:element="PlaceName">
                <w:r w:rsidRPr="006227D6">
                  <w:t>Spain</w:t>
                </w:r>
              </w:smartTag>
            </w:smartTag>
          </w:p>
        </w:tc>
        <w:tc>
          <w:tcPr>
            <w:tcW w:w="2137" w:type="dxa"/>
          </w:tcPr>
          <w:p w14:paraId="543835A3" w14:textId="77777777" w:rsidR="00DE7676" w:rsidRPr="006227D6" w:rsidRDefault="00DE7676" w:rsidP="00DE7676">
            <w:pPr>
              <w:spacing w:after="0" w:line="276" w:lineRule="auto"/>
              <w:ind w:right="567"/>
              <w:jc w:val="right"/>
            </w:pPr>
          </w:p>
        </w:tc>
        <w:tc>
          <w:tcPr>
            <w:tcW w:w="3520" w:type="dxa"/>
          </w:tcPr>
          <w:p w14:paraId="0B6E9A1D" w14:textId="77777777" w:rsidR="00DE7676" w:rsidRPr="006227D6" w:rsidRDefault="00DE7676" w:rsidP="00965C62">
            <w:pPr>
              <w:spacing w:after="0" w:line="276" w:lineRule="auto"/>
              <w:ind w:right="567"/>
              <w:jc w:val="right"/>
            </w:pPr>
            <w:r w:rsidRPr="006227D6">
              <w:t>2</w:t>
            </w:r>
            <w:r>
              <w:t xml:space="preserve"> </w:t>
            </w:r>
            <w:r w:rsidRPr="006227D6">
              <w:t>25</w:t>
            </w:r>
            <w:r>
              <w:t xml:space="preserve">2 890 </w:t>
            </w:r>
            <w:r w:rsidR="00965C62">
              <w:t>750</w:t>
            </w:r>
          </w:p>
        </w:tc>
      </w:tr>
      <w:tr w:rsidR="00DE7676" w:rsidRPr="006227D6" w14:paraId="13306F75" w14:textId="77777777" w:rsidTr="00F34748">
        <w:trPr>
          <w:trHeight w:val="315"/>
        </w:trPr>
        <w:tc>
          <w:tcPr>
            <w:tcW w:w="3240" w:type="dxa"/>
            <w:noWrap/>
          </w:tcPr>
          <w:p w14:paraId="02CB6585" w14:textId="77777777" w:rsidR="00DE7676" w:rsidRPr="006227D6" w:rsidRDefault="00DE7676" w:rsidP="00DE7676">
            <w:pPr>
              <w:spacing w:after="0" w:line="276" w:lineRule="auto"/>
            </w:pPr>
            <w:smartTag w:uri="urn:schemas-microsoft-com:office:smarttags" w:element="PlaceName">
              <w:r w:rsidRPr="006227D6">
                <w:t>French</w:t>
              </w:r>
            </w:smartTag>
            <w:r w:rsidRPr="006227D6">
              <w:t xml:space="preserve"> Republic</w:t>
            </w:r>
          </w:p>
          <w:p w14:paraId="500254BD" w14:textId="77777777" w:rsidR="00DE7676" w:rsidRPr="006227D6" w:rsidRDefault="00DE7676" w:rsidP="00DE7676">
            <w:pPr>
              <w:spacing w:after="0" w:line="276" w:lineRule="auto"/>
            </w:pPr>
            <w:r w:rsidRPr="006227D6">
              <w:t>Republic of Croatia</w:t>
            </w:r>
          </w:p>
        </w:tc>
        <w:tc>
          <w:tcPr>
            <w:tcW w:w="2137" w:type="dxa"/>
          </w:tcPr>
          <w:p w14:paraId="0479C410" w14:textId="77777777" w:rsidR="00DE7676" w:rsidRPr="006227D6" w:rsidRDefault="00DE7676" w:rsidP="00DE7676">
            <w:pPr>
              <w:spacing w:after="0" w:line="276" w:lineRule="auto"/>
              <w:ind w:right="567"/>
              <w:jc w:val="right"/>
            </w:pPr>
          </w:p>
        </w:tc>
        <w:tc>
          <w:tcPr>
            <w:tcW w:w="3520" w:type="dxa"/>
          </w:tcPr>
          <w:p w14:paraId="4E63456C" w14:textId="77777777" w:rsidR="00DE7676" w:rsidRPr="006227D6" w:rsidRDefault="00DE7676" w:rsidP="00DE7676">
            <w:pPr>
              <w:spacing w:after="0" w:line="276" w:lineRule="auto"/>
              <w:ind w:right="567"/>
              <w:jc w:val="right"/>
            </w:pPr>
            <w:r w:rsidRPr="006227D6">
              <w:t>4</w:t>
            </w:r>
            <w:r>
              <w:t xml:space="preserve"> </w:t>
            </w:r>
            <w:r w:rsidRPr="006227D6">
              <w:t>40</w:t>
            </w:r>
            <w:r>
              <w:t xml:space="preserve">6 976 </w:t>
            </w:r>
            <w:r w:rsidR="00965C62">
              <w:t>250</w:t>
            </w:r>
          </w:p>
          <w:p w14:paraId="516B0F22" w14:textId="77777777" w:rsidR="00DE7676" w:rsidRPr="006227D6" w:rsidRDefault="00DE7676" w:rsidP="00965C62">
            <w:pPr>
              <w:spacing w:after="0" w:line="276" w:lineRule="auto"/>
              <w:ind w:right="567"/>
              <w:jc w:val="right"/>
            </w:pPr>
            <w:r w:rsidRPr="006227D6">
              <w:t>9</w:t>
            </w:r>
            <w:r>
              <w:t xml:space="preserve">5 693 </w:t>
            </w:r>
            <w:r w:rsidR="00965C62">
              <w:t>500</w:t>
            </w:r>
          </w:p>
        </w:tc>
      </w:tr>
      <w:tr w:rsidR="00DE7676" w:rsidRPr="006227D6" w14:paraId="2640E442" w14:textId="77777777" w:rsidTr="00F34748">
        <w:trPr>
          <w:trHeight w:val="315"/>
        </w:trPr>
        <w:tc>
          <w:tcPr>
            <w:tcW w:w="3240" w:type="dxa"/>
            <w:noWrap/>
          </w:tcPr>
          <w:p w14:paraId="4430A8C1" w14:textId="77777777" w:rsidR="00DE7676" w:rsidRPr="006227D6" w:rsidRDefault="00DE7676" w:rsidP="00DE7676">
            <w:pPr>
              <w:spacing w:after="0" w:line="276" w:lineRule="auto"/>
            </w:pPr>
            <w:smartTag w:uri="urn:schemas-microsoft-com:office:smarttags" w:element="place">
              <w:smartTag w:uri="urn:schemas-microsoft-com:office:smarttags" w:element="PlaceName">
                <w:r w:rsidRPr="006227D6">
                  <w:t>Italian</w:t>
                </w:r>
              </w:smartTag>
              <w:r w:rsidRPr="006227D6">
                <w:t xml:space="preserve"> </w:t>
              </w:r>
              <w:smartTag w:uri="urn:schemas-microsoft-com:office:smarttags" w:element="PlaceType">
                <w:r w:rsidRPr="006227D6">
                  <w:t>Republic</w:t>
                </w:r>
              </w:smartTag>
            </w:smartTag>
          </w:p>
        </w:tc>
        <w:tc>
          <w:tcPr>
            <w:tcW w:w="2137" w:type="dxa"/>
          </w:tcPr>
          <w:p w14:paraId="19C6D85F" w14:textId="77777777" w:rsidR="00DE7676" w:rsidRPr="006227D6" w:rsidRDefault="00DE7676" w:rsidP="00DE7676">
            <w:pPr>
              <w:spacing w:after="0" w:line="276" w:lineRule="auto"/>
              <w:ind w:right="567"/>
              <w:jc w:val="right"/>
            </w:pPr>
          </w:p>
        </w:tc>
        <w:tc>
          <w:tcPr>
            <w:tcW w:w="3520" w:type="dxa"/>
          </w:tcPr>
          <w:p w14:paraId="7C676955" w14:textId="77777777" w:rsidR="00DE7676" w:rsidRPr="006227D6" w:rsidRDefault="00DE7676" w:rsidP="00965C62">
            <w:pPr>
              <w:spacing w:after="0" w:line="276" w:lineRule="auto"/>
              <w:ind w:right="567"/>
              <w:jc w:val="right"/>
            </w:pPr>
            <w:r w:rsidRPr="006227D6">
              <w:t>3</w:t>
            </w:r>
            <w:r>
              <w:t xml:space="preserve"> </w:t>
            </w:r>
            <w:r w:rsidRPr="006227D6">
              <w:t>18</w:t>
            </w:r>
            <w:r>
              <w:t>3 786 0</w:t>
            </w:r>
            <w:r w:rsidR="00965C62">
              <w:t>00</w:t>
            </w:r>
          </w:p>
        </w:tc>
      </w:tr>
      <w:tr w:rsidR="00DE7676" w:rsidRPr="006227D6" w14:paraId="10B41DAA" w14:textId="77777777" w:rsidTr="00F34748">
        <w:trPr>
          <w:trHeight w:val="315"/>
        </w:trPr>
        <w:tc>
          <w:tcPr>
            <w:tcW w:w="3240" w:type="dxa"/>
            <w:noWrap/>
          </w:tcPr>
          <w:p w14:paraId="22816D8D" w14:textId="77777777" w:rsidR="00DE7676" w:rsidRPr="006227D6" w:rsidRDefault="00DE7676" w:rsidP="00DE7676">
            <w:pPr>
              <w:spacing w:after="0" w:line="276" w:lineRule="auto"/>
            </w:pPr>
            <w:smartTag w:uri="urn:schemas-microsoft-com:office:smarttags" w:element="PlaceType">
              <w:r w:rsidRPr="006227D6">
                <w:t>Republic</w:t>
              </w:r>
            </w:smartTag>
            <w:r w:rsidRPr="006227D6">
              <w:t xml:space="preserve"> of Cyprus</w:t>
            </w:r>
          </w:p>
          <w:p w14:paraId="5A548F31" w14:textId="77777777" w:rsidR="00DE7676" w:rsidRPr="006227D6" w:rsidRDefault="00DE7676" w:rsidP="00DE7676">
            <w:pPr>
              <w:spacing w:after="0" w:line="276" w:lineRule="auto"/>
            </w:pPr>
            <w:r w:rsidRPr="006227D6">
              <w:t>Republic of Latvia</w:t>
            </w:r>
          </w:p>
          <w:p w14:paraId="790623E3" w14:textId="77777777" w:rsidR="00DE7676" w:rsidRPr="006227D6" w:rsidRDefault="00DE7676" w:rsidP="00DE7676">
            <w:pPr>
              <w:spacing w:after="0" w:line="276" w:lineRule="auto"/>
            </w:pPr>
            <w:r w:rsidRPr="006227D6">
              <w:t xml:space="preserve">Republic of Lithuania </w:t>
            </w:r>
          </w:p>
        </w:tc>
        <w:tc>
          <w:tcPr>
            <w:tcW w:w="2137" w:type="dxa"/>
          </w:tcPr>
          <w:p w14:paraId="7B9BBA8A" w14:textId="77777777" w:rsidR="00DE7676" w:rsidRPr="006227D6" w:rsidRDefault="00DE7676" w:rsidP="00DE7676">
            <w:pPr>
              <w:spacing w:after="0" w:line="276" w:lineRule="auto"/>
              <w:ind w:right="567"/>
              <w:jc w:val="right"/>
            </w:pPr>
          </w:p>
        </w:tc>
        <w:tc>
          <w:tcPr>
            <w:tcW w:w="3520" w:type="dxa"/>
          </w:tcPr>
          <w:p w14:paraId="205042BC" w14:textId="77777777" w:rsidR="00DE7676" w:rsidRPr="006227D6" w:rsidRDefault="00DE7676" w:rsidP="00DE7676">
            <w:pPr>
              <w:spacing w:after="0" w:line="276" w:lineRule="auto"/>
              <w:ind w:right="567"/>
              <w:jc w:val="right"/>
            </w:pPr>
            <w:r w:rsidRPr="006227D6">
              <w:t>38</w:t>
            </w:r>
            <w:r>
              <w:t xml:space="preserve"> 114 </w:t>
            </w:r>
            <w:r w:rsidR="00965C62">
              <w:t>750</w:t>
            </w:r>
          </w:p>
          <w:p w14:paraId="421CF0DA" w14:textId="77777777" w:rsidR="00DE7676" w:rsidRPr="006227D6" w:rsidRDefault="00DE7676" w:rsidP="00DE7676">
            <w:pPr>
              <w:spacing w:after="0" w:line="276" w:lineRule="auto"/>
              <w:ind w:right="567"/>
              <w:jc w:val="right"/>
            </w:pPr>
            <w:r w:rsidRPr="006227D6">
              <w:t>57</w:t>
            </w:r>
            <w:r>
              <w:t xml:space="preserve"> 070 </w:t>
            </w:r>
            <w:r w:rsidR="00965C62">
              <w:t>750</w:t>
            </w:r>
          </w:p>
          <w:p w14:paraId="6B50AAC4" w14:textId="77777777" w:rsidR="00DE7676" w:rsidRPr="006227D6" w:rsidRDefault="00DE7676" w:rsidP="00965C62">
            <w:pPr>
              <w:spacing w:after="0" w:line="276" w:lineRule="auto"/>
              <w:ind w:right="567"/>
              <w:jc w:val="right"/>
            </w:pPr>
            <w:r w:rsidRPr="006227D6">
              <w:t>8</w:t>
            </w:r>
            <w:r>
              <w:t xml:space="preserve">3 953 </w:t>
            </w:r>
            <w:r w:rsidR="00965C62">
              <w:t>500</w:t>
            </w:r>
            <w:r w:rsidR="00965C62" w:rsidRPr="006227D6">
              <w:t xml:space="preserve"> </w:t>
            </w:r>
          </w:p>
        </w:tc>
      </w:tr>
      <w:tr w:rsidR="00DE7676" w:rsidRPr="006227D6" w14:paraId="21EF8696" w14:textId="77777777" w:rsidTr="00F34748">
        <w:trPr>
          <w:trHeight w:val="315"/>
        </w:trPr>
        <w:tc>
          <w:tcPr>
            <w:tcW w:w="3240" w:type="dxa"/>
            <w:noWrap/>
          </w:tcPr>
          <w:p w14:paraId="68E2AAFE" w14:textId="77777777" w:rsidR="00DE7676" w:rsidRPr="006227D6" w:rsidRDefault="00DE7676" w:rsidP="00DE7676">
            <w:pPr>
              <w:spacing w:after="0" w:line="276" w:lineRule="auto"/>
            </w:pPr>
            <w:r w:rsidRPr="006227D6">
              <w:t>Grand Duchy of Luxembourg</w:t>
            </w:r>
          </w:p>
          <w:p w14:paraId="5AC6C0DE" w14:textId="77777777" w:rsidR="00DE7676" w:rsidRPr="006227D6" w:rsidRDefault="00DE7676" w:rsidP="00DE7676">
            <w:pPr>
              <w:spacing w:after="0" w:line="276" w:lineRule="auto"/>
            </w:pPr>
            <w:r w:rsidRPr="006227D6">
              <w:t xml:space="preserve">Hungary </w:t>
            </w:r>
          </w:p>
        </w:tc>
        <w:tc>
          <w:tcPr>
            <w:tcW w:w="2137" w:type="dxa"/>
          </w:tcPr>
          <w:p w14:paraId="15E1E263" w14:textId="77777777" w:rsidR="00DE7676" w:rsidRPr="006227D6" w:rsidRDefault="00DE7676" w:rsidP="00DE7676">
            <w:pPr>
              <w:spacing w:after="0" w:line="276" w:lineRule="auto"/>
              <w:ind w:right="567"/>
              <w:jc w:val="right"/>
            </w:pPr>
          </w:p>
        </w:tc>
        <w:tc>
          <w:tcPr>
            <w:tcW w:w="3520" w:type="dxa"/>
          </w:tcPr>
          <w:p w14:paraId="15B6AC5C" w14:textId="77777777" w:rsidR="00DE7676" w:rsidRPr="006227D6" w:rsidRDefault="00DE7676" w:rsidP="00DE7676">
            <w:pPr>
              <w:spacing w:after="0" w:line="276" w:lineRule="auto"/>
              <w:ind w:right="567"/>
              <w:jc w:val="right"/>
            </w:pPr>
            <w:r w:rsidRPr="006227D6">
              <w:t>7</w:t>
            </w:r>
            <w:r>
              <w:t>6 856 7</w:t>
            </w:r>
            <w:r w:rsidR="00965C62">
              <w:t>50</w:t>
            </w:r>
          </w:p>
          <w:p w14:paraId="1BFF0856" w14:textId="77777777" w:rsidR="00DE7676" w:rsidRPr="006227D6" w:rsidRDefault="00DE7676" w:rsidP="00965C62">
            <w:pPr>
              <w:spacing w:after="0" w:line="276" w:lineRule="auto"/>
              <w:ind w:right="567"/>
              <w:jc w:val="right"/>
            </w:pPr>
            <w:r w:rsidRPr="006227D6">
              <w:t>2</w:t>
            </w:r>
            <w:r>
              <w:t xml:space="preserve">49 596 </w:t>
            </w:r>
            <w:r w:rsidR="00965C62">
              <w:t>000</w:t>
            </w:r>
          </w:p>
        </w:tc>
      </w:tr>
      <w:tr w:rsidR="00DE7676" w:rsidRPr="006227D6" w14:paraId="5BD4E067" w14:textId="77777777" w:rsidTr="00F34748">
        <w:trPr>
          <w:trHeight w:val="315"/>
        </w:trPr>
        <w:tc>
          <w:tcPr>
            <w:tcW w:w="3240" w:type="dxa"/>
            <w:noWrap/>
          </w:tcPr>
          <w:p w14:paraId="7D0AFCEF" w14:textId="77777777" w:rsidR="00DE7676" w:rsidRPr="006227D6" w:rsidRDefault="00DE7676" w:rsidP="00DE7676">
            <w:pPr>
              <w:spacing w:after="0" w:line="276" w:lineRule="auto"/>
            </w:pPr>
            <w:smartTag w:uri="urn:schemas-microsoft-com:office:smarttags" w:element="place">
              <w:smartTag w:uri="urn:schemas-microsoft-com:office:smarttags" w:element="PlaceType">
                <w:r w:rsidRPr="006227D6">
                  <w:t>Republic</w:t>
                </w:r>
              </w:smartTag>
              <w:r w:rsidRPr="006227D6">
                <w:t xml:space="preserve"> of </w:t>
              </w:r>
              <w:smartTag w:uri="urn:schemas-microsoft-com:office:smarttags" w:element="PlaceName">
                <w:r w:rsidRPr="006227D6">
                  <w:t>Malta</w:t>
                </w:r>
              </w:smartTag>
            </w:smartTag>
          </w:p>
        </w:tc>
        <w:tc>
          <w:tcPr>
            <w:tcW w:w="2137" w:type="dxa"/>
          </w:tcPr>
          <w:p w14:paraId="299651DD" w14:textId="77777777" w:rsidR="00DE7676" w:rsidRPr="006227D6" w:rsidRDefault="00DE7676" w:rsidP="00DE7676">
            <w:pPr>
              <w:spacing w:after="0" w:line="276" w:lineRule="auto"/>
              <w:ind w:right="567"/>
              <w:jc w:val="right"/>
            </w:pPr>
          </w:p>
        </w:tc>
        <w:tc>
          <w:tcPr>
            <w:tcW w:w="3520" w:type="dxa"/>
          </w:tcPr>
          <w:p w14:paraId="06CF5AA3" w14:textId="77777777" w:rsidR="00DE7676" w:rsidRPr="006227D6" w:rsidRDefault="00DE7676" w:rsidP="00DE7676">
            <w:pPr>
              <w:spacing w:after="0" w:line="276" w:lineRule="auto"/>
              <w:ind w:right="567"/>
              <w:jc w:val="right"/>
            </w:pPr>
            <w:r w:rsidRPr="006227D6">
              <w:t>23</w:t>
            </w:r>
            <w:r>
              <w:t xml:space="preserve"> 044 2</w:t>
            </w:r>
            <w:r w:rsidR="00965C62">
              <w:t>50</w:t>
            </w:r>
          </w:p>
        </w:tc>
      </w:tr>
      <w:tr w:rsidR="00DE7676" w:rsidRPr="006227D6" w14:paraId="3D737CBA" w14:textId="77777777" w:rsidTr="00F34748">
        <w:trPr>
          <w:trHeight w:val="315"/>
        </w:trPr>
        <w:tc>
          <w:tcPr>
            <w:tcW w:w="3240" w:type="dxa"/>
            <w:noWrap/>
          </w:tcPr>
          <w:p w14:paraId="10B1AA4F" w14:textId="77777777" w:rsidR="00DE7676" w:rsidRPr="006227D6" w:rsidRDefault="00DE7676" w:rsidP="00DE7676">
            <w:pPr>
              <w:spacing w:after="0" w:line="276" w:lineRule="auto"/>
            </w:pPr>
            <w:r w:rsidRPr="006227D6">
              <w:t xml:space="preserve">Kingdom of the </w:t>
            </w:r>
            <w:smartTag w:uri="urn:schemas-microsoft-com:office:smarttags" w:element="place">
              <w:smartTag w:uri="urn:schemas-microsoft-com:office:smarttags" w:element="country-region">
                <w:r w:rsidRPr="006227D6">
                  <w:t>Netherlands</w:t>
                </w:r>
              </w:smartTag>
            </w:smartTag>
          </w:p>
        </w:tc>
        <w:tc>
          <w:tcPr>
            <w:tcW w:w="2137" w:type="dxa"/>
          </w:tcPr>
          <w:p w14:paraId="0ADF58D7" w14:textId="77777777" w:rsidR="00DE7676" w:rsidRPr="006227D6" w:rsidRDefault="00DE7676" w:rsidP="00DE7676">
            <w:pPr>
              <w:spacing w:after="0" w:line="276" w:lineRule="auto"/>
              <w:ind w:right="567"/>
              <w:jc w:val="right"/>
            </w:pPr>
          </w:p>
        </w:tc>
        <w:tc>
          <w:tcPr>
            <w:tcW w:w="3520" w:type="dxa"/>
          </w:tcPr>
          <w:p w14:paraId="355FF62A" w14:textId="77777777" w:rsidR="00DE7676" w:rsidRPr="006227D6" w:rsidRDefault="00DE7676" w:rsidP="00DE7676">
            <w:pPr>
              <w:spacing w:after="0" w:line="276" w:lineRule="auto"/>
              <w:ind w:right="567"/>
              <w:jc w:val="right"/>
            </w:pPr>
            <w:r w:rsidRPr="006227D6">
              <w:t>1</w:t>
            </w:r>
            <w:r>
              <w:t xml:space="preserve"> </w:t>
            </w:r>
            <w:r w:rsidRPr="006227D6">
              <w:t>441</w:t>
            </w:r>
            <w:r>
              <w:t xml:space="preserve"> 199 5</w:t>
            </w:r>
            <w:r w:rsidR="00965C62">
              <w:t>00</w:t>
            </w:r>
          </w:p>
        </w:tc>
      </w:tr>
      <w:tr w:rsidR="00DE7676" w:rsidRPr="006227D6" w14:paraId="30B8588F" w14:textId="77777777" w:rsidTr="00F34748">
        <w:trPr>
          <w:trHeight w:val="315"/>
        </w:trPr>
        <w:tc>
          <w:tcPr>
            <w:tcW w:w="3240" w:type="dxa"/>
            <w:noWrap/>
          </w:tcPr>
          <w:p w14:paraId="1284D2C0" w14:textId="77777777" w:rsidR="00DE7676" w:rsidRPr="006227D6" w:rsidRDefault="00DE7676" w:rsidP="00DE7676">
            <w:pPr>
              <w:spacing w:after="0" w:line="276" w:lineRule="auto"/>
            </w:pPr>
            <w:smartTag w:uri="urn:schemas-microsoft-com:office:smarttags" w:element="PlaceType">
              <w:r w:rsidRPr="006227D6">
                <w:t>Republic</w:t>
              </w:r>
            </w:smartTag>
            <w:r w:rsidRPr="006227D6">
              <w:t xml:space="preserve"> of Austria</w:t>
            </w:r>
          </w:p>
          <w:p w14:paraId="0C95C7CD" w14:textId="77777777" w:rsidR="00DE7676" w:rsidRPr="006227D6" w:rsidRDefault="00DE7676" w:rsidP="00DE7676">
            <w:pPr>
              <w:spacing w:after="0" w:line="276" w:lineRule="auto"/>
            </w:pPr>
            <w:r w:rsidRPr="006227D6">
              <w:t xml:space="preserve">Republic of Poland </w:t>
            </w:r>
          </w:p>
        </w:tc>
        <w:tc>
          <w:tcPr>
            <w:tcW w:w="2137" w:type="dxa"/>
          </w:tcPr>
          <w:p w14:paraId="691EB1DA" w14:textId="77777777" w:rsidR="00DE7676" w:rsidRPr="006227D6" w:rsidRDefault="00DE7676" w:rsidP="00DE7676">
            <w:pPr>
              <w:spacing w:after="0" w:line="276" w:lineRule="auto"/>
              <w:ind w:right="567"/>
              <w:jc w:val="right"/>
            </w:pPr>
          </w:p>
        </w:tc>
        <w:tc>
          <w:tcPr>
            <w:tcW w:w="3520" w:type="dxa"/>
          </w:tcPr>
          <w:p w14:paraId="5999E2BE" w14:textId="77777777" w:rsidR="00DE7676" w:rsidRPr="006227D6" w:rsidRDefault="00DE7676" w:rsidP="00DE7676">
            <w:pPr>
              <w:spacing w:after="0" w:line="276" w:lineRule="auto"/>
              <w:ind w:right="567"/>
              <w:jc w:val="right"/>
            </w:pPr>
            <w:r w:rsidRPr="006227D6">
              <w:t>717</w:t>
            </w:r>
            <w:r>
              <w:t xml:space="preserve"> 215 7</w:t>
            </w:r>
            <w:r w:rsidR="00965C62">
              <w:t>50</w:t>
            </w:r>
          </w:p>
          <w:p w14:paraId="7F9C7819" w14:textId="77777777" w:rsidR="00DE7676" w:rsidRPr="006227D6" w:rsidRDefault="00DE7676" w:rsidP="00965C62">
            <w:pPr>
              <w:spacing w:after="0" w:line="276" w:lineRule="auto"/>
              <w:ind w:right="567"/>
              <w:jc w:val="right"/>
            </w:pPr>
            <w:r w:rsidRPr="006227D6">
              <w:t>930</w:t>
            </w:r>
            <w:r>
              <w:t xml:space="preserve"> 103 </w:t>
            </w:r>
            <w:r w:rsidR="00965C62">
              <w:t>250</w:t>
            </w:r>
          </w:p>
        </w:tc>
      </w:tr>
      <w:tr w:rsidR="00DE7676" w:rsidRPr="006227D6" w14:paraId="660CA100" w14:textId="77777777" w:rsidTr="00F34748">
        <w:trPr>
          <w:trHeight w:val="315"/>
        </w:trPr>
        <w:tc>
          <w:tcPr>
            <w:tcW w:w="3240" w:type="dxa"/>
            <w:noWrap/>
          </w:tcPr>
          <w:p w14:paraId="2B2A3AFF" w14:textId="77777777" w:rsidR="00DE7676" w:rsidRPr="006227D6" w:rsidRDefault="00DE7676" w:rsidP="00DE7676">
            <w:pPr>
              <w:spacing w:after="0" w:line="276" w:lineRule="auto"/>
            </w:pPr>
            <w:smartTag w:uri="urn:schemas-microsoft-com:office:smarttags" w:element="PlaceName">
              <w:r w:rsidRPr="006227D6">
                <w:t>Portuguese</w:t>
              </w:r>
            </w:smartTag>
            <w:r w:rsidRPr="006227D6">
              <w:t xml:space="preserve"> Republic</w:t>
            </w:r>
          </w:p>
          <w:p w14:paraId="0E260256" w14:textId="77777777" w:rsidR="00DE7676" w:rsidRPr="006227D6" w:rsidRDefault="00DE7676" w:rsidP="00DE7676">
            <w:pPr>
              <w:spacing w:after="0" w:line="276" w:lineRule="auto"/>
            </w:pPr>
            <w:r w:rsidRPr="006227D6">
              <w:t>Romania</w:t>
            </w:r>
          </w:p>
        </w:tc>
        <w:tc>
          <w:tcPr>
            <w:tcW w:w="2137" w:type="dxa"/>
          </w:tcPr>
          <w:p w14:paraId="63344B79" w14:textId="77777777" w:rsidR="00DE7676" w:rsidRPr="006227D6" w:rsidRDefault="00DE7676" w:rsidP="00DE7676">
            <w:pPr>
              <w:spacing w:after="0" w:line="276" w:lineRule="auto"/>
              <w:ind w:right="567"/>
              <w:jc w:val="right"/>
            </w:pPr>
          </w:p>
        </w:tc>
        <w:tc>
          <w:tcPr>
            <w:tcW w:w="3520" w:type="dxa"/>
          </w:tcPr>
          <w:p w14:paraId="68403D91" w14:textId="77777777" w:rsidR="00DE7676" w:rsidRPr="006227D6" w:rsidRDefault="00DE7676" w:rsidP="00DE7676">
            <w:pPr>
              <w:spacing w:after="0" w:line="276" w:lineRule="auto"/>
              <w:ind w:right="567"/>
              <w:jc w:val="right"/>
            </w:pPr>
            <w:r w:rsidRPr="006227D6">
              <w:t>36</w:t>
            </w:r>
            <w:r>
              <w:t>5 571 0</w:t>
            </w:r>
            <w:r w:rsidR="00965C62">
              <w:t>00</w:t>
            </w:r>
          </w:p>
          <w:p w14:paraId="0386D100" w14:textId="77777777" w:rsidR="00DE7676" w:rsidRPr="006227D6" w:rsidRDefault="00DE7676" w:rsidP="00965C62">
            <w:pPr>
              <w:spacing w:after="0" w:line="276" w:lineRule="auto"/>
              <w:ind w:right="567"/>
              <w:jc w:val="right"/>
            </w:pPr>
            <w:r w:rsidRPr="006227D6">
              <w:t>393</w:t>
            </w:r>
            <w:r>
              <w:t xml:space="preserve"> 384 </w:t>
            </w:r>
            <w:r w:rsidR="00965C62">
              <w:t>250</w:t>
            </w:r>
          </w:p>
        </w:tc>
      </w:tr>
      <w:tr w:rsidR="00DE7676" w:rsidRPr="006227D6" w14:paraId="6FDA4BE1" w14:textId="77777777" w:rsidTr="00F34748">
        <w:trPr>
          <w:trHeight w:val="315"/>
        </w:trPr>
        <w:tc>
          <w:tcPr>
            <w:tcW w:w="3240" w:type="dxa"/>
            <w:noWrap/>
          </w:tcPr>
          <w:p w14:paraId="0D895917" w14:textId="77777777" w:rsidR="00DE7676" w:rsidRPr="006227D6" w:rsidRDefault="00DE7676" w:rsidP="00DE7676">
            <w:pPr>
              <w:spacing w:after="0" w:line="276" w:lineRule="auto"/>
            </w:pPr>
            <w:smartTag w:uri="urn:schemas-microsoft-com:office:smarttags" w:element="place">
              <w:smartTag w:uri="urn:schemas-microsoft-com:office:smarttags" w:element="PlaceType">
                <w:r w:rsidRPr="006227D6">
                  <w:t>Republic</w:t>
                </w:r>
              </w:smartTag>
              <w:r w:rsidRPr="006227D6">
                <w:t xml:space="preserve"> of </w:t>
              </w:r>
              <w:smartTag w:uri="urn:schemas-microsoft-com:office:smarttags" w:element="PlaceName">
                <w:r w:rsidRPr="006227D6">
                  <w:t>Slovenia</w:t>
                </w:r>
              </w:smartTag>
            </w:smartTag>
          </w:p>
        </w:tc>
        <w:tc>
          <w:tcPr>
            <w:tcW w:w="2137" w:type="dxa"/>
          </w:tcPr>
          <w:p w14:paraId="692B83E5" w14:textId="77777777" w:rsidR="00DE7676" w:rsidRPr="006227D6" w:rsidRDefault="00DE7676" w:rsidP="00DE7676">
            <w:pPr>
              <w:spacing w:after="0" w:line="276" w:lineRule="auto"/>
              <w:ind w:right="567"/>
              <w:jc w:val="right"/>
            </w:pPr>
          </w:p>
        </w:tc>
        <w:tc>
          <w:tcPr>
            <w:tcW w:w="3520" w:type="dxa"/>
          </w:tcPr>
          <w:p w14:paraId="456FDF67" w14:textId="77777777" w:rsidR="00DE7676" w:rsidRPr="006227D6" w:rsidRDefault="00DE7676" w:rsidP="00965C62">
            <w:pPr>
              <w:spacing w:after="0" w:line="276" w:lineRule="auto"/>
              <w:ind w:right="567"/>
              <w:jc w:val="right"/>
            </w:pPr>
            <w:r w:rsidRPr="006227D6">
              <w:t>88</w:t>
            </w:r>
            <w:r>
              <w:t xml:space="preserve"> 126 </w:t>
            </w:r>
            <w:r w:rsidR="00965C62">
              <w:t>500</w:t>
            </w:r>
          </w:p>
        </w:tc>
      </w:tr>
      <w:tr w:rsidR="00DE7676" w:rsidRPr="006227D6" w14:paraId="6C9D53A0" w14:textId="77777777" w:rsidTr="00F34748">
        <w:trPr>
          <w:trHeight w:val="315"/>
        </w:trPr>
        <w:tc>
          <w:tcPr>
            <w:tcW w:w="3240" w:type="dxa"/>
            <w:noWrap/>
          </w:tcPr>
          <w:p w14:paraId="249DF24C" w14:textId="77777777" w:rsidR="00DE7676" w:rsidRPr="006227D6" w:rsidRDefault="00DE7676" w:rsidP="00DE7676">
            <w:pPr>
              <w:spacing w:after="0" w:line="276" w:lineRule="auto"/>
            </w:pPr>
            <w:smartTag w:uri="urn:schemas-microsoft-com:office:smarttags" w:element="place">
              <w:smartTag w:uri="urn:schemas-microsoft-com:office:smarttags" w:element="PlaceName">
                <w:r w:rsidRPr="006227D6">
                  <w:t>Slovak</w:t>
                </w:r>
              </w:smartTag>
              <w:r w:rsidRPr="006227D6">
                <w:t xml:space="preserve"> </w:t>
              </w:r>
              <w:smartTag w:uri="urn:schemas-microsoft-com:office:smarttags" w:element="PlaceType">
                <w:r w:rsidRPr="006227D6">
                  <w:t>Republic</w:t>
                </w:r>
              </w:smartTag>
            </w:smartTag>
          </w:p>
        </w:tc>
        <w:tc>
          <w:tcPr>
            <w:tcW w:w="2137" w:type="dxa"/>
          </w:tcPr>
          <w:p w14:paraId="5A651551" w14:textId="77777777" w:rsidR="00DE7676" w:rsidRPr="006227D6" w:rsidRDefault="00DE7676" w:rsidP="00DE7676">
            <w:pPr>
              <w:spacing w:after="0" w:line="276" w:lineRule="auto"/>
              <w:ind w:right="567"/>
              <w:jc w:val="right"/>
            </w:pPr>
          </w:p>
        </w:tc>
        <w:tc>
          <w:tcPr>
            <w:tcW w:w="3520" w:type="dxa"/>
          </w:tcPr>
          <w:p w14:paraId="72EF97BE" w14:textId="77777777" w:rsidR="00DE7676" w:rsidRPr="006227D6" w:rsidRDefault="00DE7676" w:rsidP="00DE7676">
            <w:pPr>
              <w:spacing w:after="0" w:line="276" w:lineRule="auto"/>
              <w:ind w:right="567"/>
              <w:jc w:val="right"/>
            </w:pPr>
            <w:r w:rsidRPr="006227D6">
              <w:t>17</w:t>
            </w:r>
            <w:r>
              <w:t>3 516 2</w:t>
            </w:r>
            <w:r w:rsidR="00965C62">
              <w:t>50</w:t>
            </w:r>
          </w:p>
        </w:tc>
      </w:tr>
      <w:tr w:rsidR="00DE7676" w:rsidRPr="006227D6" w14:paraId="0C227AF4" w14:textId="77777777" w:rsidTr="00F34748">
        <w:trPr>
          <w:trHeight w:val="360"/>
        </w:trPr>
        <w:tc>
          <w:tcPr>
            <w:tcW w:w="3240" w:type="dxa"/>
            <w:noWrap/>
          </w:tcPr>
          <w:p w14:paraId="6A9E07D9" w14:textId="77777777" w:rsidR="00DE7676" w:rsidRPr="006227D6" w:rsidRDefault="00DE7676" w:rsidP="00DE7676">
            <w:pPr>
              <w:spacing w:after="0" w:line="276" w:lineRule="auto"/>
            </w:pPr>
            <w:smartTag w:uri="urn:schemas-microsoft-com:office:smarttags" w:element="PlaceType">
              <w:r w:rsidRPr="006227D6">
                <w:t>Republic</w:t>
              </w:r>
            </w:smartTag>
            <w:r w:rsidRPr="006227D6">
              <w:t xml:space="preserve"> of Finland</w:t>
            </w:r>
          </w:p>
          <w:p w14:paraId="4BA0113C" w14:textId="77777777" w:rsidR="00DE7676" w:rsidRPr="006227D6" w:rsidRDefault="00DE7676" w:rsidP="00DE7676">
            <w:pPr>
              <w:spacing w:after="0" w:line="276" w:lineRule="auto"/>
            </w:pPr>
            <w:r w:rsidRPr="006227D6">
              <w:t>Kingdom of Sweden</w:t>
            </w:r>
          </w:p>
        </w:tc>
        <w:tc>
          <w:tcPr>
            <w:tcW w:w="2137" w:type="dxa"/>
          </w:tcPr>
          <w:p w14:paraId="56C1F8DF" w14:textId="77777777" w:rsidR="00DE7676" w:rsidRPr="006227D6" w:rsidRDefault="00DE7676" w:rsidP="00DE7676">
            <w:pPr>
              <w:spacing w:after="0" w:line="276" w:lineRule="auto"/>
              <w:ind w:right="567"/>
              <w:jc w:val="right"/>
            </w:pPr>
          </w:p>
        </w:tc>
        <w:tc>
          <w:tcPr>
            <w:tcW w:w="3520" w:type="dxa"/>
          </w:tcPr>
          <w:p w14:paraId="6A756730" w14:textId="77777777" w:rsidR="00DE7676" w:rsidRPr="006227D6" w:rsidRDefault="00DE7676" w:rsidP="00DE7676">
            <w:pPr>
              <w:spacing w:after="0" w:line="276" w:lineRule="auto"/>
              <w:ind w:right="567"/>
              <w:jc w:val="right"/>
            </w:pPr>
            <w:r w:rsidRPr="006227D6">
              <w:t>43</w:t>
            </w:r>
            <w:r>
              <w:t xml:space="preserve">1 740 </w:t>
            </w:r>
            <w:r w:rsidR="00965C62">
              <w:t>250</w:t>
            </w:r>
          </w:p>
          <w:p w14:paraId="35049705" w14:textId="77777777" w:rsidR="00DE7676" w:rsidRPr="006227D6" w:rsidRDefault="00DE7676" w:rsidP="00965C62">
            <w:pPr>
              <w:spacing w:after="0" w:line="276" w:lineRule="auto"/>
              <w:ind w:right="567"/>
              <w:jc w:val="right"/>
              <w:rPr>
                <w:u w:val="single"/>
              </w:rPr>
            </w:pPr>
            <w:r w:rsidRPr="006227D6">
              <w:rPr>
                <w:u w:val="single"/>
              </w:rPr>
              <w:t>84</w:t>
            </w:r>
            <w:r>
              <w:rPr>
                <w:u w:val="single"/>
              </w:rPr>
              <w:t xml:space="preserve">8 537 </w:t>
            </w:r>
            <w:r w:rsidR="00965C62">
              <w:rPr>
                <w:u w:val="single"/>
              </w:rPr>
              <w:t>250</w:t>
            </w:r>
          </w:p>
        </w:tc>
      </w:tr>
      <w:tr w:rsidR="00DE7676" w:rsidRPr="006227D6" w14:paraId="3B2BCEDA" w14:textId="77777777" w:rsidTr="00F34748">
        <w:trPr>
          <w:trHeight w:val="315"/>
        </w:trPr>
        <w:tc>
          <w:tcPr>
            <w:tcW w:w="3240" w:type="dxa"/>
            <w:noWrap/>
          </w:tcPr>
          <w:p w14:paraId="21D397D8" w14:textId="77777777" w:rsidR="00DE7676" w:rsidRPr="006227D6" w:rsidRDefault="00DE7676" w:rsidP="00DE7676">
            <w:pPr>
              <w:spacing w:after="0" w:line="276" w:lineRule="auto"/>
              <w:rPr>
                <w:b/>
              </w:rPr>
            </w:pPr>
            <w:r w:rsidRPr="006227D6">
              <w:rPr>
                <w:b/>
              </w:rPr>
              <w:t>Total</w:t>
            </w:r>
          </w:p>
        </w:tc>
        <w:tc>
          <w:tcPr>
            <w:tcW w:w="2137" w:type="dxa"/>
          </w:tcPr>
          <w:p w14:paraId="4D74EB98" w14:textId="77777777" w:rsidR="00DE7676" w:rsidRPr="006227D6" w:rsidRDefault="00DE7676" w:rsidP="00DE7676">
            <w:pPr>
              <w:spacing w:after="0" w:line="276" w:lineRule="auto"/>
              <w:ind w:right="567"/>
              <w:jc w:val="right"/>
            </w:pPr>
          </w:p>
        </w:tc>
        <w:tc>
          <w:tcPr>
            <w:tcW w:w="3520" w:type="dxa"/>
          </w:tcPr>
          <w:p w14:paraId="197F13EB" w14:textId="77777777" w:rsidR="00DE7676" w:rsidRPr="006227D6" w:rsidRDefault="00DE7676" w:rsidP="00DE7676">
            <w:pPr>
              <w:spacing w:after="0" w:line="276" w:lineRule="auto"/>
              <w:ind w:right="567"/>
              <w:jc w:val="right"/>
            </w:pPr>
            <w:r w:rsidRPr="006227D6">
              <w:t>25</w:t>
            </w:r>
            <w:r>
              <w:t xml:space="preserve"> 000 000 000</w:t>
            </w:r>
          </w:p>
        </w:tc>
      </w:tr>
    </w:tbl>
    <w:p w14:paraId="1AAB48AE" w14:textId="5DE8EE2E" w:rsidR="005160E4" w:rsidRDefault="005160E4" w:rsidP="008915A9">
      <w:pPr>
        <w:keepNext/>
        <w:keepLines/>
        <w:pageBreakBefore/>
        <w:spacing w:after="0"/>
        <w:jc w:val="center"/>
        <w:outlineLvl w:val="0"/>
        <w:rPr>
          <w:b/>
          <w:bCs/>
          <w:caps/>
        </w:rPr>
      </w:pPr>
      <w:r w:rsidRPr="006227D6">
        <w:rPr>
          <w:b/>
          <w:caps/>
        </w:rPr>
        <w:lastRenderedPageBreak/>
        <w:t xml:space="preserve">Schedule </w:t>
      </w:r>
      <w:r w:rsidR="003713B5" w:rsidRPr="006227D6">
        <w:rPr>
          <w:b/>
          <w:caps/>
        </w:rPr>
        <w:t>2</w:t>
      </w:r>
      <w:r w:rsidRPr="006227D6">
        <w:rPr>
          <w:b/>
          <w:bCs/>
          <w:caps/>
        </w:rPr>
        <w:br/>
      </w:r>
      <w:r w:rsidR="00897673" w:rsidRPr="006227D6">
        <w:rPr>
          <w:b/>
          <w:bCs/>
          <w:caps/>
        </w:rPr>
        <w:t>Guarant</w:t>
      </w:r>
      <w:r w:rsidR="00897673">
        <w:rPr>
          <w:b/>
          <w:bCs/>
          <w:caps/>
        </w:rPr>
        <w:t>ee</w:t>
      </w:r>
      <w:r w:rsidR="00897673" w:rsidRPr="006227D6">
        <w:rPr>
          <w:b/>
          <w:bCs/>
          <w:caps/>
        </w:rPr>
        <w:t xml:space="preserve"> </w:t>
      </w:r>
      <w:r w:rsidR="003713B5" w:rsidRPr="006227D6">
        <w:rPr>
          <w:b/>
          <w:bCs/>
          <w:caps/>
        </w:rPr>
        <w:t>contribution key</w:t>
      </w:r>
      <w:r w:rsidR="00A929B9">
        <w:rPr>
          <w:b/>
          <w:bCs/>
          <w:caps/>
        </w:rPr>
        <w:t xml:space="preserve"> </w:t>
      </w:r>
    </w:p>
    <w:p w14:paraId="380FF9A1" w14:textId="77777777" w:rsidR="005160E4" w:rsidRPr="00A929B9" w:rsidRDefault="00A929B9" w:rsidP="00A929B9">
      <w:pPr>
        <w:spacing w:after="0"/>
        <w:jc w:val="center"/>
        <w:rPr>
          <w:b/>
        </w:rPr>
      </w:pPr>
      <w:r>
        <w:rPr>
          <w:b/>
        </w:rPr>
        <w:t xml:space="preserve">(the </w:t>
      </w:r>
      <w:r w:rsidRPr="00A929B9">
        <w:rPr>
          <w:b/>
        </w:rPr>
        <w:t>relative shares of Member States in the total Gross National Income of the Union, as resulting from the column (1) of Table 3 of Part A “Introduction and financing of the general budget of the Union”, of the revenue part of the budget for 2020 set out in the general budget of the European Union for the financial year 2020, as adopted on 27 November 2019</w:t>
      </w:r>
      <w:r>
        <w:rPr>
          <w:b/>
        </w:rPr>
        <w:t>)</w:t>
      </w:r>
    </w:p>
    <w:tbl>
      <w:tblPr>
        <w:tblW w:w="8897" w:type="dxa"/>
        <w:tblLook w:val="0000" w:firstRow="0" w:lastRow="0" w:firstColumn="0" w:lastColumn="0" w:noHBand="0" w:noVBand="0"/>
      </w:tblPr>
      <w:tblGrid>
        <w:gridCol w:w="3240"/>
        <w:gridCol w:w="2137"/>
        <w:gridCol w:w="3520"/>
      </w:tblGrid>
      <w:tr w:rsidR="005160E4" w:rsidRPr="006227D6" w14:paraId="4419D042" w14:textId="77777777" w:rsidTr="009C3F01">
        <w:trPr>
          <w:trHeight w:val="315"/>
        </w:trPr>
        <w:tc>
          <w:tcPr>
            <w:tcW w:w="3240" w:type="dxa"/>
            <w:noWrap/>
          </w:tcPr>
          <w:p w14:paraId="57E854BA" w14:textId="77777777" w:rsidR="005160E4" w:rsidRPr="006227D6" w:rsidRDefault="005160E4" w:rsidP="00BD4815">
            <w:pPr>
              <w:spacing w:after="0"/>
              <w:jc w:val="center"/>
              <w:rPr>
                <w:b/>
                <w:bCs/>
              </w:rPr>
            </w:pPr>
            <w:r w:rsidRPr="006227D6">
              <w:rPr>
                <w:b/>
                <w:bCs/>
              </w:rPr>
              <w:br/>
            </w:r>
            <w:smartTag w:uri="urn:schemas-microsoft-com:office:smarttags" w:element="place">
              <w:smartTag w:uri="urn:schemas-microsoft-com:office:smarttags" w:element="PlaceName">
                <w:r w:rsidRPr="006227D6">
                  <w:rPr>
                    <w:b/>
                    <w:bCs/>
                  </w:rPr>
                  <w:t>Member</w:t>
                </w:r>
              </w:smartTag>
              <w:r w:rsidRPr="006227D6">
                <w:rPr>
                  <w:b/>
                  <w:bCs/>
                </w:rPr>
                <w:t xml:space="preserve"> </w:t>
              </w:r>
              <w:smartTag w:uri="urn:schemas-microsoft-com:office:smarttags" w:element="PlaceType">
                <w:r w:rsidRPr="006227D6">
                  <w:rPr>
                    <w:b/>
                    <w:bCs/>
                  </w:rPr>
                  <w:t>State</w:t>
                </w:r>
              </w:smartTag>
            </w:smartTag>
          </w:p>
        </w:tc>
        <w:tc>
          <w:tcPr>
            <w:tcW w:w="2137" w:type="dxa"/>
          </w:tcPr>
          <w:p w14:paraId="0707491A" w14:textId="77777777" w:rsidR="005160E4" w:rsidRPr="006227D6" w:rsidRDefault="005160E4" w:rsidP="005160E4">
            <w:pPr>
              <w:spacing w:after="0"/>
              <w:jc w:val="center"/>
              <w:rPr>
                <w:b/>
                <w:bCs/>
              </w:rPr>
            </w:pPr>
          </w:p>
        </w:tc>
        <w:tc>
          <w:tcPr>
            <w:tcW w:w="3520" w:type="dxa"/>
          </w:tcPr>
          <w:p w14:paraId="3D8C22A4" w14:textId="4C064A5B" w:rsidR="005160E4" w:rsidRPr="006227D6" w:rsidRDefault="005160E4" w:rsidP="007F0A8A">
            <w:pPr>
              <w:spacing w:after="0"/>
              <w:jc w:val="center"/>
              <w:rPr>
                <w:b/>
                <w:bCs/>
              </w:rPr>
            </w:pPr>
            <w:r w:rsidRPr="006227D6">
              <w:rPr>
                <w:b/>
                <w:bCs/>
              </w:rPr>
              <w:br/>
            </w:r>
            <w:r w:rsidR="009C3F01" w:rsidRPr="006227D6">
              <w:rPr>
                <w:b/>
                <w:bCs/>
              </w:rPr>
              <w:t xml:space="preserve">Guarantor's </w:t>
            </w:r>
            <w:r w:rsidRPr="006227D6">
              <w:rPr>
                <w:b/>
                <w:bCs/>
              </w:rPr>
              <w:t>Contribution Key</w:t>
            </w:r>
            <w:r w:rsidR="00DA7B2F" w:rsidRPr="006227D6">
              <w:rPr>
                <w:b/>
                <w:bCs/>
              </w:rPr>
              <w:t xml:space="preserve"> </w:t>
            </w:r>
            <w:r w:rsidR="007F0A8A">
              <w:rPr>
                <w:b/>
                <w:bCs/>
              </w:rPr>
              <w:t>Percentage</w:t>
            </w:r>
          </w:p>
        </w:tc>
      </w:tr>
      <w:tr w:rsidR="00DE7676" w:rsidRPr="006227D6" w14:paraId="3CFFFDA7" w14:textId="77777777" w:rsidTr="009C3F01">
        <w:trPr>
          <w:trHeight w:val="315"/>
        </w:trPr>
        <w:tc>
          <w:tcPr>
            <w:tcW w:w="3240" w:type="dxa"/>
            <w:noWrap/>
          </w:tcPr>
          <w:p w14:paraId="2D575649" w14:textId="77777777" w:rsidR="00DE7676" w:rsidRPr="006227D6" w:rsidRDefault="00DE7676" w:rsidP="00DE7676">
            <w:pPr>
              <w:spacing w:after="0" w:line="276" w:lineRule="auto"/>
            </w:pPr>
            <w:smartTag w:uri="urn:schemas-microsoft-com:office:smarttags" w:element="PlaceType">
              <w:r w:rsidRPr="006227D6">
                <w:t>Kingdom</w:t>
              </w:r>
            </w:smartTag>
            <w:r w:rsidRPr="006227D6">
              <w:t xml:space="preserve"> of Belgium</w:t>
            </w:r>
          </w:p>
          <w:p w14:paraId="0A95EDFD" w14:textId="77777777" w:rsidR="00DE7676" w:rsidRPr="006227D6" w:rsidRDefault="00DE7676" w:rsidP="00DE7676">
            <w:pPr>
              <w:spacing w:after="0" w:line="276" w:lineRule="auto"/>
            </w:pPr>
            <w:r w:rsidRPr="006227D6">
              <w:t>Republic of Bulgaria</w:t>
            </w:r>
          </w:p>
          <w:p w14:paraId="34D7B09E" w14:textId="77777777" w:rsidR="00DE7676" w:rsidRPr="006227D6" w:rsidRDefault="00DE7676" w:rsidP="00DE7676">
            <w:pPr>
              <w:spacing w:after="0" w:line="276" w:lineRule="auto"/>
            </w:pPr>
            <w:r w:rsidRPr="006227D6">
              <w:t>Czech Republic</w:t>
            </w:r>
          </w:p>
          <w:p w14:paraId="519F6F98" w14:textId="77777777" w:rsidR="00DE7676" w:rsidRPr="006227D6" w:rsidRDefault="00DE7676" w:rsidP="00DE7676">
            <w:pPr>
              <w:spacing w:after="0" w:line="276" w:lineRule="auto"/>
            </w:pPr>
            <w:r w:rsidRPr="006227D6">
              <w:t>Kingdom of Denmark</w:t>
            </w:r>
          </w:p>
        </w:tc>
        <w:tc>
          <w:tcPr>
            <w:tcW w:w="2137" w:type="dxa"/>
          </w:tcPr>
          <w:p w14:paraId="6C88FE05" w14:textId="77777777" w:rsidR="00DE7676" w:rsidRPr="006227D6" w:rsidRDefault="00DE7676" w:rsidP="00DE7676">
            <w:pPr>
              <w:spacing w:after="0" w:line="276" w:lineRule="auto"/>
              <w:ind w:right="567"/>
              <w:jc w:val="right"/>
            </w:pPr>
          </w:p>
        </w:tc>
        <w:tc>
          <w:tcPr>
            <w:tcW w:w="3520" w:type="dxa"/>
          </w:tcPr>
          <w:p w14:paraId="5E8603EB" w14:textId="77777777" w:rsidR="00DE7676" w:rsidRPr="006227D6" w:rsidRDefault="00DE7676" w:rsidP="00DE7676">
            <w:pPr>
              <w:spacing w:after="0" w:line="276" w:lineRule="auto"/>
              <w:ind w:right="567"/>
              <w:jc w:val="right"/>
            </w:pPr>
            <w:r w:rsidRPr="006227D6">
              <w:t>3</w:t>
            </w:r>
            <w:r>
              <w:t>.352 897</w:t>
            </w:r>
            <w:r w:rsidRPr="006227D6">
              <w:t>%</w:t>
            </w:r>
          </w:p>
          <w:p w14:paraId="5651432F" w14:textId="77777777" w:rsidR="00DE7676" w:rsidRPr="006227D6" w:rsidRDefault="00DE7676" w:rsidP="00DE7676">
            <w:pPr>
              <w:spacing w:after="0" w:line="276" w:lineRule="auto"/>
              <w:ind w:right="567"/>
              <w:jc w:val="right"/>
            </w:pPr>
            <w:r w:rsidRPr="006227D6">
              <w:t>0</w:t>
            </w:r>
            <w:r>
              <w:t>.</w:t>
            </w:r>
            <w:r w:rsidRPr="006227D6">
              <w:t>4</w:t>
            </w:r>
            <w:r>
              <w:t>29 866</w:t>
            </w:r>
            <w:r w:rsidRPr="006227D6">
              <w:t>%</w:t>
            </w:r>
          </w:p>
          <w:p w14:paraId="068B42BC" w14:textId="77777777" w:rsidR="00DE7676" w:rsidRPr="006227D6" w:rsidRDefault="00DE7676" w:rsidP="00DE7676">
            <w:pPr>
              <w:spacing w:after="0" w:line="276" w:lineRule="auto"/>
              <w:ind w:right="567"/>
              <w:jc w:val="right"/>
            </w:pPr>
            <w:r w:rsidRPr="006227D6">
              <w:t>1</w:t>
            </w:r>
            <w:r>
              <w:t>.498 154</w:t>
            </w:r>
            <w:r w:rsidRPr="006227D6">
              <w:t>%</w:t>
            </w:r>
          </w:p>
          <w:p w14:paraId="278BE5EA" w14:textId="77777777" w:rsidR="00DE7676" w:rsidRPr="006227D6" w:rsidRDefault="00DE7676" w:rsidP="00DE7676">
            <w:pPr>
              <w:spacing w:after="0" w:line="276" w:lineRule="auto"/>
              <w:ind w:right="567"/>
              <w:jc w:val="right"/>
            </w:pPr>
            <w:r w:rsidRPr="006227D6">
              <w:t>2</w:t>
            </w:r>
            <w:r>
              <w:t>.255 351</w:t>
            </w:r>
            <w:r w:rsidRPr="006227D6">
              <w:t>%</w:t>
            </w:r>
          </w:p>
        </w:tc>
      </w:tr>
      <w:tr w:rsidR="00DE7676" w:rsidRPr="006227D6" w14:paraId="59889231" w14:textId="77777777" w:rsidTr="009C3F01">
        <w:trPr>
          <w:trHeight w:val="315"/>
        </w:trPr>
        <w:tc>
          <w:tcPr>
            <w:tcW w:w="3240" w:type="dxa"/>
            <w:noWrap/>
          </w:tcPr>
          <w:p w14:paraId="43B2B99F" w14:textId="77777777" w:rsidR="00DE7676" w:rsidRPr="006227D6" w:rsidRDefault="00DE7676" w:rsidP="00DE7676">
            <w:pPr>
              <w:spacing w:after="0" w:line="276" w:lineRule="auto"/>
            </w:pPr>
            <w:r w:rsidRPr="006227D6">
              <w:t>Federal Republic of Germany</w:t>
            </w:r>
          </w:p>
          <w:p w14:paraId="3A87ED51" w14:textId="77777777" w:rsidR="00DE7676" w:rsidRPr="006227D6" w:rsidRDefault="00DE7676" w:rsidP="00DE7676">
            <w:pPr>
              <w:spacing w:after="0" w:line="276" w:lineRule="auto"/>
            </w:pPr>
            <w:r w:rsidRPr="006227D6">
              <w:t xml:space="preserve">Republic of Estonia  </w:t>
            </w:r>
          </w:p>
        </w:tc>
        <w:tc>
          <w:tcPr>
            <w:tcW w:w="2137" w:type="dxa"/>
          </w:tcPr>
          <w:p w14:paraId="0BA80D21" w14:textId="77777777" w:rsidR="00DE7676" w:rsidRPr="006227D6" w:rsidRDefault="00DE7676" w:rsidP="00DE7676">
            <w:pPr>
              <w:spacing w:after="0" w:line="276" w:lineRule="auto"/>
              <w:ind w:right="567"/>
              <w:jc w:val="right"/>
            </w:pPr>
          </w:p>
        </w:tc>
        <w:tc>
          <w:tcPr>
            <w:tcW w:w="3520" w:type="dxa"/>
          </w:tcPr>
          <w:p w14:paraId="490C5027" w14:textId="77777777" w:rsidR="00DE7676" w:rsidRPr="006227D6" w:rsidRDefault="00DE7676" w:rsidP="00DE7676">
            <w:pPr>
              <w:spacing w:after="0" w:line="276" w:lineRule="auto"/>
              <w:ind w:right="567"/>
              <w:jc w:val="right"/>
            </w:pPr>
            <w:r w:rsidRPr="006227D6">
              <w:t>25</w:t>
            </w:r>
            <w:r>
              <w:t>.</w:t>
            </w:r>
            <w:r w:rsidRPr="006227D6">
              <w:t>5</w:t>
            </w:r>
            <w:r>
              <w:t>35 280</w:t>
            </w:r>
            <w:r w:rsidRPr="006227D6">
              <w:t>%</w:t>
            </w:r>
          </w:p>
          <w:p w14:paraId="786BC59A" w14:textId="77777777" w:rsidR="00DE7676" w:rsidRPr="006227D6" w:rsidRDefault="00DE7676" w:rsidP="00DE7676">
            <w:pPr>
              <w:spacing w:after="0" w:line="276" w:lineRule="auto"/>
              <w:ind w:right="567"/>
              <w:jc w:val="right"/>
            </w:pPr>
            <w:r w:rsidRPr="006227D6">
              <w:t>0</w:t>
            </w:r>
            <w:r>
              <w:t>.194 866</w:t>
            </w:r>
            <w:r w:rsidRPr="006227D6">
              <w:t>%</w:t>
            </w:r>
          </w:p>
        </w:tc>
      </w:tr>
      <w:tr w:rsidR="00DE7676" w:rsidRPr="006227D6" w14:paraId="60A91195" w14:textId="77777777" w:rsidTr="009C3F01">
        <w:trPr>
          <w:trHeight w:val="315"/>
        </w:trPr>
        <w:tc>
          <w:tcPr>
            <w:tcW w:w="3240" w:type="dxa"/>
            <w:noWrap/>
          </w:tcPr>
          <w:p w14:paraId="675D3558" w14:textId="77777777" w:rsidR="00DE7676" w:rsidRPr="006227D6" w:rsidRDefault="00DE7676" w:rsidP="00DE7676">
            <w:pPr>
              <w:spacing w:after="0" w:line="276" w:lineRule="auto"/>
            </w:pPr>
            <w:r w:rsidRPr="006227D6">
              <w:t>Ireland</w:t>
            </w:r>
          </w:p>
          <w:p w14:paraId="7DD45F1C" w14:textId="77777777" w:rsidR="00DE7676" w:rsidRPr="006227D6" w:rsidRDefault="00DE7676" w:rsidP="00DE7676">
            <w:pPr>
              <w:spacing w:after="0" w:line="276" w:lineRule="auto"/>
            </w:pPr>
            <w:r w:rsidRPr="006227D6">
              <w:t xml:space="preserve">Hellenic Republic </w:t>
            </w:r>
          </w:p>
        </w:tc>
        <w:tc>
          <w:tcPr>
            <w:tcW w:w="2137" w:type="dxa"/>
          </w:tcPr>
          <w:p w14:paraId="5751B5D3" w14:textId="77777777" w:rsidR="00DE7676" w:rsidRPr="006227D6" w:rsidRDefault="00DE7676" w:rsidP="00DE7676">
            <w:pPr>
              <w:spacing w:after="0" w:line="276" w:lineRule="auto"/>
              <w:ind w:right="567"/>
              <w:jc w:val="right"/>
            </w:pPr>
          </w:p>
        </w:tc>
        <w:tc>
          <w:tcPr>
            <w:tcW w:w="3520" w:type="dxa"/>
          </w:tcPr>
          <w:p w14:paraId="74B934D8" w14:textId="77777777" w:rsidR="00DE7676" w:rsidRPr="006227D6" w:rsidRDefault="00DE7676" w:rsidP="00DE7676">
            <w:pPr>
              <w:spacing w:after="0" w:line="276" w:lineRule="auto"/>
              <w:ind w:right="567"/>
              <w:jc w:val="right"/>
            </w:pPr>
            <w:r w:rsidRPr="006227D6">
              <w:t>1</w:t>
            </w:r>
            <w:r>
              <w:t>.</w:t>
            </w:r>
            <w:r w:rsidRPr="006227D6">
              <w:t>9</w:t>
            </w:r>
            <w:r>
              <w:t>33 605</w:t>
            </w:r>
            <w:r w:rsidRPr="006227D6">
              <w:t>%</w:t>
            </w:r>
          </w:p>
          <w:p w14:paraId="002D3078" w14:textId="77777777" w:rsidR="00DE7676" w:rsidRPr="006227D6" w:rsidRDefault="00DE7676" w:rsidP="00DE7676">
            <w:pPr>
              <w:spacing w:after="0" w:line="276" w:lineRule="auto"/>
              <w:ind w:right="567"/>
              <w:jc w:val="right"/>
            </w:pPr>
            <w:r w:rsidRPr="006227D6">
              <w:t>1</w:t>
            </w:r>
            <w:r>
              <w:t>.370 475</w:t>
            </w:r>
            <w:r w:rsidRPr="006227D6">
              <w:t>%</w:t>
            </w:r>
          </w:p>
        </w:tc>
      </w:tr>
      <w:tr w:rsidR="00DE7676" w:rsidRPr="006227D6" w14:paraId="3CDEE6FB" w14:textId="77777777" w:rsidTr="009C3F01">
        <w:trPr>
          <w:trHeight w:val="315"/>
        </w:trPr>
        <w:tc>
          <w:tcPr>
            <w:tcW w:w="3240" w:type="dxa"/>
            <w:noWrap/>
          </w:tcPr>
          <w:p w14:paraId="51145E7E" w14:textId="77777777" w:rsidR="00DE7676" w:rsidRPr="006227D6" w:rsidRDefault="00DE7676" w:rsidP="00DE7676">
            <w:pPr>
              <w:spacing w:after="0" w:line="276" w:lineRule="auto"/>
            </w:pPr>
            <w:smartTag w:uri="urn:schemas-microsoft-com:office:smarttags" w:element="place">
              <w:smartTag w:uri="urn:schemas-microsoft-com:office:smarttags" w:element="PlaceType">
                <w:r w:rsidRPr="006227D6">
                  <w:t>Kingdom</w:t>
                </w:r>
              </w:smartTag>
              <w:r w:rsidRPr="006227D6">
                <w:t xml:space="preserve"> of </w:t>
              </w:r>
              <w:smartTag w:uri="urn:schemas-microsoft-com:office:smarttags" w:element="PlaceName">
                <w:r w:rsidRPr="006227D6">
                  <w:t>Spain</w:t>
                </w:r>
              </w:smartTag>
            </w:smartTag>
          </w:p>
        </w:tc>
        <w:tc>
          <w:tcPr>
            <w:tcW w:w="2137" w:type="dxa"/>
          </w:tcPr>
          <w:p w14:paraId="1579D614" w14:textId="77777777" w:rsidR="00DE7676" w:rsidRPr="006227D6" w:rsidRDefault="00DE7676" w:rsidP="00DE7676">
            <w:pPr>
              <w:spacing w:after="0" w:line="276" w:lineRule="auto"/>
              <w:ind w:right="567"/>
              <w:jc w:val="right"/>
            </w:pPr>
          </w:p>
        </w:tc>
        <w:tc>
          <w:tcPr>
            <w:tcW w:w="3520" w:type="dxa"/>
          </w:tcPr>
          <w:p w14:paraId="7E16699F" w14:textId="77777777" w:rsidR="00DE7676" w:rsidRPr="006227D6" w:rsidRDefault="00DE7676" w:rsidP="00DE7676">
            <w:pPr>
              <w:spacing w:after="0" w:line="276" w:lineRule="auto"/>
              <w:ind w:right="567"/>
              <w:jc w:val="right"/>
            </w:pPr>
            <w:r w:rsidRPr="006227D6">
              <w:t>9</w:t>
            </w:r>
            <w:r>
              <w:t>.</w:t>
            </w:r>
            <w:r w:rsidRPr="006227D6">
              <w:t>0</w:t>
            </w:r>
            <w:r>
              <w:t>11 563</w:t>
            </w:r>
            <w:r w:rsidRPr="006227D6">
              <w:t>%</w:t>
            </w:r>
          </w:p>
        </w:tc>
      </w:tr>
      <w:tr w:rsidR="00DE7676" w:rsidRPr="006227D6" w14:paraId="476D9018" w14:textId="77777777" w:rsidTr="009C3F01">
        <w:trPr>
          <w:trHeight w:val="315"/>
        </w:trPr>
        <w:tc>
          <w:tcPr>
            <w:tcW w:w="3240" w:type="dxa"/>
            <w:noWrap/>
          </w:tcPr>
          <w:p w14:paraId="4E500C84" w14:textId="77777777" w:rsidR="00DE7676" w:rsidRPr="006227D6" w:rsidRDefault="00DE7676" w:rsidP="00DE7676">
            <w:pPr>
              <w:spacing w:after="0" w:line="276" w:lineRule="auto"/>
            </w:pPr>
            <w:smartTag w:uri="urn:schemas-microsoft-com:office:smarttags" w:element="PlaceName">
              <w:r w:rsidRPr="006227D6">
                <w:t>French</w:t>
              </w:r>
            </w:smartTag>
            <w:r w:rsidRPr="006227D6">
              <w:t xml:space="preserve"> Republic</w:t>
            </w:r>
          </w:p>
          <w:p w14:paraId="6FFCFBEB" w14:textId="77777777" w:rsidR="00DE7676" w:rsidRPr="006227D6" w:rsidRDefault="00DE7676" w:rsidP="00DE7676">
            <w:pPr>
              <w:spacing w:after="0" w:line="276" w:lineRule="auto"/>
            </w:pPr>
            <w:r w:rsidRPr="006227D6">
              <w:t>Republic of Croatia</w:t>
            </w:r>
          </w:p>
        </w:tc>
        <w:tc>
          <w:tcPr>
            <w:tcW w:w="2137" w:type="dxa"/>
          </w:tcPr>
          <w:p w14:paraId="575949A6" w14:textId="77777777" w:rsidR="00DE7676" w:rsidRPr="006227D6" w:rsidRDefault="00DE7676" w:rsidP="00DE7676">
            <w:pPr>
              <w:spacing w:after="0" w:line="276" w:lineRule="auto"/>
              <w:ind w:right="567"/>
              <w:jc w:val="right"/>
            </w:pPr>
          </w:p>
        </w:tc>
        <w:tc>
          <w:tcPr>
            <w:tcW w:w="3520" w:type="dxa"/>
          </w:tcPr>
          <w:p w14:paraId="176B5912" w14:textId="77777777" w:rsidR="00DE7676" w:rsidRPr="006227D6" w:rsidRDefault="00DE7676" w:rsidP="00DE7676">
            <w:pPr>
              <w:spacing w:after="0" w:line="276" w:lineRule="auto"/>
              <w:ind w:right="567"/>
              <w:jc w:val="right"/>
            </w:pPr>
            <w:r w:rsidRPr="006227D6">
              <w:t>17</w:t>
            </w:r>
            <w:r>
              <w:t>.</w:t>
            </w:r>
            <w:r w:rsidRPr="006227D6">
              <w:t>6</w:t>
            </w:r>
            <w:r>
              <w:t>27 905</w:t>
            </w:r>
            <w:r w:rsidRPr="006227D6">
              <w:t>%</w:t>
            </w:r>
          </w:p>
          <w:p w14:paraId="0C44D35F" w14:textId="77777777" w:rsidR="00DE7676" w:rsidRPr="006227D6" w:rsidRDefault="00DE7676" w:rsidP="00DE7676">
            <w:pPr>
              <w:spacing w:after="0" w:line="276" w:lineRule="auto"/>
              <w:ind w:right="567"/>
              <w:jc w:val="right"/>
            </w:pPr>
            <w:r w:rsidRPr="006227D6">
              <w:t>0</w:t>
            </w:r>
            <w:r>
              <w:t>.382 774</w:t>
            </w:r>
            <w:r w:rsidRPr="006227D6">
              <w:t>%</w:t>
            </w:r>
          </w:p>
        </w:tc>
      </w:tr>
      <w:tr w:rsidR="00DE7676" w:rsidRPr="006227D6" w14:paraId="3CDEF84D" w14:textId="77777777" w:rsidTr="009C3F01">
        <w:trPr>
          <w:trHeight w:val="315"/>
        </w:trPr>
        <w:tc>
          <w:tcPr>
            <w:tcW w:w="3240" w:type="dxa"/>
            <w:noWrap/>
          </w:tcPr>
          <w:p w14:paraId="513DC57B" w14:textId="77777777" w:rsidR="00DE7676" w:rsidRPr="006227D6" w:rsidRDefault="00DE7676" w:rsidP="00DE7676">
            <w:pPr>
              <w:spacing w:after="0" w:line="276" w:lineRule="auto"/>
            </w:pPr>
            <w:smartTag w:uri="urn:schemas-microsoft-com:office:smarttags" w:element="place">
              <w:smartTag w:uri="urn:schemas-microsoft-com:office:smarttags" w:element="PlaceName">
                <w:r w:rsidRPr="006227D6">
                  <w:t>Italian</w:t>
                </w:r>
              </w:smartTag>
              <w:r w:rsidRPr="006227D6">
                <w:t xml:space="preserve"> </w:t>
              </w:r>
              <w:smartTag w:uri="urn:schemas-microsoft-com:office:smarttags" w:element="PlaceType">
                <w:r w:rsidRPr="006227D6">
                  <w:t>Republic</w:t>
                </w:r>
              </w:smartTag>
            </w:smartTag>
          </w:p>
        </w:tc>
        <w:tc>
          <w:tcPr>
            <w:tcW w:w="2137" w:type="dxa"/>
          </w:tcPr>
          <w:p w14:paraId="49CDD494" w14:textId="77777777" w:rsidR="00DE7676" w:rsidRPr="006227D6" w:rsidRDefault="00DE7676" w:rsidP="00DE7676">
            <w:pPr>
              <w:spacing w:after="0" w:line="276" w:lineRule="auto"/>
              <w:ind w:right="567"/>
              <w:jc w:val="right"/>
            </w:pPr>
          </w:p>
        </w:tc>
        <w:tc>
          <w:tcPr>
            <w:tcW w:w="3520" w:type="dxa"/>
          </w:tcPr>
          <w:p w14:paraId="786103E2" w14:textId="77777777" w:rsidR="00DE7676" w:rsidRPr="006227D6" w:rsidRDefault="00DE7676" w:rsidP="00DE7676">
            <w:pPr>
              <w:spacing w:after="0" w:line="276" w:lineRule="auto"/>
              <w:ind w:right="567"/>
              <w:jc w:val="right"/>
            </w:pPr>
            <w:r w:rsidRPr="006227D6">
              <w:t>12</w:t>
            </w:r>
            <w:r>
              <w:t>.</w:t>
            </w:r>
            <w:r w:rsidRPr="006227D6">
              <w:t>7</w:t>
            </w:r>
            <w:r>
              <w:t>35 144</w:t>
            </w:r>
            <w:r w:rsidRPr="006227D6">
              <w:t>%</w:t>
            </w:r>
          </w:p>
        </w:tc>
      </w:tr>
      <w:tr w:rsidR="00DE7676" w:rsidRPr="006227D6" w14:paraId="20BEEDC5" w14:textId="77777777" w:rsidTr="009C3F01">
        <w:trPr>
          <w:trHeight w:val="315"/>
        </w:trPr>
        <w:tc>
          <w:tcPr>
            <w:tcW w:w="3240" w:type="dxa"/>
            <w:noWrap/>
          </w:tcPr>
          <w:p w14:paraId="50E87DE9" w14:textId="77777777" w:rsidR="00DE7676" w:rsidRPr="006227D6" w:rsidRDefault="00DE7676" w:rsidP="00DE7676">
            <w:pPr>
              <w:spacing w:after="0" w:line="276" w:lineRule="auto"/>
            </w:pPr>
            <w:smartTag w:uri="urn:schemas-microsoft-com:office:smarttags" w:element="PlaceType">
              <w:r w:rsidRPr="006227D6">
                <w:t>Republic</w:t>
              </w:r>
            </w:smartTag>
            <w:r w:rsidRPr="006227D6">
              <w:t xml:space="preserve"> of Cyprus</w:t>
            </w:r>
          </w:p>
          <w:p w14:paraId="0233289E" w14:textId="77777777" w:rsidR="00DE7676" w:rsidRPr="006227D6" w:rsidRDefault="00DE7676" w:rsidP="00DE7676">
            <w:pPr>
              <w:spacing w:after="0" w:line="276" w:lineRule="auto"/>
            </w:pPr>
            <w:r w:rsidRPr="006227D6">
              <w:t>Republic of Latvia</w:t>
            </w:r>
          </w:p>
          <w:p w14:paraId="7FA9E81F" w14:textId="77777777" w:rsidR="00DE7676" w:rsidRPr="006227D6" w:rsidRDefault="00DE7676" w:rsidP="00DE7676">
            <w:pPr>
              <w:spacing w:after="0" w:line="276" w:lineRule="auto"/>
            </w:pPr>
            <w:r w:rsidRPr="006227D6">
              <w:t xml:space="preserve">Republic of Lithuania </w:t>
            </w:r>
          </w:p>
        </w:tc>
        <w:tc>
          <w:tcPr>
            <w:tcW w:w="2137" w:type="dxa"/>
          </w:tcPr>
          <w:p w14:paraId="343AEC58" w14:textId="77777777" w:rsidR="00DE7676" w:rsidRPr="006227D6" w:rsidRDefault="00DE7676" w:rsidP="00DE7676">
            <w:pPr>
              <w:spacing w:after="0" w:line="276" w:lineRule="auto"/>
              <w:ind w:right="567"/>
              <w:jc w:val="right"/>
            </w:pPr>
          </w:p>
        </w:tc>
        <w:tc>
          <w:tcPr>
            <w:tcW w:w="3520" w:type="dxa"/>
          </w:tcPr>
          <w:p w14:paraId="5389B8EB" w14:textId="77777777" w:rsidR="00DE7676" w:rsidRPr="006227D6" w:rsidRDefault="00DE7676" w:rsidP="00DE7676">
            <w:pPr>
              <w:spacing w:after="0" w:line="276" w:lineRule="auto"/>
              <w:ind w:right="567"/>
              <w:jc w:val="right"/>
            </w:pPr>
            <w:r w:rsidRPr="006227D6">
              <w:t>0</w:t>
            </w:r>
            <w:r>
              <w:t>.152 459</w:t>
            </w:r>
            <w:r w:rsidRPr="006227D6">
              <w:t>%</w:t>
            </w:r>
          </w:p>
          <w:p w14:paraId="6587FE1D" w14:textId="77777777" w:rsidR="00DE7676" w:rsidRPr="006227D6" w:rsidRDefault="00DE7676" w:rsidP="00DE7676">
            <w:pPr>
              <w:spacing w:after="0" w:line="276" w:lineRule="auto"/>
              <w:ind w:right="567"/>
              <w:jc w:val="right"/>
            </w:pPr>
            <w:r w:rsidRPr="006227D6">
              <w:t>0</w:t>
            </w:r>
            <w:r>
              <w:t>.</w:t>
            </w:r>
            <w:r w:rsidRPr="006227D6">
              <w:t>2</w:t>
            </w:r>
            <w:r>
              <w:t>28 283</w:t>
            </w:r>
            <w:r w:rsidRPr="006227D6">
              <w:t>%</w:t>
            </w:r>
          </w:p>
          <w:p w14:paraId="2D2C8A35" w14:textId="77777777" w:rsidR="00DE7676" w:rsidRPr="006227D6" w:rsidRDefault="00DE7676" w:rsidP="00DE7676">
            <w:pPr>
              <w:spacing w:after="0" w:line="276" w:lineRule="auto"/>
              <w:ind w:right="567"/>
              <w:jc w:val="right"/>
            </w:pPr>
            <w:r w:rsidRPr="006227D6">
              <w:t>0</w:t>
            </w:r>
            <w:r>
              <w:t>.</w:t>
            </w:r>
            <w:r w:rsidRPr="006227D6">
              <w:t>3</w:t>
            </w:r>
            <w:r>
              <w:t>35 814</w:t>
            </w:r>
            <w:r w:rsidRPr="006227D6">
              <w:t xml:space="preserve">% </w:t>
            </w:r>
          </w:p>
        </w:tc>
      </w:tr>
      <w:tr w:rsidR="00DE7676" w:rsidRPr="006227D6" w14:paraId="204E70FB" w14:textId="77777777" w:rsidTr="009C3F01">
        <w:trPr>
          <w:trHeight w:val="315"/>
        </w:trPr>
        <w:tc>
          <w:tcPr>
            <w:tcW w:w="3240" w:type="dxa"/>
            <w:noWrap/>
          </w:tcPr>
          <w:p w14:paraId="57B4623A" w14:textId="77777777" w:rsidR="00DE7676" w:rsidRPr="006227D6" w:rsidRDefault="00DE7676" w:rsidP="00DE7676">
            <w:pPr>
              <w:spacing w:after="0" w:line="276" w:lineRule="auto"/>
            </w:pPr>
            <w:r w:rsidRPr="006227D6">
              <w:t>Grand Duchy of Luxembourg</w:t>
            </w:r>
          </w:p>
          <w:p w14:paraId="3E2925BC" w14:textId="77777777" w:rsidR="00DE7676" w:rsidRPr="006227D6" w:rsidRDefault="00DE7676" w:rsidP="00DE7676">
            <w:pPr>
              <w:spacing w:after="0" w:line="276" w:lineRule="auto"/>
            </w:pPr>
            <w:r w:rsidRPr="006227D6">
              <w:t xml:space="preserve">Hungary </w:t>
            </w:r>
          </w:p>
        </w:tc>
        <w:tc>
          <w:tcPr>
            <w:tcW w:w="2137" w:type="dxa"/>
          </w:tcPr>
          <w:p w14:paraId="4B996EE5" w14:textId="77777777" w:rsidR="00DE7676" w:rsidRPr="006227D6" w:rsidRDefault="00DE7676" w:rsidP="00DE7676">
            <w:pPr>
              <w:spacing w:after="0" w:line="276" w:lineRule="auto"/>
              <w:ind w:right="567"/>
              <w:jc w:val="right"/>
            </w:pPr>
          </w:p>
        </w:tc>
        <w:tc>
          <w:tcPr>
            <w:tcW w:w="3520" w:type="dxa"/>
          </w:tcPr>
          <w:p w14:paraId="5840199D" w14:textId="77777777" w:rsidR="00DE7676" w:rsidRPr="006227D6" w:rsidRDefault="00DE7676" w:rsidP="00DE7676">
            <w:pPr>
              <w:spacing w:after="0" w:line="276" w:lineRule="auto"/>
              <w:ind w:right="567"/>
              <w:jc w:val="right"/>
            </w:pPr>
            <w:r w:rsidRPr="006227D6">
              <w:t>0</w:t>
            </w:r>
            <w:r>
              <w:t>.</w:t>
            </w:r>
            <w:r w:rsidRPr="006227D6">
              <w:t>3</w:t>
            </w:r>
            <w:r>
              <w:t>07 427</w:t>
            </w:r>
            <w:r w:rsidRPr="006227D6">
              <w:t>%</w:t>
            </w:r>
          </w:p>
          <w:p w14:paraId="2E236E62" w14:textId="77777777" w:rsidR="00DE7676" w:rsidRPr="006227D6" w:rsidRDefault="00DE7676" w:rsidP="00DE7676">
            <w:pPr>
              <w:spacing w:after="0" w:line="276" w:lineRule="auto"/>
              <w:ind w:right="567"/>
              <w:jc w:val="right"/>
            </w:pPr>
            <w:r w:rsidRPr="006227D6">
              <w:t>0</w:t>
            </w:r>
            <w:r>
              <w:t>.998 384</w:t>
            </w:r>
            <w:r w:rsidRPr="006227D6">
              <w:t>%</w:t>
            </w:r>
          </w:p>
        </w:tc>
      </w:tr>
      <w:tr w:rsidR="00DE7676" w:rsidRPr="006227D6" w14:paraId="550E72BC" w14:textId="77777777" w:rsidTr="009C3F01">
        <w:trPr>
          <w:trHeight w:val="315"/>
        </w:trPr>
        <w:tc>
          <w:tcPr>
            <w:tcW w:w="3240" w:type="dxa"/>
            <w:noWrap/>
          </w:tcPr>
          <w:p w14:paraId="7C511CAE" w14:textId="77777777" w:rsidR="00DE7676" w:rsidRPr="006227D6" w:rsidRDefault="00DE7676" w:rsidP="00DE7676">
            <w:pPr>
              <w:spacing w:after="0" w:line="276" w:lineRule="auto"/>
            </w:pPr>
            <w:smartTag w:uri="urn:schemas-microsoft-com:office:smarttags" w:element="place">
              <w:smartTag w:uri="urn:schemas-microsoft-com:office:smarttags" w:element="PlaceType">
                <w:r w:rsidRPr="006227D6">
                  <w:t>Republic</w:t>
                </w:r>
              </w:smartTag>
              <w:r w:rsidRPr="006227D6">
                <w:t xml:space="preserve"> of </w:t>
              </w:r>
              <w:smartTag w:uri="urn:schemas-microsoft-com:office:smarttags" w:element="PlaceName">
                <w:r w:rsidRPr="006227D6">
                  <w:t>Malta</w:t>
                </w:r>
              </w:smartTag>
            </w:smartTag>
          </w:p>
        </w:tc>
        <w:tc>
          <w:tcPr>
            <w:tcW w:w="2137" w:type="dxa"/>
          </w:tcPr>
          <w:p w14:paraId="4EC634B3" w14:textId="77777777" w:rsidR="00DE7676" w:rsidRPr="006227D6" w:rsidRDefault="00DE7676" w:rsidP="00DE7676">
            <w:pPr>
              <w:spacing w:after="0" w:line="276" w:lineRule="auto"/>
              <w:ind w:right="567"/>
              <w:jc w:val="right"/>
            </w:pPr>
          </w:p>
        </w:tc>
        <w:tc>
          <w:tcPr>
            <w:tcW w:w="3520" w:type="dxa"/>
          </w:tcPr>
          <w:p w14:paraId="24E089AD" w14:textId="77777777" w:rsidR="00DE7676" w:rsidRPr="006227D6" w:rsidRDefault="00DE7676" w:rsidP="00DE7676">
            <w:pPr>
              <w:spacing w:after="0" w:line="276" w:lineRule="auto"/>
              <w:ind w:right="567"/>
              <w:jc w:val="right"/>
            </w:pPr>
            <w:r w:rsidRPr="006227D6">
              <w:t>0</w:t>
            </w:r>
            <w:r>
              <w:t>.092 177</w:t>
            </w:r>
            <w:r w:rsidRPr="006227D6">
              <w:t>%</w:t>
            </w:r>
          </w:p>
        </w:tc>
      </w:tr>
      <w:tr w:rsidR="00DE7676" w:rsidRPr="006227D6" w14:paraId="1A300383" w14:textId="77777777" w:rsidTr="009C3F01">
        <w:trPr>
          <w:trHeight w:val="315"/>
        </w:trPr>
        <w:tc>
          <w:tcPr>
            <w:tcW w:w="3240" w:type="dxa"/>
            <w:noWrap/>
          </w:tcPr>
          <w:p w14:paraId="26547BAD" w14:textId="77777777" w:rsidR="00DE7676" w:rsidRPr="006227D6" w:rsidRDefault="00DE7676" w:rsidP="00DE7676">
            <w:pPr>
              <w:spacing w:after="0" w:line="276" w:lineRule="auto"/>
            </w:pPr>
            <w:r w:rsidRPr="006227D6">
              <w:t xml:space="preserve">Kingdom of the </w:t>
            </w:r>
            <w:smartTag w:uri="urn:schemas-microsoft-com:office:smarttags" w:element="place">
              <w:smartTag w:uri="urn:schemas-microsoft-com:office:smarttags" w:element="country-region">
                <w:r w:rsidRPr="006227D6">
                  <w:t>Netherlands</w:t>
                </w:r>
              </w:smartTag>
            </w:smartTag>
          </w:p>
        </w:tc>
        <w:tc>
          <w:tcPr>
            <w:tcW w:w="2137" w:type="dxa"/>
          </w:tcPr>
          <w:p w14:paraId="12196C79" w14:textId="77777777" w:rsidR="00DE7676" w:rsidRPr="006227D6" w:rsidRDefault="00DE7676" w:rsidP="00DE7676">
            <w:pPr>
              <w:spacing w:after="0" w:line="276" w:lineRule="auto"/>
              <w:ind w:right="567"/>
              <w:jc w:val="right"/>
            </w:pPr>
          </w:p>
        </w:tc>
        <w:tc>
          <w:tcPr>
            <w:tcW w:w="3520" w:type="dxa"/>
          </w:tcPr>
          <w:p w14:paraId="74632283" w14:textId="77777777" w:rsidR="00DE7676" w:rsidRPr="006227D6" w:rsidRDefault="00DE7676" w:rsidP="00DE7676">
            <w:pPr>
              <w:spacing w:after="0" w:line="276" w:lineRule="auto"/>
              <w:ind w:right="567"/>
              <w:jc w:val="right"/>
            </w:pPr>
            <w:r w:rsidRPr="006227D6">
              <w:t>5</w:t>
            </w:r>
            <w:r>
              <w:t>.764 798</w:t>
            </w:r>
            <w:r w:rsidRPr="006227D6">
              <w:t>%</w:t>
            </w:r>
          </w:p>
        </w:tc>
      </w:tr>
      <w:tr w:rsidR="00DE7676" w:rsidRPr="006227D6" w14:paraId="61B464CA" w14:textId="77777777" w:rsidTr="009C3F01">
        <w:trPr>
          <w:trHeight w:val="315"/>
        </w:trPr>
        <w:tc>
          <w:tcPr>
            <w:tcW w:w="3240" w:type="dxa"/>
            <w:noWrap/>
          </w:tcPr>
          <w:p w14:paraId="3F037F3F" w14:textId="77777777" w:rsidR="00DE7676" w:rsidRPr="006227D6" w:rsidRDefault="00DE7676" w:rsidP="00DE7676">
            <w:pPr>
              <w:spacing w:after="0" w:line="276" w:lineRule="auto"/>
            </w:pPr>
            <w:smartTag w:uri="urn:schemas-microsoft-com:office:smarttags" w:element="PlaceType">
              <w:r w:rsidRPr="006227D6">
                <w:t>Republic</w:t>
              </w:r>
            </w:smartTag>
            <w:r w:rsidRPr="006227D6">
              <w:t xml:space="preserve"> of Austria</w:t>
            </w:r>
          </w:p>
          <w:p w14:paraId="043578BF" w14:textId="77777777" w:rsidR="00DE7676" w:rsidRPr="006227D6" w:rsidRDefault="00DE7676" w:rsidP="00DE7676">
            <w:pPr>
              <w:spacing w:after="0" w:line="276" w:lineRule="auto"/>
            </w:pPr>
            <w:r w:rsidRPr="006227D6">
              <w:t xml:space="preserve">Republic of Poland </w:t>
            </w:r>
          </w:p>
        </w:tc>
        <w:tc>
          <w:tcPr>
            <w:tcW w:w="2137" w:type="dxa"/>
          </w:tcPr>
          <w:p w14:paraId="1265D73C" w14:textId="77777777" w:rsidR="00DE7676" w:rsidRPr="006227D6" w:rsidRDefault="00DE7676" w:rsidP="00DE7676">
            <w:pPr>
              <w:spacing w:after="0" w:line="276" w:lineRule="auto"/>
              <w:ind w:right="567"/>
              <w:jc w:val="right"/>
            </w:pPr>
          </w:p>
        </w:tc>
        <w:tc>
          <w:tcPr>
            <w:tcW w:w="3520" w:type="dxa"/>
          </w:tcPr>
          <w:p w14:paraId="67FED3D7" w14:textId="77777777" w:rsidR="00DE7676" w:rsidRPr="006227D6" w:rsidRDefault="00DE7676" w:rsidP="00DE7676">
            <w:pPr>
              <w:spacing w:after="0" w:line="276" w:lineRule="auto"/>
              <w:ind w:right="567"/>
              <w:jc w:val="right"/>
            </w:pPr>
            <w:r w:rsidRPr="006227D6">
              <w:t>2</w:t>
            </w:r>
            <w:r>
              <w:t>.868 863</w:t>
            </w:r>
            <w:r w:rsidRPr="006227D6">
              <w:t>%</w:t>
            </w:r>
          </w:p>
          <w:p w14:paraId="3611BE0A" w14:textId="77777777" w:rsidR="00DE7676" w:rsidRPr="006227D6" w:rsidRDefault="00DE7676" w:rsidP="00DE7676">
            <w:pPr>
              <w:spacing w:after="0" w:line="276" w:lineRule="auto"/>
              <w:ind w:right="567"/>
              <w:jc w:val="right"/>
            </w:pPr>
            <w:r w:rsidRPr="006227D6">
              <w:t>3</w:t>
            </w:r>
            <w:r>
              <w:t>.</w:t>
            </w:r>
            <w:r w:rsidRPr="006227D6">
              <w:t>7</w:t>
            </w:r>
            <w:r>
              <w:t>20 413</w:t>
            </w:r>
            <w:r w:rsidRPr="006227D6">
              <w:t>%</w:t>
            </w:r>
          </w:p>
        </w:tc>
      </w:tr>
      <w:tr w:rsidR="00DE7676" w:rsidRPr="006227D6" w14:paraId="6CA6B5C4" w14:textId="77777777" w:rsidTr="009C3F01">
        <w:trPr>
          <w:trHeight w:val="315"/>
        </w:trPr>
        <w:tc>
          <w:tcPr>
            <w:tcW w:w="3240" w:type="dxa"/>
            <w:noWrap/>
          </w:tcPr>
          <w:p w14:paraId="608B8D72" w14:textId="77777777" w:rsidR="00DE7676" w:rsidRPr="006227D6" w:rsidRDefault="00DE7676" w:rsidP="00DE7676">
            <w:pPr>
              <w:spacing w:after="0" w:line="276" w:lineRule="auto"/>
            </w:pPr>
            <w:smartTag w:uri="urn:schemas-microsoft-com:office:smarttags" w:element="PlaceName">
              <w:r w:rsidRPr="006227D6">
                <w:t>Portuguese</w:t>
              </w:r>
            </w:smartTag>
            <w:r w:rsidRPr="006227D6">
              <w:t xml:space="preserve"> Republic</w:t>
            </w:r>
          </w:p>
          <w:p w14:paraId="64BE361D" w14:textId="77777777" w:rsidR="00DE7676" w:rsidRPr="006227D6" w:rsidRDefault="00DE7676" w:rsidP="00DE7676">
            <w:pPr>
              <w:spacing w:after="0" w:line="276" w:lineRule="auto"/>
            </w:pPr>
            <w:r w:rsidRPr="006227D6">
              <w:t>Romania</w:t>
            </w:r>
          </w:p>
        </w:tc>
        <w:tc>
          <w:tcPr>
            <w:tcW w:w="2137" w:type="dxa"/>
          </w:tcPr>
          <w:p w14:paraId="702EDF5B" w14:textId="77777777" w:rsidR="00DE7676" w:rsidRPr="006227D6" w:rsidRDefault="00DE7676" w:rsidP="00DE7676">
            <w:pPr>
              <w:spacing w:after="0" w:line="276" w:lineRule="auto"/>
              <w:ind w:right="567"/>
              <w:jc w:val="right"/>
            </w:pPr>
          </w:p>
        </w:tc>
        <w:tc>
          <w:tcPr>
            <w:tcW w:w="3520" w:type="dxa"/>
          </w:tcPr>
          <w:p w14:paraId="513BAAAE" w14:textId="77777777" w:rsidR="00DE7676" w:rsidRPr="006227D6" w:rsidRDefault="00DE7676" w:rsidP="00DE7676">
            <w:pPr>
              <w:spacing w:after="0" w:line="276" w:lineRule="auto"/>
              <w:ind w:right="567"/>
              <w:jc w:val="right"/>
            </w:pPr>
            <w:r w:rsidRPr="006227D6">
              <w:t>1</w:t>
            </w:r>
            <w:r>
              <w:t>.462 284</w:t>
            </w:r>
            <w:r w:rsidRPr="006227D6">
              <w:t>%</w:t>
            </w:r>
          </w:p>
          <w:p w14:paraId="790FC287" w14:textId="77777777" w:rsidR="00DE7676" w:rsidRPr="006227D6" w:rsidRDefault="00DE7676" w:rsidP="00DE7676">
            <w:pPr>
              <w:spacing w:after="0" w:line="276" w:lineRule="auto"/>
              <w:ind w:right="567"/>
              <w:jc w:val="right"/>
            </w:pPr>
            <w:r w:rsidRPr="006227D6">
              <w:t>1</w:t>
            </w:r>
            <w:r>
              <w:t>.573 537</w:t>
            </w:r>
            <w:r w:rsidRPr="006227D6">
              <w:t>%</w:t>
            </w:r>
          </w:p>
        </w:tc>
      </w:tr>
      <w:tr w:rsidR="00DE7676" w:rsidRPr="006227D6" w14:paraId="39FF8E03" w14:textId="77777777" w:rsidTr="009C3F01">
        <w:trPr>
          <w:trHeight w:val="315"/>
        </w:trPr>
        <w:tc>
          <w:tcPr>
            <w:tcW w:w="3240" w:type="dxa"/>
            <w:noWrap/>
          </w:tcPr>
          <w:p w14:paraId="529822CD" w14:textId="77777777" w:rsidR="00DE7676" w:rsidRPr="006227D6" w:rsidRDefault="00DE7676" w:rsidP="00DE7676">
            <w:pPr>
              <w:spacing w:after="0" w:line="276" w:lineRule="auto"/>
            </w:pPr>
            <w:smartTag w:uri="urn:schemas-microsoft-com:office:smarttags" w:element="place">
              <w:smartTag w:uri="urn:schemas-microsoft-com:office:smarttags" w:element="PlaceType">
                <w:r w:rsidRPr="006227D6">
                  <w:t>Republic</w:t>
                </w:r>
              </w:smartTag>
              <w:r w:rsidRPr="006227D6">
                <w:t xml:space="preserve"> of </w:t>
              </w:r>
              <w:smartTag w:uri="urn:schemas-microsoft-com:office:smarttags" w:element="PlaceName">
                <w:r w:rsidRPr="006227D6">
                  <w:t>Slovenia</w:t>
                </w:r>
              </w:smartTag>
            </w:smartTag>
          </w:p>
        </w:tc>
        <w:tc>
          <w:tcPr>
            <w:tcW w:w="2137" w:type="dxa"/>
          </w:tcPr>
          <w:p w14:paraId="317C0364" w14:textId="77777777" w:rsidR="00DE7676" w:rsidRPr="006227D6" w:rsidRDefault="00DE7676" w:rsidP="00DE7676">
            <w:pPr>
              <w:spacing w:after="0" w:line="276" w:lineRule="auto"/>
              <w:ind w:right="567"/>
              <w:jc w:val="right"/>
            </w:pPr>
          </w:p>
        </w:tc>
        <w:tc>
          <w:tcPr>
            <w:tcW w:w="3520" w:type="dxa"/>
          </w:tcPr>
          <w:p w14:paraId="7D9AE2E6" w14:textId="77777777" w:rsidR="00DE7676" w:rsidRPr="006227D6" w:rsidRDefault="00DE7676" w:rsidP="00DE7676">
            <w:pPr>
              <w:spacing w:after="0" w:line="276" w:lineRule="auto"/>
              <w:ind w:right="567"/>
              <w:jc w:val="right"/>
            </w:pPr>
            <w:r w:rsidRPr="006227D6">
              <w:t>0</w:t>
            </w:r>
            <w:r>
              <w:t>.352 506</w:t>
            </w:r>
            <w:r w:rsidRPr="006227D6">
              <w:t>%</w:t>
            </w:r>
          </w:p>
        </w:tc>
      </w:tr>
      <w:tr w:rsidR="00DE7676" w:rsidRPr="006227D6" w14:paraId="4EC19BD5" w14:textId="77777777" w:rsidTr="009C3F01">
        <w:trPr>
          <w:trHeight w:val="315"/>
        </w:trPr>
        <w:tc>
          <w:tcPr>
            <w:tcW w:w="3240" w:type="dxa"/>
            <w:noWrap/>
          </w:tcPr>
          <w:p w14:paraId="1BF7D7B1" w14:textId="77777777" w:rsidR="00DE7676" w:rsidRPr="006227D6" w:rsidRDefault="00DE7676" w:rsidP="00DE7676">
            <w:pPr>
              <w:spacing w:after="0" w:line="276" w:lineRule="auto"/>
            </w:pPr>
            <w:smartTag w:uri="urn:schemas-microsoft-com:office:smarttags" w:element="place">
              <w:smartTag w:uri="urn:schemas-microsoft-com:office:smarttags" w:element="PlaceName">
                <w:r w:rsidRPr="006227D6">
                  <w:t>Slovak</w:t>
                </w:r>
              </w:smartTag>
              <w:r w:rsidRPr="006227D6">
                <w:t xml:space="preserve"> </w:t>
              </w:r>
              <w:smartTag w:uri="urn:schemas-microsoft-com:office:smarttags" w:element="PlaceType">
                <w:r w:rsidRPr="006227D6">
                  <w:t>Republic</w:t>
                </w:r>
              </w:smartTag>
            </w:smartTag>
          </w:p>
        </w:tc>
        <w:tc>
          <w:tcPr>
            <w:tcW w:w="2137" w:type="dxa"/>
          </w:tcPr>
          <w:p w14:paraId="0E1A6989" w14:textId="77777777" w:rsidR="00DE7676" w:rsidRPr="006227D6" w:rsidRDefault="00DE7676" w:rsidP="00DE7676">
            <w:pPr>
              <w:spacing w:after="0" w:line="276" w:lineRule="auto"/>
              <w:ind w:right="567"/>
              <w:jc w:val="right"/>
            </w:pPr>
          </w:p>
        </w:tc>
        <w:tc>
          <w:tcPr>
            <w:tcW w:w="3520" w:type="dxa"/>
          </w:tcPr>
          <w:p w14:paraId="264F6425" w14:textId="77777777" w:rsidR="00DE7676" w:rsidRPr="006227D6" w:rsidRDefault="00DE7676" w:rsidP="00DE7676">
            <w:pPr>
              <w:spacing w:after="0" w:line="276" w:lineRule="auto"/>
              <w:ind w:right="567"/>
              <w:jc w:val="right"/>
            </w:pPr>
            <w:r w:rsidRPr="006227D6">
              <w:t>0</w:t>
            </w:r>
            <w:r w:rsidR="006E0C03">
              <w:t>.</w:t>
            </w:r>
            <w:r>
              <w:t>694 065</w:t>
            </w:r>
            <w:r w:rsidRPr="006227D6">
              <w:t>%</w:t>
            </w:r>
          </w:p>
        </w:tc>
      </w:tr>
      <w:tr w:rsidR="00DE7676" w:rsidRPr="006227D6" w14:paraId="72D5A393" w14:textId="77777777" w:rsidTr="009C3F01">
        <w:trPr>
          <w:trHeight w:val="360"/>
        </w:trPr>
        <w:tc>
          <w:tcPr>
            <w:tcW w:w="3240" w:type="dxa"/>
            <w:noWrap/>
          </w:tcPr>
          <w:p w14:paraId="748423A6" w14:textId="77777777" w:rsidR="00DE7676" w:rsidRPr="006227D6" w:rsidRDefault="00DE7676" w:rsidP="00DE7676">
            <w:pPr>
              <w:spacing w:after="0" w:line="276" w:lineRule="auto"/>
            </w:pPr>
            <w:smartTag w:uri="urn:schemas-microsoft-com:office:smarttags" w:element="PlaceType">
              <w:r w:rsidRPr="006227D6">
                <w:t>Republic</w:t>
              </w:r>
            </w:smartTag>
            <w:r w:rsidRPr="006227D6">
              <w:t xml:space="preserve"> of Finland</w:t>
            </w:r>
          </w:p>
          <w:p w14:paraId="0C589F61" w14:textId="77777777" w:rsidR="00DE7676" w:rsidRPr="006227D6" w:rsidRDefault="00DE7676" w:rsidP="00DE7676">
            <w:pPr>
              <w:spacing w:after="0" w:line="276" w:lineRule="auto"/>
            </w:pPr>
            <w:r w:rsidRPr="006227D6">
              <w:t>Kingdom of Sweden</w:t>
            </w:r>
          </w:p>
        </w:tc>
        <w:tc>
          <w:tcPr>
            <w:tcW w:w="2137" w:type="dxa"/>
          </w:tcPr>
          <w:p w14:paraId="3EE6FA52" w14:textId="77777777" w:rsidR="00DE7676" w:rsidRPr="006227D6" w:rsidRDefault="00DE7676" w:rsidP="00DE7676">
            <w:pPr>
              <w:spacing w:after="0" w:line="276" w:lineRule="auto"/>
              <w:ind w:right="567"/>
              <w:jc w:val="right"/>
            </w:pPr>
          </w:p>
        </w:tc>
        <w:tc>
          <w:tcPr>
            <w:tcW w:w="3520" w:type="dxa"/>
          </w:tcPr>
          <w:p w14:paraId="3E1DEA77" w14:textId="77777777" w:rsidR="00DE7676" w:rsidRPr="006227D6" w:rsidRDefault="00DE7676" w:rsidP="00DE7676">
            <w:pPr>
              <w:spacing w:after="0" w:line="276" w:lineRule="auto"/>
              <w:ind w:right="567"/>
              <w:jc w:val="right"/>
            </w:pPr>
            <w:r w:rsidRPr="006227D6">
              <w:t>1</w:t>
            </w:r>
            <w:r>
              <w:t>.</w:t>
            </w:r>
            <w:r w:rsidRPr="006227D6">
              <w:t>7</w:t>
            </w:r>
            <w:r>
              <w:t>26 961</w:t>
            </w:r>
            <w:r w:rsidRPr="006227D6">
              <w:t>%</w:t>
            </w:r>
          </w:p>
          <w:p w14:paraId="1CB8A66F" w14:textId="77777777" w:rsidR="00DE7676" w:rsidRPr="006227D6" w:rsidRDefault="00DE7676" w:rsidP="00DE7676">
            <w:pPr>
              <w:spacing w:after="0" w:line="276" w:lineRule="auto"/>
              <w:ind w:right="567"/>
              <w:jc w:val="right"/>
              <w:rPr>
                <w:u w:val="single"/>
              </w:rPr>
            </w:pPr>
            <w:r w:rsidRPr="006227D6">
              <w:rPr>
                <w:u w:val="single"/>
              </w:rPr>
              <w:t>3</w:t>
            </w:r>
            <w:r>
              <w:rPr>
                <w:u w:val="single"/>
              </w:rPr>
              <w:t>.394 149</w:t>
            </w:r>
            <w:r w:rsidRPr="006227D6">
              <w:rPr>
                <w:u w:val="single"/>
              </w:rPr>
              <w:t>%</w:t>
            </w:r>
          </w:p>
        </w:tc>
      </w:tr>
      <w:tr w:rsidR="00DE7676" w:rsidRPr="00116853" w14:paraId="482A67D8" w14:textId="77777777" w:rsidTr="009C3F01">
        <w:trPr>
          <w:trHeight w:val="315"/>
        </w:trPr>
        <w:tc>
          <w:tcPr>
            <w:tcW w:w="3240" w:type="dxa"/>
            <w:noWrap/>
          </w:tcPr>
          <w:p w14:paraId="08F12189" w14:textId="77777777" w:rsidR="00DE7676" w:rsidRPr="006227D6" w:rsidRDefault="00DE7676" w:rsidP="00DE7676">
            <w:pPr>
              <w:spacing w:after="0" w:line="276" w:lineRule="auto"/>
              <w:rPr>
                <w:b/>
              </w:rPr>
            </w:pPr>
            <w:r w:rsidRPr="006227D6">
              <w:rPr>
                <w:b/>
              </w:rPr>
              <w:t>Total</w:t>
            </w:r>
          </w:p>
        </w:tc>
        <w:tc>
          <w:tcPr>
            <w:tcW w:w="2137" w:type="dxa"/>
          </w:tcPr>
          <w:p w14:paraId="25A0443C" w14:textId="77777777" w:rsidR="00DE7676" w:rsidRPr="006227D6" w:rsidRDefault="00DE7676" w:rsidP="00DE7676">
            <w:pPr>
              <w:spacing w:after="0" w:line="276" w:lineRule="auto"/>
              <w:ind w:right="567"/>
              <w:jc w:val="right"/>
            </w:pPr>
          </w:p>
        </w:tc>
        <w:tc>
          <w:tcPr>
            <w:tcW w:w="3520" w:type="dxa"/>
          </w:tcPr>
          <w:p w14:paraId="106685DF" w14:textId="77777777" w:rsidR="00DE7676" w:rsidRPr="00116853" w:rsidRDefault="00DE7676" w:rsidP="00DE7676">
            <w:pPr>
              <w:spacing w:after="0" w:line="276" w:lineRule="auto"/>
              <w:ind w:right="567"/>
              <w:jc w:val="right"/>
            </w:pPr>
            <w:r w:rsidRPr="006227D6">
              <w:t>100.000</w:t>
            </w:r>
            <w:r>
              <w:t xml:space="preserve"> </w:t>
            </w:r>
            <w:r w:rsidRPr="006227D6">
              <w:t>000%</w:t>
            </w:r>
          </w:p>
        </w:tc>
      </w:tr>
      <w:tr w:rsidR="005160E4" w:rsidRPr="00116853" w14:paraId="5FDECF1D" w14:textId="77777777" w:rsidTr="009C3F01">
        <w:trPr>
          <w:trHeight w:val="315"/>
        </w:trPr>
        <w:tc>
          <w:tcPr>
            <w:tcW w:w="3240" w:type="dxa"/>
            <w:noWrap/>
          </w:tcPr>
          <w:p w14:paraId="1DDEAD47" w14:textId="77777777" w:rsidR="005160E4" w:rsidRPr="00116853" w:rsidRDefault="005160E4" w:rsidP="00BD4815">
            <w:pPr>
              <w:spacing w:after="0"/>
            </w:pPr>
          </w:p>
        </w:tc>
        <w:tc>
          <w:tcPr>
            <w:tcW w:w="2137" w:type="dxa"/>
          </w:tcPr>
          <w:p w14:paraId="02AA2E2D" w14:textId="77777777" w:rsidR="005160E4" w:rsidRPr="00116853" w:rsidRDefault="005160E4" w:rsidP="00BD4815">
            <w:pPr>
              <w:spacing w:after="0"/>
              <w:ind w:right="567"/>
              <w:jc w:val="right"/>
            </w:pPr>
          </w:p>
        </w:tc>
        <w:tc>
          <w:tcPr>
            <w:tcW w:w="3520" w:type="dxa"/>
          </w:tcPr>
          <w:p w14:paraId="55BA1C5C" w14:textId="77777777" w:rsidR="005160E4" w:rsidRPr="00116853" w:rsidRDefault="005160E4" w:rsidP="00BD4815">
            <w:pPr>
              <w:spacing w:after="0"/>
              <w:ind w:right="567"/>
              <w:jc w:val="right"/>
            </w:pPr>
          </w:p>
        </w:tc>
      </w:tr>
    </w:tbl>
    <w:p w14:paraId="01BC6647" w14:textId="77777777" w:rsidR="006204CD" w:rsidRPr="00116853" w:rsidRDefault="006204CD" w:rsidP="00A744E5">
      <w:pPr>
        <w:pStyle w:val="BodyText"/>
        <w:rPr>
          <w:rFonts w:cs="Times New Roman"/>
        </w:rPr>
      </w:pPr>
    </w:p>
    <w:sectPr w:rsidR="006204CD" w:rsidRPr="00116853" w:rsidSect="00BD4815">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7CD78" w14:textId="77777777" w:rsidR="00543AFC" w:rsidRDefault="00543AFC" w:rsidP="00C434F0">
      <w:pPr>
        <w:spacing w:after="0"/>
      </w:pPr>
      <w:r>
        <w:separator/>
      </w:r>
    </w:p>
  </w:endnote>
  <w:endnote w:type="continuationSeparator" w:id="0">
    <w:p w14:paraId="33418379" w14:textId="77777777" w:rsidR="00543AFC" w:rsidRDefault="00543AFC" w:rsidP="00C434F0">
      <w:pPr>
        <w:spacing w:after="0"/>
      </w:pPr>
      <w:r>
        <w:continuationSeparator/>
      </w:r>
    </w:p>
  </w:endnote>
  <w:endnote w:type="continuationNotice" w:id="1">
    <w:p w14:paraId="7CAA2743" w14:textId="77777777" w:rsidR="00543AFC" w:rsidRDefault="00543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1863" w14:textId="77777777" w:rsidR="003F3AB9" w:rsidRDefault="003F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080"/>
      <w:gridCol w:w="3081"/>
      <w:gridCol w:w="3081"/>
    </w:tblGrid>
    <w:tr w:rsidR="00F05776" w:rsidRPr="006C2317" w14:paraId="6E1299A1" w14:textId="77777777" w:rsidTr="009B516B">
      <w:tc>
        <w:tcPr>
          <w:tcW w:w="1666" w:type="pct"/>
        </w:tcPr>
        <w:p w14:paraId="0E7FAAE5" w14:textId="77777777" w:rsidR="00F05776" w:rsidRPr="006C2317" w:rsidRDefault="00F05776" w:rsidP="006C2317">
          <w:pPr>
            <w:pStyle w:val="Footer"/>
            <w:rPr>
              <w:lang w:bidi="ar-AE"/>
            </w:rPr>
          </w:pPr>
        </w:p>
      </w:tc>
      <w:tc>
        <w:tcPr>
          <w:tcW w:w="1667" w:type="pct"/>
        </w:tcPr>
        <w:p w14:paraId="52CBBAAE" w14:textId="77777777" w:rsidR="00F05776" w:rsidRPr="006C2317" w:rsidRDefault="00F05776" w:rsidP="006C2317">
          <w:pPr>
            <w:pStyle w:val="Footer"/>
            <w:jc w:val="center"/>
            <w:rPr>
              <w:rStyle w:val="PageNumber"/>
            </w:rPr>
          </w:pPr>
        </w:p>
      </w:tc>
      <w:tc>
        <w:tcPr>
          <w:tcW w:w="1667" w:type="pct"/>
        </w:tcPr>
        <w:p w14:paraId="6CC5747C" w14:textId="77777777" w:rsidR="00F05776" w:rsidRPr="006C2317" w:rsidRDefault="00F05776" w:rsidP="006C2317">
          <w:pPr>
            <w:pStyle w:val="FooterRight"/>
            <w:rPr>
              <w:lang w:bidi="ar-AE"/>
            </w:rPr>
          </w:pPr>
          <w:r>
            <w:rPr>
              <w:lang w:bidi="ar-AE"/>
            </w:rPr>
            <w:t>...</w:t>
          </w:r>
        </w:p>
      </w:tc>
    </w:tr>
  </w:tbl>
  <w:p w14:paraId="5A9C9492" w14:textId="77777777" w:rsidR="00F05776" w:rsidRDefault="00F05776" w:rsidP="00757998">
    <w:pPr>
      <w:pStyle w:val="Regulator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B81D" w14:textId="77777777" w:rsidR="003F3AB9" w:rsidRDefault="003F3A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080"/>
      <w:gridCol w:w="3081"/>
      <w:gridCol w:w="3081"/>
    </w:tblGrid>
    <w:tr w:rsidR="00F05776" w14:paraId="3860E412" w14:textId="77777777" w:rsidTr="009B516B">
      <w:tc>
        <w:tcPr>
          <w:tcW w:w="1666" w:type="pct"/>
        </w:tcPr>
        <w:p w14:paraId="5F97524F" w14:textId="77777777" w:rsidR="00F05776" w:rsidRDefault="00F05776" w:rsidP="005A626D">
          <w:pPr>
            <w:pStyle w:val="Footer"/>
            <w:rPr>
              <w:lang w:bidi="ar-AE"/>
            </w:rPr>
          </w:pPr>
        </w:p>
      </w:tc>
      <w:tc>
        <w:tcPr>
          <w:tcW w:w="1667" w:type="pct"/>
        </w:tcPr>
        <w:p w14:paraId="4B3D7897" w14:textId="7B020C34" w:rsidR="00F05776" w:rsidRPr="005A626D" w:rsidRDefault="00F05776" w:rsidP="005A626D">
          <w:pPr>
            <w:pStyle w:val="Footer"/>
            <w:jc w:val="center"/>
            <w:rPr>
              <w:rStyle w:val="PageNumber"/>
            </w:rPr>
          </w:pPr>
          <w:r>
            <w:rPr>
              <w:rStyle w:val="PageNumber"/>
            </w:rPr>
            <w:t xml:space="preserve">- </w:t>
          </w:r>
          <w:r w:rsidRPr="00CA2DBF">
            <w:rPr>
              <w:rStyle w:val="PageNumber"/>
            </w:rPr>
            <w:fldChar w:fldCharType="begin"/>
          </w:r>
          <w:r w:rsidRPr="00CA2DBF">
            <w:rPr>
              <w:rStyle w:val="PageNumber"/>
            </w:rPr>
            <w:instrText xml:space="preserve"> PAGE   \* MERGEFORMAT </w:instrText>
          </w:r>
          <w:r w:rsidRPr="00CA2DBF">
            <w:rPr>
              <w:rStyle w:val="PageNumber"/>
            </w:rPr>
            <w:fldChar w:fldCharType="separate"/>
          </w:r>
          <w:r w:rsidR="003F3AB9">
            <w:rPr>
              <w:rStyle w:val="PageNumber"/>
              <w:noProof/>
            </w:rPr>
            <w:t>ii</w:t>
          </w:r>
          <w:r w:rsidRPr="00CA2DBF">
            <w:rPr>
              <w:rStyle w:val="PageNumber"/>
            </w:rPr>
            <w:fldChar w:fldCharType="end"/>
          </w:r>
          <w:r>
            <w:rPr>
              <w:rStyle w:val="PageNumber"/>
            </w:rPr>
            <w:t xml:space="preserve"> -</w:t>
          </w:r>
        </w:p>
      </w:tc>
      <w:tc>
        <w:tcPr>
          <w:tcW w:w="1667" w:type="pct"/>
        </w:tcPr>
        <w:p w14:paraId="1048152C" w14:textId="77777777" w:rsidR="00F05776" w:rsidRDefault="00F05776" w:rsidP="005A626D">
          <w:pPr>
            <w:pStyle w:val="FooterRight"/>
            <w:rPr>
              <w:lang w:bidi="ar-AE"/>
            </w:rPr>
          </w:pPr>
          <w:r>
            <w:rPr>
              <w:lang w:bidi="ar-AE"/>
            </w:rPr>
            <w:t>...</w:t>
          </w:r>
        </w:p>
      </w:tc>
    </w:tr>
  </w:tbl>
  <w:p w14:paraId="781A4B05" w14:textId="77777777" w:rsidR="00F05776" w:rsidRDefault="00F05776">
    <w:pPr>
      <w:pStyle w:val="Footer"/>
      <w:rPr>
        <w:lang w:bidi="ar-AE"/>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AA9E" w14:textId="77777777" w:rsidR="00F05776" w:rsidRDefault="00F057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04E0" w14:textId="77777777" w:rsidR="00F05776" w:rsidRDefault="00F057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0"/>
      <w:gridCol w:w="3081"/>
      <w:gridCol w:w="3081"/>
    </w:tblGrid>
    <w:tr w:rsidR="00F05776" w14:paraId="25031BCA" w14:textId="77777777" w:rsidTr="00BD4815">
      <w:tc>
        <w:tcPr>
          <w:tcW w:w="3080" w:type="dxa"/>
        </w:tcPr>
        <w:p w14:paraId="40840729" w14:textId="77777777" w:rsidR="00F05776" w:rsidRDefault="00F05776" w:rsidP="00BD4815">
          <w:pPr>
            <w:pStyle w:val="Footer"/>
          </w:pPr>
        </w:p>
      </w:tc>
      <w:tc>
        <w:tcPr>
          <w:tcW w:w="3081" w:type="dxa"/>
        </w:tcPr>
        <w:p w14:paraId="24137A73" w14:textId="694335F2" w:rsidR="00F05776" w:rsidRPr="00CA2DBF" w:rsidRDefault="00F05776" w:rsidP="00BD4815">
          <w:pPr>
            <w:pStyle w:val="Footer"/>
            <w:jc w:val="center"/>
            <w:rPr>
              <w:rStyle w:val="PageNumber"/>
            </w:rPr>
          </w:pPr>
          <w:r>
            <w:rPr>
              <w:rStyle w:val="PageNumber"/>
            </w:rPr>
            <w:t xml:space="preserve">- </w:t>
          </w:r>
          <w:r w:rsidRPr="00CA2DBF">
            <w:rPr>
              <w:rStyle w:val="PageNumber"/>
            </w:rPr>
            <w:fldChar w:fldCharType="begin"/>
          </w:r>
          <w:r w:rsidRPr="00CA2DBF">
            <w:rPr>
              <w:rStyle w:val="PageNumber"/>
            </w:rPr>
            <w:instrText xml:space="preserve"> PAGE   \* MERGEFORMAT </w:instrText>
          </w:r>
          <w:r w:rsidRPr="00CA2DBF">
            <w:rPr>
              <w:rStyle w:val="PageNumber"/>
            </w:rPr>
            <w:fldChar w:fldCharType="separate"/>
          </w:r>
          <w:r w:rsidR="003F3AB9">
            <w:rPr>
              <w:rStyle w:val="PageNumber"/>
              <w:noProof/>
            </w:rPr>
            <w:t>2</w:t>
          </w:r>
          <w:r w:rsidRPr="00CA2DBF">
            <w:rPr>
              <w:rStyle w:val="PageNumber"/>
            </w:rPr>
            <w:fldChar w:fldCharType="end"/>
          </w:r>
          <w:r>
            <w:rPr>
              <w:rStyle w:val="PageNumber"/>
            </w:rPr>
            <w:t xml:space="preserve"> -</w:t>
          </w:r>
        </w:p>
      </w:tc>
      <w:tc>
        <w:tcPr>
          <w:tcW w:w="3081" w:type="dxa"/>
        </w:tcPr>
        <w:p w14:paraId="1A4D5D5B" w14:textId="77777777" w:rsidR="00F05776" w:rsidRDefault="00F05776" w:rsidP="00BD4815">
          <w:pPr>
            <w:pStyle w:val="FooterRight"/>
          </w:pPr>
          <w:r>
            <w:t>...</w:t>
          </w:r>
        </w:p>
      </w:tc>
    </w:tr>
  </w:tbl>
  <w:p w14:paraId="034DE2E9" w14:textId="77777777" w:rsidR="00F05776" w:rsidRDefault="00F05776" w:rsidP="00BD48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0"/>
      <w:gridCol w:w="3081"/>
      <w:gridCol w:w="3081"/>
    </w:tblGrid>
    <w:tr w:rsidR="00F05776" w:rsidRPr="00CA2DBF" w14:paraId="15FB95FA" w14:textId="77777777" w:rsidTr="00BD4815">
      <w:tc>
        <w:tcPr>
          <w:tcW w:w="3080" w:type="dxa"/>
        </w:tcPr>
        <w:p w14:paraId="040029D1" w14:textId="77777777" w:rsidR="00F05776" w:rsidRPr="00CA2DBF" w:rsidRDefault="00F05776" w:rsidP="00BD4815">
          <w:pPr>
            <w:pStyle w:val="Footer"/>
          </w:pPr>
        </w:p>
      </w:tc>
      <w:tc>
        <w:tcPr>
          <w:tcW w:w="3081" w:type="dxa"/>
        </w:tcPr>
        <w:p w14:paraId="1550E157" w14:textId="4492FA91" w:rsidR="00F05776" w:rsidRPr="00CA2DBF" w:rsidRDefault="00F05776" w:rsidP="00BD4815">
          <w:pPr>
            <w:pStyle w:val="Footer"/>
            <w:jc w:val="center"/>
            <w:rPr>
              <w:rStyle w:val="PageNumber"/>
            </w:rPr>
          </w:pPr>
          <w:r>
            <w:rPr>
              <w:rStyle w:val="PageNumber"/>
            </w:rPr>
            <w:t xml:space="preserve">- </w:t>
          </w:r>
          <w:r w:rsidRPr="00CA2DBF">
            <w:rPr>
              <w:rStyle w:val="PageNumber"/>
            </w:rPr>
            <w:fldChar w:fldCharType="begin"/>
          </w:r>
          <w:r w:rsidRPr="00CA2DBF">
            <w:rPr>
              <w:rStyle w:val="PageNumber"/>
            </w:rPr>
            <w:instrText xml:space="preserve"> PAGE   \* MERGEFORMAT </w:instrText>
          </w:r>
          <w:r w:rsidRPr="00CA2DBF">
            <w:rPr>
              <w:rStyle w:val="PageNumber"/>
            </w:rPr>
            <w:fldChar w:fldCharType="separate"/>
          </w:r>
          <w:r w:rsidR="003F3AB9">
            <w:rPr>
              <w:rStyle w:val="PageNumber"/>
              <w:noProof/>
            </w:rPr>
            <w:t>1</w:t>
          </w:r>
          <w:r w:rsidRPr="00CA2DBF">
            <w:rPr>
              <w:rStyle w:val="PageNumber"/>
            </w:rPr>
            <w:fldChar w:fldCharType="end"/>
          </w:r>
          <w:r>
            <w:rPr>
              <w:rStyle w:val="PageNumber"/>
            </w:rPr>
            <w:t xml:space="preserve"> -</w:t>
          </w:r>
        </w:p>
      </w:tc>
      <w:tc>
        <w:tcPr>
          <w:tcW w:w="3081" w:type="dxa"/>
        </w:tcPr>
        <w:p w14:paraId="5AE172BD" w14:textId="77777777" w:rsidR="00F05776" w:rsidRPr="00CA2DBF" w:rsidRDefault="00F05776" w:rsidP="00BD4815">
          <w:pPr>
            <w:pStyle w:val="FooterRight"/>
          </w:pPr>
          <w:r>
            <w:t>...</w:t>
          </w:r>
        </w:p>
      </w:tc>
    </w:tr>
  </w:tbl>
  <w:p w14:paraId="6FB55F13" w14:textId="77777777" w:rsidR="00F05776" w:rsidRDefault="00F05776" w:rsidP="00BD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084CE" w14:textId="77777777" w:rsidR="00543AFC" w:rsidRDefault="00543AFC" w:rsidP="00C434F0">
      <w:pPr>
        <w:spacing w:after="0"/>
      </w:pPr>
      <w:r>
        <w:separator/>
      </w:r>
    </w:p>
  </w:footnote>
  <w:footnote w:type="continuationSeparator" w:id="0">
    <w:p w14:paraId="1CF07272" w14:textId="77777777" w:rsidR="00543AFC" w:rsidRDefault="00543AFC" w:rsidP="00C434F0">
      <w:pPr>
        <w:spacing w:after="0"/>
      </w:pPr>
      <w:r>
        <w:continuationSeparator/>
      </w:r>
    </w:p>
  </w:footnote>
  <w:footnote w:type="continuationNotice" w:id="1">
    <w:p w14:paraId="60FE2AC9" w14:textId="77777777" w:rsidR="00543AFC" w:rsidRDefault="00543AFC">
      <w:pPr>
        <w:spacing w:after="0"/>
      </w:pPr>
    </w:p>
  </w:footnote>
  <w:footnote w:id="2">
    <w:p w14:paraId="33AC63FF" w14:textId="77777777" w:rsidR="001226A2" w:rsidRDefault="001226A2">
      <w:pPr>
        <w:pStyle w:val="FootnoteText"/>
      </w:pPr>
      <w:r>
        <w:rPr>
          <w:rStyle w:val="FootnoteReference"/>
        </w:rPr>
        <w:footnoteRef/>
      </w:r>
      <w:r>
        <w:t xml:space="preserve"> Reference to national legal base for signature if necessary for the Guarantor Member State.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7262" w14:textId="77777777" w:rsidR="003F3AB9" w:rsidRDefault="003F3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621"/>
      <w:gridCol w:w="4621"/>
    </w:tblGrid>
    <w:tr w:rsidR="00F05776" w14:paraId="3C3A889D" w14:textId="77777777" w:rsidTr="009F7411">
      <w:tc>
        <w:tcPr>
          <w:tcW w:w="2500" w:type="pct"/>
          <w:shd w:val="clear" w:color="auto" w:fill="auto"/>
        </w:tcPr>
        <w:p w14:paraId="7784FBF0" w14:textId="77777777" w:rsidR="00F05776" w:rsidRDefault="00F05776" w:rsidP="00B32E7A">
          <w:pPr>
            <w:jc w:val="left"/>
          </w:pPr>
        </w:p>
      </w:tc>
      <w:tc>
        <w:tcPr>
          <w:tcW w:w="2500" w:type="pct"/>
          <w:shd w:val="clear" w:color="auto" w:fill="auto"/>
        </w:tcPr>
        <w:p w14:paraId="43C20FE9" w14:textId="77777777" w:rsidR="00F05776" w:rsidRPr="00B7114A" w:rsidRDefault="00F05776" w:rsidP="00F03110">
          <w:pPr>
            <w:pStyle w:val="LegalEntityRight"/>
          </w:pPr>
        </w:p>
        <w:p w14:paraId="06E942E0" w14:textId="14063FFF" w:rsidR="00155516" w:rsidRDefault="00155516" w:rsidP="00155516">
          <w:pPr>
            <w:pStyle w:val="Header"/>
            <w:rPr>
              <w:lang w:bidi="ar-AE"/>
            </w:rPr>
          </w:pPr>
        </w:p>
        <w:p w14:paraId="3DB74E10" w14:textId="77777777" w:rsidR="00F05776" w:rsidRPr="00F03110" w:rsidRDefault="00F05776" w:rsidP="00F03110">
          <w:pPr>
            <w:pStyle w:val="LegalEntityRightNB"/>
          </w:pPr>
        </w:p>
      </w:tc>
    </w:tr>
    <w:tr w:rsidR="00F05776" w14:paraId="570D5F05" w14:textId="77777777" w:rsidTr="009F7411">
      <w:trPr>
        <w:trHeight w:hRule="exact" w:val="284"/>
      </w:trPr>
      <w:tc>
        <w:tcPr>
          <w:tcW w:w="5000" w:type="pct"/>
          <w:gridSpan w:val="2"/>
          <w:shd w:val="clear" w:color="auto" w:fill="auto"/>
        </w:tcPr>
        <w:p w14:paraId="2C97CFD8" w14:textId="7EE8F128" w:rsidR="00F05776" w:rsidRPr="00714682" w:rsidRDefault="00F05776" w:rsidP="009F4488">
          <w:pPr>
            <w:pStyle w:val="DraftDate"/>
            <w:rPr>
              <w:sz w:val="24"/>
              <w:szCs w:val="24"/>
            </w:rPr>
          </w:pPr>
        </w:p>
      </w:tc>
    </w:tr>
  </w:tbl>
  <w:p w14:paraId="37031C95" w14:textId="77777777" w:rsidR="00F05776" w:rsidRDefault="00F05776" w:rsidP="005C3FB9">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EF05" w14:textId="77777777" w:rsidR="003F3AB9" w:rsidRDefault="003F3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EE0B" w14:textId="1A1B65AD" w:rsidR="00F05776" w:rsidRDefault="00F05776">
    <w:pPr>
      <w:pStyle w:val="Header"/>
      <w:rPr>
        <w:lang w:bidi="ar-A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F346" w14:textId="77777777" w:rsidR="00F05776" w:rsidRDefault="00F057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12D11" w14:textId="77777777" w:rsidR="00F05776" w:rsidRDefault="00F057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0512" w14:textId="08AF449F" w:rsidR="00F05776" w:rsidRDefault="00F05776">
    <w:pPr>
      <w:pStyle w:val="Header"/>
      <w:rPr>
        <w:lang w:bidi="ar-AE"/>
      </w:rPr>
    </w:pPr>
    <w:bookmarkStart w:id="33" w:name="_GoBack"/>
    <w:bookmarkEnd w:id="33"/>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33724" w14:textId="59EDB2F5" w:rsidR="00F05776" w:rsidRDefault="00F05776" w:rsidP="00155516">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E405CBE"/>
    <w:multiLevelType w:val="multilevel"/>
    <w:tmpl w:val="E8EC38D0"/>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C957AE"/>
    <w:multiLevelType w:val="hybridMultilevel"/>
    <w:tmpl w:val="CCAA5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B04F58"/>
    <w:multiLevelType w:val="multilevel"/>
    <w:tmpl w:val="8940F9CE"/>
    <w:name w:val="Simple List"/>
    <w:lvl w:ilvl="0">
      <w:start w:val="1"/>
      <w:numFmt w:val="decimal"/>
      <w:lvlRestart w:val="0"/>
      <w:pStyle w:val="Schedule1L1"/>
      <w:suff w:val="nothing"/>
      <w:lvlText w:val="Schedule %1"/>
      <w:lvlJc w:val="left"/>
      <w:pPr>
        <w:tabs>
          <w:tab w:val="num" w:pos="0"/>
        </w:tabs>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73F42733"/>
    <w:multiLevelType w:val="multilevel"/>
    <w:tmpl w:val="E7288B12"/>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4"/>
  </w:num>
  <w:num w:numId="3">
    <w:abstractNumId w:val="5"/>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5"/>
  </w:num>
  <w:num w:numId="16">
    <w:abstractNumId w:val="5"/>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num>
  <w:num w:numId="23">
    <w:abstractNumId w:val="4"/>
  </w:num>
  <w:num w:numId="24">
    <w:abstractNumId w:val="1"/>
  </w:num>
  <w:num w:numId="25">
    <w:abstractNumId w:val="1"/>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hyphenationZone w:val="425"/>
  <w:drawingGridHorizontalSpacing w:val="120"/>
  <w:displayHorizontalDrawingGridEvery w:val="2"/>
  <w:characterSpacingControl w:val="doNotCompress"/>
  <w:doNotValidateAgainstSchema/>
  <w:hdrShapeDefaults>
    <o:shapedefaults v:ext="edit" spidmax="2067"/>
  </w:hdrShapeDefaults>
  <w:footnotePr>
    <w:footnote w:id="-1"/>
    <w:footnote w:id="0"/>
    <w:footnote w:id="1"/>
  </w:footnotePr>
  <w:endnotePr>
    <w:endnote w:id="-1"/>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AGREEMENT"/>
  </w:docVars>
  <w:rsids>
    <w:rsidRoot w:val="006B6FEC"/>
    <w:rsid w:val="000016AF"/>
    <w:rsid w:val="000017E7"/>
    <w:rsid w:val="00005EF9"/>
    <w:rsid w:val="000061B2"/>
    <w:rsid w:val="00006EE6"/>
    <w:rsid w:val="00007A8B"/>
    <w:rsid w:val="00010281"/>
    <w:rsid w:val="000114A9"/>
    <w:rsid w:val="00013763"/>
    <w:rsid w:val="000149AB"/>
    <w:rsid w:val="00014A20"/>
    <w:rsid w:val="00014D7B"/>
    <w:rsid w:val="00015DA3"/>
    <w:rsid w:val="00016AE3"/>
    <w:rsid w:val="000207A9"/>
    <w:rsid w:val="00021AC7"/>
    <w:rsid w:val="000232A5"/>
    <w:rsid w:val="00024D4D"/>
    <w:rsid w:val="00024DF5"/>
    <w:rsid w:val="00025F44"/>
    <w:rsid w:val="00034069"/>
    <w:rsid w:val="00034EBF"/>
    <w:rsid w:val="00037EF5"/>
    <w:rsid w:val="000402F2"/>
    <w:rsid w:val="000429D8"/>
    <w:rsid w:val="00043123"/>
    <w:rsid w:val="000459D5"/>
    <w:rsid w:val="00046E08"/>
    <w:rsid w:val="000471A3"/>
    <w:rsid w:val="00047C84"/>
    <w:rsid w:val="00050062"/>
    <w:rsid w:val="00052676"/>
    <w:rsid w:val="00055A55"/>
    <w:rsid w:val="00056967"/>
    <w:rsid w:val="000609B1"/>
    <w:rsid w:val="000611E6"/>
    <w:rsid w:val="0006779D"/>
    <w:rsid w:val="00070006"/>
    <w:rsid w:val="00070430"/>
    <w:rsid w:val="00071E51"/>
    <w:rsid w:val="0007728A"/>
    <w:rsid w:val="00082141"/>
    <w:rsid w:val="00082260"/>
    <w:rsid w:val="000946EA"/>
    <w:rsid w:val="00095DD3"/>
    <w:rsid w:val="000960B2"/>
    <w:rsid w:val="000979E3"/>
    <w:rsid w:val="000A0D85"/>
    <w:rsid w:val="000A2A15"/>
    <w:rsid w:val="000A514B"/>
    <w:rsid w:val="000B4182"/>
    <w:rsid w:val="000B5F94"/>
    <w:rsid w:val="000C3D28"/>
    <w:rsid w:val="000D038A"/>
    <w:rsid w:val="000D0E22"/>
    <w:rsid w:val="000D1830"/>
    <w:rsid w:val="000D29CD"/>
    <w:rsid w:val="000D3D13"/>
    <w:rsid w:val="000D5E0B"/>
    <w:rsid w:val="000D643E"/>
    <w:rsid w:val="000E09DB"/>
    <w:rsid w:val="000E0C77"/>
    <w:rsid w:val="000E4CFE"/>
    <w:rsid w:val="000E5C05"/>
    <w:rsid w:val="000E6C0E"/>
    <w:rsid w:val="000F087A"/>
    <w:rsid w:val="000F0C5D"/>
    <w:rsid w:val="000F2D4C"/>
    <w:rsid w:val="000F44DB"/>
    <w:rsid w:val="000F643D"/>
    <w:rsid w:val="000F7FEA"/>
    <w:rsid w:val="00102747"/>
    <w:rsid w:val="00104B8F"/>
    <w:rsid w:val="0010539E"/>
    <w:rsid w:val="00106495"/>
    <w:rsid w:val="00107C99"/>
    <w:rsid w:val="0011474B"/>
    <w:rsid w:val="00114CE0"/>
    <w:rsid w:val="00115798"/>
    <w:rsid w:val="00116853"/>
    <w:rsid w:val="001226A2"/>
    <w:rsid w:val="00123638"/>
    <w:rsid w:val="00123907"/>
    <w:rsid w:val="00125211"/>
    <w:rsid w:val="00126535"/>
    <w:rsid w:val="00126AA4"/>
    <w:rsid w:val="00127352"/>
    <w:rsid w:val="00130D6E"/>
    <w:rsid w:val="001324AA"/>
    <w:rsid w:val="0013371B"/>
    <w:rsid w:val="00133EA3"/>
    <w:rsid w:val="00141884"/>
    <w:rsid w:val="0014354C"/>
    <w:rsid w:val="001442F8"/>
    <w:rsid w:val="00145F3A"/>
    <w:rsid w:val="00146B50"/>
    <w:rsid w:val="001470A3"/>
    <w:rsid w:val="00150619"/>
    <w:rsid w:val="00154174"/>
    <w:rsid w:val="00155516"/>
    <w:rsid w:val="001557B3"/>
    <w:rsid w:val="00155845"/>
    <w:rsid w:val="001562D8"/>
    <w:rsid w:val="00157BFC"/>
    <w:rsid w:val="00157D07"/>
    <w:rsid w:val="00160FD9"/>
    <w:rsid w:val="00162103"/>
    <w:rsid w:val="001648ED"/>
    <w:rsid w:val="00164DDD"/>
    <w:rsid w:val="00167DA8"/>
    <w:rsid w:val="00170BD4"/>
    <w:rsid w:val="001741A2"/>
    <w:rsid w:val="001761B7"/>
    <w:rsid w:val="00180C93"/>
    <w:rsid w:val="001849BD"/>
    <w:rsid w:val="00187D04"/>
    <w:rsid w:val="001949FA"/>
    <w:rsid w:val="00194A81"/>
    <w:rsid w:val="00195070"/>
    <w:rsid w:val="00195111"/>
    <w:rsid w:val="001A0F04"/>
    <w:rsid w:val="001A16E2"/>
    <w:rsid w:val="001A1F30"/>
    <w:rsid w:val="001A246E"/>
    <w:rsid w:val="001A5A16"/>
    <w:rsid w:val="001B23FA"/>
    <w:rsid w:val="001B2ADC"/>
    <w:rsid w:val="001B4152"/>
    <w:rsid w:val="001B435D"/>
    <w:rsid w:val="001B6547"/>
    <w:rsid w:val="001C2F0C"/>
    <w:rsid w:val="001C5D43"/>
    <w:rsid w:val="001C6C38"/>
    <w:rsid w:val="001D349A"/>
    <w:rsid w:val="001D3D1D"/>
    <w:rsid w:val="001D4810"/>
    <w:rsid w:val="001D7C94"/>
    <w:rsid w:val="001E175A"/>
    <w:rsid w:val="001E1FEB"/>
    <w:rsid w:val="001E2354"/>
    <w:rsid w:val="001E3173"/>
    <w:rsid w:val="001F441E"/>
    <w:rsid w:val="001F48A1"/>
    <w:rsid w:val="001F4FD4"/>
    <w:rsid w:val="002004D6"/>
    <w:rsid w:val="0020109E"/>
    <w:rsid w:val="00201387"/>
    <w:rsid w:val="0020294F"/>
    <w:rsid w:val="0020510A"/>
    <w:rsid w:val="002066C3"/>
    <w:rsid w:val="00210ACD"/>
    <w:rsid w:val="002114BD"/>
    <w:rsid w:val="00213955"/>
    <w:rsid w:val="0021424E"/>
    <w:rsid w:val="00215C30"/>
    <w:rsid w:val="00216EF6"/>
    <w:rsid w:val="00217A6A"/>
    <w:rsid w:val="002200C0"/>
    <w:rsid w:val="00223245"/>
    <w:rsid w:val="00224549"/>
    <w:rsid w:val="00230607"/>
    <w:rsid w:val="00232B49"/>
    <w:rsid w:val="00232C73"/>
    <w:rsid w:val="00240F13"/>
    <w:rsid w:val="00241071"/>
    <w:rsid w:val="002417B6"/>
    <w:rsid w:val="00242CE2"/>
    <w:rsid w:val="002464DC"/>
    <w:rsid w:val="00253113"/>
    <w:rsid w:val="00257DE8"/>
    <w:rsid w:val="00263779"/>
    <w:rsid w:val="00263AE6"/>
    <w:rsid w:val="00263E1E"/>
    <w:rsid w:val="00264CEC"/>
    <w:rsid w:val="002661DB"/>
    <w:rsid w:val="00273850"/>
    <w:rsid w:val="0027399F"/>
    <w:rsid w:val="00274D53"/>
    <w:rsid w:val="0028084A"/>
    <w:rsid w:val="00287B8C"/>
    <w:rsid w:val="002909A4"/>
    <w:rsid w:val="00295C61"/>
    <w:rsid w:val="00295F16"/>
    <w:rsid w:val="00296461"/>
    <w:rsid w:val="002A11C3"/>
    <w:rsid w:val="002B0F0D"/>
    <w:rsid w:val="002B383D"/>
    <w:rsid w:val="002B61C0"/>
    <w:rsid w:val="002C2EB0"/>
    <w:rsid w:val="002C3095"/>
    <w:rsid w:val="002C3820"/>
    <w:rsid w:val="002C6B1F"/>
    <w:rsid w:val="002D0BE5"/>
    <w:rsid w:val="002D2170"/>
    <w:rsid w:val="002D48D9"/>
    <w:rsid w:val="002D52E9"/>
    <w:rsid w:val="002D7F01"/>
    <w:rsid w:val="002E0BE9"/>
    <w:rsid w:val="002E1F6C"/>
    <w:rsid w:val="002F0205"/>
    <w:rsid w:val="002F2388"/>
    <w:rsid w:val="0030171E"/>
    <w:rsid w:val="00302E85"/>
    <w:rsid w:val="00302FA5"/>
    <w:rsid w:val="0030486D"/>
    <w:rsid w:val="00304FEF"/>
    <w:rsid w:val="00306875"/>
    <w:rsid w:val="0031300C"/>
    <w:rsid w:val="00316B5C"/>
    <w:rsid w:val="00321F57"/>
    <w:rsid w:val="003249B4"/>
    <w:rsid w:val="0033129E"/>
    <w:rsid w:val="00331D5D"/>
    <w:rsid w:val="00331E50"/>
    <w:rsid w:val="0033663A"/>
    <w:rsid w:val="003547D0"/>
    <w:rsid w:val="0035750F"/>
    <w:rsid w:val="00361481"/>
    <w:rsid w:val="00361EE1"/>
    <w:rsid w:val="00365812"/>
    <w:rsid w:val="00365F59"/>
    <w:rsid w:val="00366A6B"/>
    <w:rsid w:val="003713B5"/>
    <w:rsid w:val="003744B6"/>
    <w:rsid w:val="0037713C"/>
    <w:rsid w:val="0037762E"/>
    <w:rsid w:val="00380C1C"/>
    <w:rsid w:val="0038650A"/>
    <w:rsid w:val="00390D42"/>
    <w:rsid w:val="00395435"/>
    <w:rsid w:val="00396C13"/>
    <w:rsid w:val="00396DBC"/>
    <w:rsid w:val="003A31C0"/>
    <w:rsid w:val="003A3257"/>
    <w:rsid w:val="003A51F9"/>
    <w:rsid w:val="003A6F24"/>
    <w:rsid w:val="003B1E90"/>
    <w:rsid w:val="003B321A"/>
    <w:rsid w:val="003B37CB"/>
    <w:rsid w:val="003B5E5A"/>
    <w:rsid w:val="003C1DDF"/>
    <w:rsid w:val="003C6570"/>
    <w:rsid w:val="003D1CE1"/>
    <w:rsid w:val="003D2481"/>
    <w:rsid w:val="003D2CC3"/>
    <w:rsid w:val="003D3798"/>
    <w:rsid w:val="003D4F4D"/>
    <w:rsid w:val="003E3B64"/>
    <w:rsid w:val="003E51D1"/>
    <w:rsid w:val="003E64B3"/>
    <w:rsid w:val="003F176F"/>
    <w:rsid w:val="003F2F8C"/>
    <w:rsid w:val="003F37A9"/>
    <w:rsid w:val="003F3AB9"/>
    <w:rsid w:val="003F4C0B"/>
    <w:rsid w:val="0040014D"/>
    <w:rsid w:val="0040088D"/>
    <w:rsid w:val="00400EB3"/>
    <w:rsid w:val="004018FC"/>
    <w:rsid w:val="00404BC7"/>
    <w:rsid w:val="00406134"/>
    <w:rsid w:val="00406B84"/>
    <w:rsid w:val="00414F00"/>
    <w:rsid w:val="00417F8F"/>
    <w:rsid w:val="00421736"/>
    <w:rsid w:val="004236A1"/>
    <w:rsid w:val="00423A1E"/>
    <w:rsid w:val="0042527B"/>
    <w:rsid w:val="00426E77"/>
    <w:rsid w:val="004333EF"/>
    <w:rsid w:val="004355BC"/>
    <w:rsid w:val="00436AC5"/>
    <w:rsid w:val="00437C8C"/>
    <w:rsid w:val="00441BF6"/>
    <w:rsid w:val="00443F96"/>
    <w:rsid w:val="0044451E"/>
    <w:rsid w:val="00446A5A"/>
    <w:rsid w:val="004471FB"/>
    <w:rsid w:val="0045003F"/>
    <w:rsid w:val="0045277F"/>
    <w:rsid w:val="00452D4E"/>
    <w:rsid w:val="004550C9"/>
    <w:rsid w:val="00455A18"/>
    <w:rsid w:val="00460205"/>
    <w:rsid w:val="00462AE3"/>
    <w:rsid w:val="00462C68"/>
    <w:rsid w:val="0046331B"/>
    <w:rsid w:val="004640B5"/>
    <w:rsid w:val="004678B7"/>
    <w:rsid w:val="00470AF4"/>
    <w:rsid w:val="00473312"/>
    <w:rsid w:val="00473EDB"/>
    <w:rsid w:val="004820D1"/>
    <w:rsid w:val="00482FC3"/>
    <w:rsid w:val="00483D84"/>
    <w:rsid w:val="00483FDD"/>
    <w:rsid w:val="0048409B"/>
    <w:rsid w:val="00486609"/>
    <w:rsid w:val="00490919"/>
    <w:rsid w:val="00490F03"/>
    <w:rsid w:val="00493642"/>
    <w:rsid w:val="00494078"/>
    <w:rsid w:val="004940E2"/>
    <w:rsid w:val="004A0B9D"/>
    <w:rsid w:val="004B02DB"/>
    <w:rsid w:val="004B05EE"/>
    <w:rsid w:val="004B1A8D"/>
    <w:rsid w:val="004B1BAF"/>
    <w:rsid w:val="004B2312"/>
    <w:rsid w:val="004B74FE"/>
    <w:rsid w:val="004C117A"/>
    <w:rsid w:val="004D3B52"/>
    <w:rsid w:val="004D608E"/>
    <w:rsid w:val="004D7722"/>
    <w:rsid w:val="004E02D0"/>
    <w:rsid w:val="004E075D"/>
    <w:rsid w:val="004E1EDA"/>
    <w:rsid w:val="004E34F6"/>
    <w:rsid w:val="004E4282"/>
    <w:rsid w:val="004E5241"/>
    <w:rsid w:val="004E7A95"/>
    <w:rsid w:val="004E7E22"/>
    <w:rsid w:val="004E7E8C"/>
    <w:rsid w:val="004F0B4B"/>
    <w:rsid w:val="004F12DC"/>
    <w:rsid w:val="004F44F6"/>
    <w:rsid w:val="004F485C"/>
    <w:rsid w:val="00506BA7"/>
    <w:rsid w:val="00510C71"/>
    <w:rsid w:val="0051561B"/>
    <w:rsid w:val="005158E3"/>
    <w:rsid w:val="005160E4"/>
    <w:rsid w:val="00516EC0"/>
    <w:rsid w:val="00522B33"/>
    <w:rsid w:val="0054024B"/>
    <w:rsid w:val="00541356"/>
    <w:rsid w:val="00541FB6"/>
    <w:rsid w:val="00542B95"/>
    <w:rsid w:val="00543AFC"/>
    <w:rsid w:val="00543F4D"/>
    <w:rsid w:val="00547F04"/>
    <w:rsid w:val="00553C02"/>
    <w:rsid w:val="00553C43"/>
    <w:rsid w:val="00555F6C"/>
    <w:rsid w:val="0056183A"/>
    <w:rsid w:val="00562B33"/>
    <w:rsid w:val="00564DB2"/>
    <w:rsid w:val="0056584C"/>
    <w:rsid w:val="00574FB3"/>
    <w:rsid w:val="00575ACC"/>
    <w:rsid w:val="0058028A"/>
    <w:rsid w:val="00580BC7"/>
    <w:rsid w:val="0058104B"/>
    <w:rsid w:val="005811A9"/>
    <w:rsid w:val="00582161"/>
    <w:rsid w:val="00592996"/>
    <w:rsid w:val="005939F5"/>
    <w:rsid w:val="00594EAA"/>
    <w:rsid w:val="00595C67"/>
    <w:rsid w:val="00596501"/>
    <w:rsid w:val="00596A3E"/>
    <w:rsid w:val="005A5CC0"/>
    <w:rsid w:val="005A626D"/>
    <w:rsid w:val="005A7B44"/>
    <w:rsid w:val="005B289D"/>
    <w:rsid w:val="005B3296"/>
    <w:rsid w:val="005B3D8C"/>
    <w:rsid w:val="005B4FE0"/>
    <w:rsid w:val="005B7199"/>
    <w:rsid w:val="005C0842"/>
    <w:rsid w:val="005C1213"/>
    <w:rsid w:val="005C1539"/>
    <w:rsid w:val="005C3FB9"/>
    <w:rsid w:val="005C5D98"/>
    <w:rsid w:val="005C6C88"/>
    <w:rsid w:val="005D0C31"/>
    <w:rsid w:val="005D1D40"/>
    <w:rsid w:val="005D3FAF"/>
    <w:rsid w:val="005D4F2A"/>
    <w:rsid w:val="005D5436"/>
    <w:rsid w:val="005E1F18"/>
    <w:rsid w:val="005E2A5D"/>
    <w:rsid w:val="005E5977"/>
    <w:rsid w:val="005E6AA9"/>
    <w:rsid w:val="005F03BA"/>
    <w:rsid w:val="005F0640"/>
    <w:rsid w:val="005F55FE"/>
    <w:rsid w:val="005F56E0"/>
    <w:rsid w:val="005F7004"/>
    <w:rsid w:val="005F796F"/>
    <w:rsid w:val="00605A36"/>
    <w:rsid w:val="006115B6"/>
    <w:rsid w:val="00612510"/>
    <w:rsid w:val="0061324C"/>
    <w:rsid w:val="006133C3"/>
    <w:rsid w:val="006204CD"/>
    <w:rsid w:val="006227D6"/>
    <w:rsid w:val="00623BB6"/>
    <w:rsid w:val="006262D8"/>
    <w:rsid w:val="00630133"/>
    <w:rsid w:val="006329B3"/>
    <w:rsid w:val="006334ED"/>
    <w:rsid w:val="00634721"/>
    <w:rsid w:val="00637738"/>
    <w:rsid w:val="00643F37"/>
    <w:rsid w:val="00646B1C"/>
    <w:rsid w:val="00647322"/>
    <w:rsid w:val="0065131E"/>
    <w:rsid w:val="00651D96"/>
    <w:rsid w:val="0065233A"/>
    <w:rsid w:val="00653D32"/>
    <w:rsid w:val="0065652A"/>
    <w:rsid w:val="0065734E"/>
    <w:rsid w:val="00660D9A"/>
    <w:rsid w:val="00662515"/>
    <w:rsid w:val="006659E6"/>
    <w:rsid w:val="00666A9F"/>
    <w:rsid w:val="00666F0B"/>
    <w:rsid w:val="006713A4"/>
    <w:rsid w:val="006775EA"/>
    <w:rsid w:val="006779F1"/>
    <w:rsid w:val="00680149"/>
    <w:rsid w:val="006818CC"/>
    <w:rsid w:val="0068261A"/>
    <w:rsid w:val="006850DD"/>
    <w:rsid w:val="00694C17"/>
    <w:rsid w:val="00697DDB"/>
    <w:rsid w:val="006A1E7D"/>
    <w:rsid w:val="006A2159"/>
    <w:rsid w:val="006A66FB"/>
    <w:rsid w:val="006A7773"/>
    <w:rsid w:val="006B4364"/>
    <w:rsid w:val="006B54B0"/>
    <w:rsid w:val="006B5899"/>
    <w:rsid w:val="006B6FEC"/>
    <w:rsid w:val="006C20C1"/>
    <w:rsid w:val="006C2317"/>
    <w:rsid w:val="006C39FF"/>
    <w:rsid w:val="006C4E26"/>
    <w:rsid w:val="006D2F52"/>
    <w:rsid w:val="006D3B5E"/>
    <w:rsid w:val="006D3FE6"/>
    <w:rsid w:val="006E0C03"/>
    <w:rsid w:val="006E18BF"/>
    <w:rsid w:val="006E2AD6"/>
    <w:rsid w:val="006E3E62"/>
    <w:rsid w:val="006F1965"/>
    <w:rsid w:val="006F52D5"/>
    <w:rsid w:val="006F6127"/>
    <w:rsid w:val="00700E3B"/>
    <w:rsid w:val="007015F4"/>
    <w:rsid w:val="00702037"/>
    <w:rsid w:val="007030D9"/>
    <w:rsid w:val="00704E70"/>
    <w:rsid w:val="00705202"/>
    <w:rsid w:val="00711465"/>
    <w:rsid w:val="0071269A"/>
    <w:rsid w:val="00714682"/>
    <w:rsid w:val="0071483C"/>
    <w:rsid w:val="00720837"/>
    <w:rsid w:val="00721154"/>
    <w:rsid w:val="0072119E"/>
    <w:rsid w:val="00722CC5"/>
    <w:rsid w:val="00724579"/>
    <w:rsid w:val="007253C2"/>
    <w:rsid w:val="0072630B"/>
    <w:rsid w:val="00727D77"/>
    <w:rsid w:val="00730C0C"/>
    <w:rsid w:val="007323D0"/>
    <w:rsid w:val="00732AFD"/>
    <w:rsid w:val="00735418"/>
    <w:rsid w:val="00751B0D"/>
    <w:rsid w:val="007541EA"/>
    <w:rsid w:val="007542AF"/>
    <w:rsid w:val="00756895"/>
    <w:rsid w:val="00757998"/>
    <w:rsid w:val="00761345"/>
    <w:rsid w:val="00764478"/>
    <w:rsid w:val="007646B2"/>
    <w:rsid w:val="00764A75"/>
    <w:rsid w:val="0076651D"/>
    <w:rsid w:val="0077242A"/>
    <w:rsid w:val="0077368A"/>
    <w:rsid w:val="00776230"/>
    <w:rsid w:val="00782616"/>
    <w:rsid w:val="00782C30"/>
    <w:rsid w:val="00786927"/>
    <w:rsid w:val="00787EFC"/>
    <w:rsid w:val="00791E42"/>
    <w:rsid w:val="007929C0"/>
    <w:rsid w:val="00792ECF"/>
    <w:rsid w:val="00793C07"/>
    <w:rsid w:val="007A37BD"/>
    <w:rsid w:val="007A5E55"/>
    <w:rsid w:val="007A76EF"/>
    <w:rsid w:val="007B0AF7"/>
    <w:rsid w:val="007B29F8"/>
    <w:rsid w:val="007B3B97"/>
    <w:rsid w:val="007B423A"/>
    <w:rsid w:val="007B6467"/>
    <w:rsid w:val="007C4972"/>
    <w:rsid w:val="007C7A8F"/>
    <w:rsid w:val="007D1D21"/>
    <w:rsid w:val="007D3A98"/>
    <w:rsid w:val="007D7AD3"/>
    <w:rsid w:val="007E1E7B"/>
    <w:rsid w:val="007E355B"/>
    <w:rsid w:val="007E3D43"/>
    <w:rsid w:val="007F0A8A"/>
    <w:rsid w:val="007F2C4C"/>
    <w:rsid w:val="007F2DD7"/>
    <w:rsid w:val="007F7796"/>
    <w:rsid w:val="007F7D96"/>
    <w:rsid w:val="008023F4"/>
    <w:rsid w:val="0080261D"/>
    <w:rsid w:val="00805255"/>
    <w:rsid w:val="00805726"/>
    <w:rsid w:val="00805808"/>
    <w:rsid w:val="00812654"/>
    <w:rsid w:val="00815132"/>
    <w:rsid w:val="008153F3"/>
    <w:rsid w:val="00816A02"/>
    <w:rsid w:val="008172C0"/>
    <w:rsid w:val="00821284"/>
    <w:rsid w:val="008248C9"/>
    <w:rsid w:val="00825819"/>
    <w:rsid w:val="00831DCC"/>
    <w:rsid w:val="00835D88"/>
    <w:rsid w:val="0084189F"/>
    <w:rsid w:val="0084410C"/>
    <w:rsid w:val="00846263"/>
    <w:rsid w:val="0084750F"/>
    <w:rsid w:val="0085061D"/>
    <w:rsid w:val="00851C91"/>
    <w:rsid w:val="008554B2"/>
    <w:rsid w:val="00855A3A"/>
    <w:rsid w:val="00855A57"/>
    <w:rsid w:val="00856079"/>
    <w:rsid w:val="0085784E"/>
    <w:rsid w:val="00857AA0"/>
    <w:rsid w:val="00860735"/>
    <w:rsid w:val="00870121"/>
    <w:rsid w:val="008707AF"/>
    <w:rsid w:val="00871272"/>
    <w:rsid w:val="00876683"/>
    <w:rsid w:val="00882ADB"/>
    <w:rsid w:val="008846BC"/>
    <w:rsid w:val="00890DE3"/>
    <w:rsid w:val="008915A9"/>
    <w:rsid w:val="00891BAB"/>
    <w:rsid w:val="00894E68"/>
    <w:rsid w:val="00897673"/>
    <w:rsid w:val="008A737D"/>
    <w:rsid w:val="008B1CDE"/>
    <w:rsid w:val="008B4D7C"/>
    <w:rsid w:val="008B5058"/>
    <w:rsid w:val="008B67F7"/>
    <w:rsid w:val="008B707C"/>
    <w:rsid w:val="008B7101"/>
    <w:rsid w:val="008B76E7"/>
    <w:rsid w:val="008C0B01"/>
    <w:rsid w:val="008C17C1"/>
    <w:rsid w:val="008C7120"/>
    <w:rsid w:val="008D2164"/>
    <w:rsid w:val="008D35F9"/>
    <w:rsid w:val="008D4677"/>
    <w:rsid w:val="008D5618"/>
    <w:rsid w:val="008D7B0E"/>
    <w:rsid w:val="008E1D03"/>
    <w:rsid w:val="008E20A4"/>
    <w:rsid w:val="008E2705"/>
    <w:rsid w:val="008E77F0"/>
    <w:rsid w:val="008F3148"/>
    <w:rsid w:val="008F69E5"/>
    <w:rsid w:val="0090412A"/>
    <w:rsid w:val="009055EB"/>
    <w:rsid w:val="00905DC7"/>
    <w:rsid w:val="009075EC"/>
    <w:rsid w:val="009102E2"/>
    <w:rsid w:val="009118C3"/>
    <w:rsid w:val="00912B17"/>
    <w:rsid w:val="0091457D"/>
    <w:rsid w:val="009152FC"/>
    <w:rsid w:val="009164E0"/>
    <w:rsid w:val="00920733"/>
    <w:rsid w:val="00922E75"/>
    <w:rsid w:val="00923ABB"/>
    <w:rsid w:val="00932C50"/>
    <w:rsid w:val="00933660"/>
    <w:rsid w:val="00933790"/>
    <w:rsid w:val="009357DE"/>
    <w:rsid w:val="00940B6A"/>
    <w:rsid w:val="00941615"/>
    <w:rsid w:val="00941E15"/>
    <w:rsid w:val="00945744"/>
    <w:rsid w:val="00945BEB"/>
    <w:rsid w:val="009475CF"/>
    <w:rsid w:val="00951F85"/>
    <w:rsid w:val="0095639F"/>
    <w:rsid w:val="00956AC2"/>
    <w:rsid w:val="009607AD"/>
    <w:rsid w:val="00960CD3"/>
    <w:rsid w:val="00961D68"/>
    <w:rsid w:val="00963284"/>
    <w:rsid w:val="00965C62"/>
    <w:rsid w:val="00974B33"/>
    <w:rsid w:val="00974C4B"/>
    <w:rsid w:val="00980CB6"/>
    <w:rsid w:val="0098218E"/>
    <w:rsid w:val="00982C4E"/>
    <w:rsid w:val="00985964"/>
    <w:rsid w:val="0099100D"/>
    <w:rsid w:val="009927C4"/>
    <w:rsid w:val="00995E23"/>
    <w:rsid w:val="009A05F9"/>
    <w:rsid w:val="009A1A12"/>
    <w:rsid w:val="009A541D"/>
    <w:rsid w:val="009B1E1C"/>
    <w:rsid w:val="009B41DE"/>
    <w:rsid w:val="009B516B"/>
    <w:rsid w:val="009B5208"/>
    <w:rsid w:val="009C3C01"/>
    <w:rsid w:val="009C3F01"/>
    <w:rsid w:val="009C4EFB"/>
    <w:rsid w:val="009C7431"/>
    <w:rsid w:val="009D07FC"/>
    <w:rsid w:val="009D3DCC"/>
    <w:rsid w:val="009D3FA7"/>
    <w:rsid w:val="009D6658"/>
    <w:rsid w:val="009E147B"/>
    <w:rsid w:val="009E2D70"/>
    <w:rsid w:val="009E4FE1"/>
    <w:rsid w:val="009E61F6"/>
    <w:rsid w:val="009E6850"/>
    <w:rsid w:val="009E6B54"/>
    <w:rsid w:val="009E72FB"/>
    <w:rsid w:val="009F070E"/>
    <w:rsid w:val="009F18B1"/>
    <w:rsid w:val="009F4488"/>
    <w:rsid w:val="009F7411"/>
    <w:rsid w:val="009F764D"/>
    <w:rsid w:val="00A010F6"/>
    <w:rsid w:val="00A013C7"/>
    <w:rsid w:val="00A01647"/>
    <w:rsid w:val="00A016CB"/>
    <w:rsid w:val="00A02F1D"/>
    <w:rsid w:val="00A038C7"/>
    <w:rsid w:val="00A052EF"/>
    <w:rsid w:val="00A07573"/>
    <w:rsid w:val="00A13E33"/>
    <w:rsid w:val="00A14212"/>
    <w:rsid w:val="00A1689B"/>
    <w:rsid w:val="00A21111"/>
    <w:rsid w:val="00A2306B"/>
    <w:rsid w:val="00A236AF"/>
    <w:rsid w:val="00A2482B"/>
    <w:rsid w:val="00A25771"/>
    <w:rsid w:val="00A32530"/>
    <w:rsid w:val="00A36048"/>
    <w:rsid w:val="00A36183"/>
    <w:rsid w:val="00A37BA1"/>
    <w:rsid w:val="00A41367"/>
    <w:rsid w:val="00A4144E"/>
    <w:rsid w:val="00A41D77"/>
    <w:rsid w:val="00A4373A"/>
    <w:rsid w:val="00A44646"/>
    <w:rsid w:val="00A46EBB"/>
    <w:rsid w:val="00A52803"/>
    <w:rsid w:val="00A529B6"/>
    <w:rsid w:val="00A56611"/>
    <w:rsid w:val="00A56613"/>
    <w:rsid w:val="00A62E13"/>
    <w:rsid w:val="00A63238"/>
    <w:rsid w:val="00A65139"/>
    <w:rsid w:val="00A744E5"/>
    <w:rsid w:val="00A762B5"/>
    <w:rsid w:val="00A8040C"/>
    <w:rsid w:val="00A869B9"/>
    <w:rsid w:val="00A905D0"/>
    <w:rsid w:val="00A91623"/>
    <w:rsid w:val="00A929B9"/>
    <w:rsid w:val="00A930D6"/>
    <w:rsid w:val="00A942BB"/>
    <w:rsid w:val="00A97582"/>
    <w:rsid w:val="00AA0E04"/>
    <w:rsid w:val="00AA2495"/>
    <w:rsid w:val="00AA6E0C"/>
    <w:rsid w:val="00AA701E"/>
    <w:rsid w:val="00AB2911"/>
    <w:rsid w:val="00AB6CD8"/>
    <w:rsid w:val="00AC3D5F"/>
    <w:rsid w:val="00AC7440"/>
    <w:rsid w:val="00AC74E1"/>
    <w:rsid w:val="00AC7782"/>
    <w:rsid w:val="00AD0B27"/>
    <w:rsid w:val="00AD1862"/>
    <w:rsid w:val="00AD1B6F"/>
    <w:rsid w:val="00AD4E31"/>
    <w:rsid w:val="00AD5B3A"/>
    <w:rsid w:val="00AE13FA"/>
    <w:rsid w:val="00AE1AC4"/>
    <w:rsid w:val="00AE4875"/>
    <w:rsid w:val="00AE4FEA"/>
    <w:rsid w:val="00AE68FF"/>
    <w:rsid w:val="00AF0410"/>
    <w:rsid w:val="00AF37F8"/>
    <w:rsid w:val="00AF42C8"/>
    <w:rsid w:val="00AF663C"/>
    <w:rsid w:val="00B00A1A"/>
    <w:rsid w:val="00B00F3E"/>
    <w:rsid w:val="00B0247F"/>
    <w:rsid w:val="00B03B49"/>
    <w:rsid w:val="00B0536F"/>
    <w:rsid w:val="00B06520"/>
    <w:rsid w:val="00B16EE2"/>
    <w:rsid w:val="00B227B2"/>
    <w:rsid w:val="00B25E33"/>
    <w:rsid w:val="00B26A9D"/>
    <w:rsid w:val="00B2797C"/>
    <w:rsid w:val="00B30EB9"/>
    <w:rsid w:val="00B32E7A"/>
    <w:rsid w:val="00B341D1"/>
    <w:rsid w:val="00B3660A"/>
    <w:rsid w:val="00B40FD3"/>
    <w:rsid w:val="00B41176"/>
    <w:rsid w:val="00B42D42"/>
    <w:rsid w:val="00B43A02"/>
    <w:rsid w:val="00B46EDA"/>
    <w:rsid w:val="00B47B62"/>
    <w:rsid w:val="00B516B6"/>
    <w:rsid w:val="00B60D4D"/>
    <w:rsid w:val="00B61AAB"/>
    <w:rsid w:val="00B7114A"/>
    <w:rsid w:val="00B73561"/>
    <w:rsid w:val="00B76106"/>
    <w:rsid w:val="00B77D20"/>
    <w:rsid w:val="00B83003"/>
    <w:rsid w:val="00B83E91"/>
    <w:rsid w:val="00B83F0A"/>
    <w:rsid w:val="00B84283"/>
    <w:rsid w:val="00B84BB1"/>
    <w:rsid w:val="00B84BB8"/>
    <w:rsid w:val="00B90378"/>
    <w:rsid w:val="00B91720"/>
    <w:rsid w:val="00B93892"/>
    <w:rsid w:val="00B9397C"/>
    <w:rsid w:val="00B95687"/>
    <w:rsid w:val="00B95944"/>
    <w:rsid w:val="00BA25F3"/>
    <w:rsid w:val="00BA69C9"/>
    <w:rsid w:val="00BB19F2"/>
    <w:rsid w:val="00BB26DB"/>
    <w:rsid w:val="00BB4110"/>
    <w:rsid w:val="00BB4D65"/>
    <w:rsid w:val="00BC0BA4"/>
    <w:rsid w:val="00BC60C0"/>
    <w:rsid w:val="00BC6808"/>
    <w:rsid w:val="00BC79AC"/>
    <w:rsid w:val="00BC7A82"/>
    <w:rsid w:val="00BD0617"/>
    <w:rsid w:val="00BD21EE"/>
    <w:rsid w:val="00BD4815"/>
    <w:rsid w:val="00BD791B"/>
    <w:rsid w:val="00BE10AA"/>
    <w:rsid w:val="00BE2B8D"/>
    <w:rsid w:val="00BF15CE"/>
    <w:rsid w:val="00BF3332"/>
    <w:rsid w:val="00BF3A08"/>
    <w:rsid w:val="00BF5C02"/>
    <w:rsid w:val="00BF62FB"/>
    <w:rsid w:val="00C03097"/>
    <w:rsid w:val="00C03BB1"/>
    <w:rsid w:val="00C05468"/>
    <w:rsid w:val="00C06FDE"/>
    <w:rsid w:val="00C12EC3"/>
    <w:rsid w:val="00C136A6"/>
    <w:rsid w:val="00C1409C"/>
    <w:rsid w:val="00C17D56"/>
    <w:rsid w:val="00C2045F"/>
    <w:rsid w:val="00C212FB"/>
    <w:rsid w:val="00C302DF"/>
    <w:rsid w:val="00C3329D"/>
    <w:rsid w:val="00C35C93"/>
    <w:rsid w:val="00C36C3D"/>
    <w:rsid w:val="00C37843"/>
    <w:rsid w:val="00C42173"/>
    <w:rsid w:val="00C434DA"/>
    <w:rsid w:val="00C434F0"/>
    <w:rsid w:val="00C4534E"/>
    <w:rsid w:val="00C45709"/>
    <w:rsid w:val="00C46900"/>
    <w:rsid w:val="00C5022B"/>
    <w:rsid w:val="00C56D64"/>
    <w:rsid w:val="00C57950"/>
    <w:rsid w:val="00C61F11"/>
    <w:rsid w:val="00C63F78"/>
    <w:rsid w:val="00C650E9"/>
    <w:rsid w:val="00C66E84"/>
    <w:rsid w:val="00C72AE7"/>
    <w:rsid w:val="00C74CA2"/>
    <w:rsid w:val="00C75985"/>
    <w:rsid w:val="00C761C3"/>
    <w:rsid w:val="00C7632B"/>
    <w:rsid w:val="00C80766"/>
    <w:rsid w:val="00C83F5C"/>
    <w:rsid w:val="00C83FE4"/>
    <w:rsid w:val="00C867F3"/>
    <w:rsid w:val="00C92FDD"/>
    <w:rsid w:val="00C93440"/>
    <w:rsid w:val="00C939A6"/>
    <w:rsid w:val="00C94149"/>
    <w:rsid w:val="00C96A0B"/>
    <w:rsid w:val="00C97311"/>
    <w:rsid w:val="00C977DF"/>
    <w:rsid w:val="00CA1256"/>
    <w:rsid w:val="00CA198F"/>
    <w:rsid w:val="00CA4B12"/>
    <w:rsid w:val="00CA70C6"/>
    <w:rsid w:val="00CA7186"/>
    <w:rsid w:val="00CA756A"/>
    <w:rsid w:val="00CB1B13"/>
    <w:rsid w:val="00CC1D2B"/>
    <w:rsid w:val="00CC29C8"/>
    <w:rsid w:val="00CC2C4A"/>
    <w:rsid w:val="00CD1296"/>
    <w:rsid w:val="00CD3B42"/>
    <w:rsid w:val="00CD3E9B"/>
    <w:rsid w:val="00CD4DA7"/>
    <w:rsid w:val="00CE05DF"/>
    <w:rsid w:val="00CE379D"/>
    <w:rsid w:val="00CE3FCD"/>
    <w:rsid w:val="00CE5A25"/>
    <w:rsid w:val="00CE7F2F"/>
    <w:rsid w:val="00CF278C"/>
    <w:rsid w:val="00CF2E6C"/>
    <w:rsid w:val="00D00CEE"/>
    <w:rsid w:val="00D03357"/>
    <w:rsid w:val="00D1010A"/>
    <w:rsid w:val="00D11937"/>
    <w:rsid w:val="00D12D21"/>
    <w:rsid w:val="00D12F72"/>
    <w:rsid w:val="00D14328"/>
    <w:rsid w:val="00D1534F"/>
    <w:rsid w:val="00D22569"/>
    <w:rsid w:val="00D226D2"/>
    <w:rsid w:val="00D233F6"/>
    <w:rsid w:val="00D266D9"/>
    <w:rsid w:val="00D26DFB"/>
    <w:rsid w:val="00D26E3D"/>
    <w:rsid w:val="00D3260A"/>
    <w:rsid w:val="00D341BB"/>
    <w:rsid w:val="00D375BE"/>
    <w:rsid w:val="00D375FE"/>
    <w:rsid w:val="00D44302"/>
    <w:rsid w:val="00D45013"/>
    <w:rsid w:val="00D54402"/>
    <w:rsid w:val="00D5470C"/>
    <w:rsid w:val="00D556F3"/>
    <w:rsid w:val="00D55D69"/>
    <w:rsid w:val="00D562F5"/>
    <w:rsid w:val="00D607B5"/>
    <w:rsid w:val="00D61C25"/>
    <w:rsid w:val="00D62116"/>
    <w:rsid w:val="00D6427F"/>
    <w:rsid w:val="00D642C1"/>
    <w:rsid w:val="00D6484F"/>
    <w:rsid w:val="00D64C62"/>
    <w:rsid w:val="00D64CEC"/>
    <w:rsid w:val="00D66CDE"/>
    <w:rsid w:val="00D718C5"/>
    <w:rsid w:val="00D7440F"/>
    <w:rsid w:val="00D7529A"/>
    <w:rsid w:val="00D772C5"/>
    <w:rsid w:val="00D810ED"/>
    <w:rsid w:val="00D8176C"/>
    <w:rsid w:val="00D82481"/>
    <w:rsid w:val="00D83393"/>
    <w:rsid w:val="00D84102"/>
    <w:rsid w:val="00D91FD3"/>
    <w:rsid w:val="00D925D8"/>
    <w:rsid w:val="00D9267D"/>
    <w:rsid w:val="00D95E93"/>
    <w:rsid w:val="00DA22C2"/>
    <w:rsid w:val="00DA4263"/>
    <w:rsid w:val="00DA5F98"/>
    <w:rsid w:val="00DA7137"/>
    <w:rsid w:val="00DA7B2F"/>
    <w:rsid w:val="00DB437D"/>
    <w:rsid w:val="00DC1111"/>
    <w:rsid w:val="00DC748E"/>
    <w:rsid w:val="00DC74F2"/>
    <w:rsid w:val="00DD155F"/>
    <w:rsid w:val="00DD64AF"/>
    <w:rsid w:val="00DD67B8"/>
    <w:rsid w:val="00DD70FB"/>
    <w:rsid w:val="00DD796D"/>
    <w:rsid w:val="00DE341A"/>
    <w:rsid w:val="00DE3B7E"/>
    <w:rsid w:val="00DE50E4"/>
    <w:rsid w:val="00DE5696"/>
    <w:rsid w:val="00DE5C09"/>
    <w:rsid w:val="00DE6CCD"/>
    <w:rsid w:val="00DE7676"/>
    <w:rsid w:val="00DF0043"/>
    <w:rsid w:val="00DF1C0E"/>
    <w:rsid w:val="00DF3D27"/>
    <w:rsid w:val="00DF61A2"/>
    <w:rsid w:val="00DF64D4"/>
    <w:rsid w:val="00DF766B"/>
    <w:rsid w:val="00E007EF"/>
    <w:rsid w:val="00E07490"/>
    <w:rsid w:val="00E11368"/>
    <w:rsid w:val="00E129FF"/>
    <w:rsid w:val="00E15C06"/>
    <w:rsid w:val="00E20D5E"/>
    <w:rsid w:val="00E26387"/>
    <w:rsid w:val="00E274A5"/>
    <w:rsid w:val="00E32325"/>
    <w:rsid w:val="00E32CE2"/>
    <w:rsid w:val="00E3564F"/>
    <w:rsid w:val="00E36473"/>
    <w:rsid w:val="00E36BE9"/>
    <w:rsid w:val="00E37876"/>
    <w:rsid w:val="00E379AB"/>
    <w:rsid w:val="00E405F1"/>
    <w:rsid w:val="00E439DE"/>
    <w:rsid w:val="00E47936"/>
    <w:rsid w:val="00E51E40"/>
    <w:rsid w:val="00E5356E"/>
    <w:rsid w:val="00E53C16"/>
    <w:rsid w:val="00E54252"/>
    <w:rsid w:val="00E5439D"/>
    <w:rsid w:val="00E54A3E"/>
    <w:rsid w:val="00E5526F"/>
    <w:rsid w:val="00E55C75"/>
    <w:rsid w:val="00E6101B"/>
    <w:rsid w:val="00E6253C"/>
    <w:rsid w:val="00E62696"/>
    <w:rsid w:val="00E62D5C"/>
    <w:rsid w:val="00E62DEE"/>
    <w:rsid w:val="00E64957"/>
    <w:rsid w:val="00E6707B"/>
    <w:rsid w:val="00E6772A"/>
    <w:rsid w:val="00E70C46"/>
    <w:rsid w:val="00E71920"/>
    <w:rsid w:val="00E7375C"/>
    <w:rsid w:val="00E74721"/>
    <w:rsid w:val="00E74D8A"/>
    <w:rsid w:val="00E76C6C"/>
    <w:rsid w:val="00E83C7D"/>
    <w:rsid w:val="00E86FD0"/>
    <w:rsid w:val="00E93A2D"/>
    <w:rsid w:val="00E95BB1"/>
    <w:rsid w:val="00E97651"/>
    <w:rsid w:val="00EA19B9"/>
    <w:rsid w:val="00EA4D68"/>
    <w:rsid w:val="00EB02C6"/>
    <w:rsid w:val="00EB0D4A"/>
    <w:rsid w:val="00EB464B"/>
    <w:rsid w:val="00EB5177"/>
    <w:rsid w:val="00EB6089"/>
    <w:rsid w:val="00EB6F0B"/>
    <w:rsid w:val="00EB760C"/>
    <w:rsid w:val="00EC51B5"/>
    <w:rsid w:val="00ED04BB"/>
    <w:rsid w:val="00ED0C9C"/>
    <w:rsid w:val="00ED2B34"/>
    <w:rsid w:val="00ED4018"/>
    <w:rsid w:val="00ED564D"/>
    <w:rsid w:val="00ED6E28"/>
    <w:rsid w:val="00EE2EA8"/>
    <w:rsid w:val="00EE3195"/>
    <w:rsid w:val="00EF0982"/>
    <w:rsid w:val="00EF4DF9"/>
    <w:rsid w:val="00EF7CEA"/>
    <w:rsid w:val="00F01890"/>
    <w:rsid w:val="00F01CB0"/>
    <w:rsid w:val="00F03110"/>
    <w:rsid w:val="00F04C10"/>
    <w:rsid w:val="00F05776"/>
    <w:rsid w:val="00F068C3"/>
    <w:rsid w:val="00F07254"/>
    <w:rsid w:val="00F107F5"/>
    <w:rsid w:val="00F14FB7"/>
    <w:rsid w:val="00F173A5"/>
    <w:rsid w:val="00F2300C"/>
    <w:rsid w:val="00F233E5"/>
    <w:rsid w:val="00F24CE3"/>
    <w:rsid w:val="00F2543B"/>
    <w:rsid w:val="00F2550A"/>
    <w:rsid w:val="00F25935"/>
    <w:rsid w:val="00F307BB"/>
    <w:rsid w:val="00F3126B"/>
    <w:rsid w:val="00F33B05"/>
    <w:rsid w:val="00F34748"/>
    <w:rsid w:val="00F354B3"/>
    <w:rsid w:val="00F42459"/>
    <w:rsid w:val="00F43F1A"/>
    <w:rsid w:val="00F44FB2"/>
    <w:rsid w:val="00F4681C"/>
    <w:rsid w:val="00F4732B"/>
    <w:rsid w:val="00F5295C"/>
    <w:rsid w:val="00F532E5"/>
    <w:rsid w:val="00F53871"/>
    <w:rsid w:val="00F5450A"/>
    <w:rsid w:val="00F55090"/>
    <w:rsid w:val="00F551FC"/>
    <w:rsid w:val="00F56BEF"/>
    <w:rsid w:val="00F6067A"/>
    <w:rsid w:val="00F636ED"/>
    <w:rsid w:val="00F661BD"/>
    <w:rsid w:val="00F71394"/>
    <w:rsid w:val="00F73757"/>
    <w:rsid w:val="00F74C06"/>
    <w:rsid w:val="00F7585D"/>
    <w:rsid w:val="00F774F9"/>
    <w:rsid w:val="00F8183F"/>
    <w:rsid w:val="00F843EC"/>
    <w:rsid w:val="00F849A6"/>
    <w:rsid w:val="00F9081E"/>
    <w:rsid w:val="00F908A2"/>
    <w:rsid w:val="00F957FF"/>
    <w:rsid w:val="00F9607C"/>
    <w:rsid w:val="00FA1FA2"/>
    <w:rsid w:val="00FA664B"/>
    <w:rsid w:val="00FA7190"/>
    <w:rsid w:val="00FB0AD3"/>
    <w:rsid w:val="00FB52C0"/>
    <w:rsid w:val="00FC56DB"/>
    <w:rsid w:val="00FC6997"/>
    <w:rsid w:val="00FD13AE"/>
    <w:rsid w:val="00FE21C4"/>
    <w:rsid w:val="00FE3EF0"/>
    <w:rsid w:val="00FF0E5D"/>
    <w:rsid w:val="00FF2BDD"/>
    <w:rsid w:val="00FF3E7A"/>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attachedSchema w:val="Microsystems.SD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67"/>
    <o:shapelayout v:ext="edit">
      <o:idmap v:ext="edit" data="1"/>
    </o:shapelayout>
  </w:shapeDefaults>
  <w:decimalSymbol w:val=","/>
  <w:listSeparator w:val=";"/>
  <w14:docId w14:val="48B4F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C"/>
    <w:pPr>
      <w:spacing w:after="240"/>
      <w:jc w:val="both"/>
    </w:pPr>
    <w:rPr>
      <w:rFonts w:cs="tim"/>
      <w:sz w:val="24"/>
      <w:szCs w:val="24"/>
      <w:lang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nhideWhenUsed/>
    <w:rsid w:val="00E54252"/>
    <w:pPr>
      <w:spacing w:after="120"/>
    </w:pPr>
    <w:rPr>
      <w:sz w:val="20"/>
      <w:szCs w:val="20"/>
    </w:rPr>
  </w:style>
  <w:style w:type="character" w:customStyle="1" w:styleId="CommentTextChar">
    <w:name w:val="Comment Text Char"/>
    <w:link w:val="CommentText"/>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paragraph" w:customStyle="1" w:styleId="StandardL1">
    <w:name w:val="Standard L1"/>
    <w:basedOn w:val="Normal"/>
    <w:next w:val="BodyText1"/>
    <w:rsid w:val="001741A2"/>
    <w:pPr>
      <w:keepNext/>
      <w:numPr>
        <w:numId w:val="1"/>
      </w:numPr>
      <w:jc w:val="left"/>
      <w:outlineLvl w:val="0"/>
    </w:pPr>
    <w:rPr>
      <w:b/>
      <w:bCs/>
      <w:caps/>
      <w:lang w:eastAsia="en-GB"/>
    </w:rPr>
  </w:style>
  <w:style w:type="paragraph" w:customStyle="1" w:styleId="StandardL2">
    <w:name w:val="Standard L2"/>
    <w:basedOn w:val="Normal"/>
    <w:next w:val="BodyText1"/>
    <w:rsid w:val="001741A2"/>
    <w:pPr>
      <w:numPr>
        <w:ilvl w:val="1"/>
        <w:numId w:val="1"/>
      </w:numPr>
      <w:outlineLvl w:val="1"/>
    </w:pPr>
    <w:rPr>
      <w:lang w:eastAsia="en-GB"/>
    </w:rPr>
  </w:style>
  <w:style w:type="paragraph" w:customStyle="1" w:styleId="StandardL3">
    <w:name w:val="Standard L3"/>
    <w:basedOn w:val="Normal"/>
    <w:next w:val="BodyText2"/>
    <w:rsid w:val="001741A2"/>
    <w:pPr>
      <w:numPr>
        <w:ilvl w:val="2"/>
        <w:numId w:val="1"/>
      </w:numPr>
      <w:outlineLvl w:val="2"/>
    </w:pPr>
    <w:rPr>
      <w:lang w:eastAsia="en-GB"/>
    </w:rPr>
  </w:style>
  <w:style w:type="paragraph" w:customStyle="1" w:styleId="StandardL4">
    <w:name w:val="Standard L4"/>
    <w:basedOn w:val="Normal"/>
    <w:next w:val="BodyText3"/>
    <w:rsid w:val="001741A2"/>
    <w:pPr>
      <w:numPr>
        <w:ilvl w:val="3"/>
        <w:numId w:val="1"/>
      </w:numPr>
      <w:outlineLvl w:val="3"/>
    </w:pPr>
    <w:rPr>
      <w:lang w:eastAsia="en-GB"/>
    </w:rPr>
  </w:style>
  <w:style w:type="paragraph" w:customStyle="1" w:styleId="StandardL5">
    <w:name w:val="Standard L5"/>
    <w:basedOn w:val="Normal"/>
    <w:next w:val="BodyText4"/>
    <w:rsid w:val="001741A2"/>
    <w:pPr>
      <w:numPr>
        <w:ilvl w:val="4"/>
        <w:numId w:val="1"/>
      </w:numPr>
      <w:outlineLvl w:val="4"/>
    </w:pPr>
    <w:rPr>
      <w:lang w:eastAsia="en-GB"/>
    </w:rPr>
  </w:style>
  <w:style w:type="paragraph" w:customStyle="1" w:styleId="StandardL6">
    <w:name w:val="Standard L6"/>
    <w:basedOn w:val="Normal"/>
    <w:next w:val="BodyText5"/>
    <w:rsid w:val="001741A2"/>
    <w:pPr>
      <w:numPr>
        <w:ilvl w:val="5"/>
        <w:numId w:val="1"/>
      </w:numPr>
      <w:outlineLvl w:val="5"/>
    </w:pPr>
    <w:rPr>
      <w:lang w:eastAsia="en-GB"/>
    </w:rPr>
  </w:style>
  <w:style w:type="paragraph" w:customStyle="1" w:styleId="StandardL7">
    <w:name w:val="Standard L7"/>
    <w:basedOn w:val="Normal"/>
    <w:next w:val="BodyText6"/>
    <w:rsid w:val="001741A2"/>
    <w:pPr>
      <w:numPr>
        <w:ilvl w:val="6"/>
        <w:numId w:val="1"/>
      </w:numPr>
      <w:outlineLvl w:val="6"/>
    </w:pPr>
    <w:rPr>
      <w:lang w:eastAsia="en-GB"/>
    </w:rPr>
  </w:style>
  <w:style w:type="paragraph" w:customStyle="1" w:styleId="StandardL8">
    <w:name w:val="Standard L8"/>
    <w:basedOn w:val="Normal"/>
    <w:next w:val="BodyText2"/>
    <w:rsid w:val="001741A2"/>
    <w:pPr>
      <w:numPr>
        <w:ilvl w:val="7"/>
        <w:numId w:val="1"/>
      </w:numPr>
      <w:outlineLvl w:val="7"/>
    </w:pPr>
    <w:rPr>
      <w:lang w:eastAsia="en-GB"/>
    </w:rPr>
  </w:style>
  <w:style w:type="paragraph" w:customStyle="1" w:styleId="StandardL9">
    <w:name w:val="Standard L9"/>
    <w:basedOn w:val="Normal"/>
    <w:next w:val="BodyText3"/>
    <w:rsid w:val="001741A2"/>
    <w:pPr>
      <w:numPr>
        <w:ilvl w:val="8"/>
        <w:numId w:val="1"/>
      </w:numPr>
      <w:outlineLvl w:val="8"/>
    </w:pPr>
    <w:rPr>
      <w:lang w:eastAsia="en-GB"/>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E54252"/>
    <w:pPr>
      <w:keepLines/>
      <w:tabs>
        <w:tab w:val="right" w:leader="dot" w:pos="9016"/>
      </w:tabs>
      <w:adjustRightInd w:val="0"/>
      <w:snapToGrid w:val="0"/>
      <w:spacing w:before="100" w:after="0"/>
      <w:ind w:left="720" w:hanging="720"/>
    </w:pPr>
    <w:rPr>
      <w:snapToGrid w:val="0"/>
    </w:rPr>
  </w:style>
  <w:style w:type="paragraph" w:styleId="TOC2">
    <w:name w:val="toc 2"/>
    <w:basedOn w:val="Normal"/>
    <w:next w:val="BodyText"/>
    <w:uiPriority w:val="39"/>
    <w:unhideWhenUsed/>
    <w:rsid w:val="00E54252"/>
    <w:pPr>
      <w:keepLines/>
      <w:tabs>
        <w:tab w:val="right" w:leader="dot" w:pos="9015"/>
      </w:tabs>
      <w:adjustRightInd w:val="0"/>
      <w:snapToGrid w:val="0"/>
      <w:spacing w:before="100" w:after="0"/>
      <w:ind w:left="144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rsid w:val="00D95E93"/>
    <w:pPr>
      <w:numPr>
        <w:ilvl w:val="8"/>
        <w:numId w:val="2"/>
      </w:numPr>
      <w:spacing w:line="288" w:lineRule="auto"/>
      <w:outlineLvl w:val="8"/>
    </w:pPr>
  </w:style>
  <w:style w:type="character" w:customStyle="1" w:styleId="Schedule1L9Char">
    <w:name w:val="Schedule 1 L9 Char"/>
    <w:link w:val="Schedule1L9"/>
    <w:rsid w:val="00D95E93"/>
    <w:rPr>
      <w:sz w:val="24"/>
      <w:szCs w:val="24"/>
      <w:lang w:val="en-GB" w:bidi="ar-AE"/>
    </w:rPr>
  </w:style>
  <w:style w:type="paragraph" w:customStyle="1" w:styleId="Schedule1L8">
    <w:name w:val="Schedule 1 L8"/>
    <w:basedOn w:val="Normal"/>
    <w:next w:val="BodyText5"/>
    <w:link w:val="Schedule1L8Char"/>
    <w:rsid w:val="00D95E93"/>
    <w:pPr>
      <w:numPr>
        <w:ilvl w:val="7"/>
        <w:numId w:val="2"/>
      </w:numPr>
      <w:spacing w:line="288" w:lineRule="auto"/>
      <w:outlineLvl w:val="7"/>
    </w:pPr>
  </w:style>
  <w:style w:type="character" w:customStyle="1" w:styleId="Schedule1L8Char">
    <w:name w:val="Schedule 1 L8 Char"/>
    <w:link w:val="Schedule1L8"/>
    <w:rsid w:val="00D95E93"/>
    <w:rPr>
      <w:sz w:val="24"/>
      <w:szCs w:val="24"/>
      <w:lang w:val="en-GB" w:bidi="ar-AE"/>
    </w:rPr>
  </w:style>
  <w:style w:type="paragraph" w:customStyle="1" w:styleId="Schedule1L7">
    <w:name w:val="Schedule 1 L7"/>
    <w:basedOn w:val="Normal"/>
    <w:next w:val="BodyText4"/>
    <w:link w:val="Schedule1L7Char"/>
    <w:rsid w:val="00D95E93"/>
    <w:pPr>
      <w:numPr>
        <w:ilvl w:val="6"/>
        <w:numId w:val="2"/>
      </w:numPr>
      <w:spacing w:line="288" w:lineRule="auto"/>
      <w:outlineLvl w:val="6"/>
    </w:pPr>
  </w:style>
  <w:style w:type="character" w:customStyle="1" w:styleId="Schedule1L7Char">
    <w:name w:val="Schedule 1 L7 Char"/>
    <w:link w:val="Schedule1L7"/>
    <w:rsid w:val="00D95E93"/>
    <w:rPr>
      <w:sz w:val="24"/>
      <w:szCs w:val="24"/>
      <w:lang w:val="en-GB" w:bidi="ar-AE"/>
    </w:rPr>
  </w:style>
  <w:style w:type="paragraph" w:customStyle="1" w:styleId="Schedule1L6">
    <w:name w:val="Schedule 1 L6"/>
    <w:basedOn w:val="Normal"/>
    <w:next w:val="BodyText3"/>
    <w:link w:val="Schedule1L6Char"/>
    <w:rsid w:val="00D95E93"/>
    <w:pPr>
      <w:numPr>
        <w:ilvl w:val="5"/>
        <w:numId w:val="2"/>
      </w:numPr>
      <w:spacing w:line="288" w:lineRule="auto"/>
      <w:outlineLvl w:val="5"/>
    </w:pPr>
  </w:style>
  <w:style w:type="character" w:customStyle="1" w:styleId="Schedule1L6Char">
    <w:name w:val="Schedule 1 L6 Char"/>
    <w:link w:val="Schedule1L6"/>
    <w:rsid w:val="00D95E93"/>
    <w:rPr>
      <w:sz w:val="24"/>
      <w:szCs w:val="24"/>
      <w:lang w:val="en-GB" w:bidi="ar-AE"/>
    </w:rPr>
  </w:style>
  <w:style w:type="paragraph" w:customStyle="1" w:styleId="Schedule1L5">
    <w:name w:val="Schedule 1 L5"/>
    <w:basedOn w:val="Normal"/>
    <w:next w:val="BodyText2"/>
    <w:link w:val="Schedule1L5Char"/>
    <w:rsid w:val="00D95E93"/>
    <w:pPr>
      <w:numPr>
        <w:ilvl w:val="4"/>
        <w:numId w:val="2"/>
      </w:numPr>
      <w:spacing w:line="288" w:lineRule="auto"/>
      <w:outlineLvl w:val="4"/>
    </w:pPr>
  </w:style>
  <w:style w:type="character" w:customStyle="1" w:styleId="Schedule1L5Char">
    <w:name w:val="Schedule 1 L5 Char"/>
    <w:link w:val="Schedule1L5"/>
    <w:rsid w:val="00D95E93"/>
    <w:rPr>
      <w:sz w:val="24"/>
      <w:szCs w:val="24"/>
      <w:lang w:val="en-GB" w:bidi="ar-AE"/>
    </w:rPr>
  </w:style>
  <w:style w:type="paragraph" w:customStyle="1" w:styleId="Schedule1L4">
    <w:name w:val="Schedule 1 L4"/>
    <w:basedOn w:val="Normal"/>
    <w:next w:val="BodyText1"/>
    <w:link w:val="Schedule1L4Char"/>
    <w:rsid w:val="00D95E93"/>
    <w:pPr>
      <w:numPr>
        <w:ilvl w:val="3"/>
        <w:numId w:val="2"/>
      </w:numPr>
      <w:spacing w:line="288" w:lineRule="auto"/>
      <w:outlineLvl w:val="3"/>
    </w:pPr>
  </w:style>
  <w:style w:type="character" w:customStyle="1" w:styleId="Schedule1L4Char">
    <w:name w:val="Schedule 1 L4 Char"/>
    <w:link w:val="Schedule1L4"/>
    <w:rsid w:val="00D95E93"/>
    <w:rPr>
      <w:sz w:val="24"/>
      <w:szCs w:val="24"/>
      <w:lang w:val="en-GB" w:bidi="ar-AE"/>
    </w:rPr>
  </w:style>
  <w:style w:type="paragraph" w:customStyle="1" w:styleId="Schedule1L3">
    <w:name w:val="Schedule 1 L3"/>
    <w:basedOn w:val="Normal"/>
    <w:next w:val="BodyText1"/>
    <w:link w:val="Schedule1L3Char"/>
    <w:rsid w:val="00D95E93"/>
    <w:pPr>
      <w:numPr>
        <w:ilvl w:val="2"/>
        <w:numId w:val="2"/>
      </w:numPr>
      <w:spacing w:line="288" w:lineRule="auto"/>
      <w:outlineLvl w:val="2"/>
    </w:pPr>
  </w:style>
  <w:style w:type="character" w:customStyle="1" w:styleId="Schedule1L3Char">
    <w:name w:val="Schedule 1 L3 Char"/>
    <w:link w:val="Schedule1L3"/>
    <w:rsid w:val="00D95E93"/>
    <w:rPr>
      <w:sz w:val="24"/>
      <w:szCs w:val="24"/>
      <w:lang w:val="en-GB" w:bidi="ar-AE"/>
    </w:rPr>
  </w:style>
  <w:style w:type="paragraph" w:customStyle="1" w:styleId="Schedule1L2">
    <w:name w:val="Schedule 1 L2"/>
    <w:basedOn w:val="Normal"/>
    <w:next w:val="BodyText"/>
    <w:link w:val="Schedule1L2Char"/>
    <w:rsid w:val="00D95E93"/>
    <w:pPr>
      <w:numPr>
        <w:ilvl w:val="1"/>
        <w:numId w:val="2"/>
      </w:numPr>
      <w:spacing w:line="288" w:lineRule="auto"/>
      <w:jc w:val="center"/>
      <w:outlineLvl w:val="1"/>
    </w:pPr>
    <w:rPr>
      <w:b/>
      <w:caps/>
    </w:rPr>
  </w:style>
  <w:style w:type="character" w:customStyle="1" w:styleId="Schedule1L2Char">
    <w:name w:val="Schedule 1 L2 Char"/>
    <w:link w:val="Schedule1L2"/>
    <w:rsid w:val="00D95E93"/>
    <w:rPr>
      <w:b/>
      <w:caps/>
      <w:sz w:val="24"/>
      <w:szCs w:val="24"/>
      <w:lang w:val="en-GB" w:bidi="ar-AE"/>
    </w:rPr>
  </w:style>
  <w:style w:type="paragraph" w:customStyle="1" w:styleId="Schedule1L1">
    <w:name w:val="Schedule 1 L1"/>
    <w:basedOn w:val="Normal"/>
    <w:next w:val="BodyText"/>
    <w:link w:val="Schedule1L1Char"/>
    <w:rsid w:val="00D95E93"/>
    <w:pPr>
      <w:keepNext/>
      <w:pageBreakBefore/>
      <w:numPr>
        <w:numId w:val="2"/>
      </w:numPr>
      <w:spacing w:line="288" w:lineRule="auto"/>
      <w:jc w:val="center"/>
      <w:outlineLvl w:val="0"/>
    </w:pPr>
    <w:rPr>
      <w:b/>
      <w:caps/>
    </w:rPr>
  </w:style>
  <w:style w:type="character" w:customStyle="1" w:styleId="Schedule1L1Char">
    <w:name w:val="Schedule 1 L1 Char"/>
    <w:link w:val="Schedule1L1"/>
    <w:rsid w:val="00D95E93"/>
    <w:rPr>
      <w:b/>
      <w:caps/>
      <w:sz w:val="24"/>
      <w:szCs w:val="24"/>
      <w:lang w:val="en-GB" w:bidi="ar-AE"/>
    </w:rPr>
  </w:style>
  <w:style w:type="paragraph" w:customStyle="1" w:styleId="SimpleL9">
    <w:name w:val="Simple L9"/>
    <w:basedOn w:val="Normal"/>
    <w:link w:val="SimpleL9Char"/>
    <w:rsid w:val="00D95E93"/>
    <w:pPr>
      <w:numPr>
        <w:ilvl w:val="8"/>
        <w:numId w:val="3"/>
      </w:numPr>
      <w:spacing w:line="288" w:lineRule="auto"/>
      <w:outlineLvl w:val="8"/>
    </w:pPr>
  </w:style>
  <w:style w:type="character" w:customStyle="1" w:styleId="SimpleL9Char">
    <w:name w:val="Simple L9 Char"/>
    <w:link w:val="SimpleL9"/>
    <w:rsid w:val="00D95E93"/>
    <w:rPr>
      <w:sz w:val="24"/>
      <w:szCs w:val="24"/>
      <w:lang w:val="en-GB" w:bidi="ar-AE"/>
    </w:rPr>
  </w:style>
  <w:style w:type="paragraph" w:customStyle="1" w:styleId="SimpleL8">
    <w:name w:val="Simple L8"/>
    <w:basedOn w:val="Normal"/>
    <w:link w:val="SimpleL8Char"/>
    <w:rsid w:val="00D95E93"/>
    <w:pPr>
      <w:numPr>
        <w:ilvl w:val="7"/>
        <w:numId w:val="3"/>
      </w:numPr>
      <w:spacing w:line="288" w:lineRule="auto"/>
      <w:outlineLvl w:val="7"/>
    </w:pPr>
  </w:style>
  <w:style w:type="character" w:customStyle="1" w:styleId="SimpleL8Char">
    <w:name w:val="Simple L8 Char"/>
    <w:link w:val="SimpleL8"/>
    <w:rsid w:val="00D95E93"/>
    <w:rPr>
      <w:sz w:val="24"/>
      <w:szCs w:val="24"/>
      <w:lang w:val="en-GB" w:bidi="ar-AE"/>
    </w:rPr>
  </w:style>
  <w:style w:type="paragraph" w:customStyle="1" w:styleId="SimpleL7">
    <w:name w:val="Simple L7"/>
    <w:basedOn w:val="Normal"/>
    <w:link w:val="SimpleL7Char"/>
    <w:rsid w:val="00D95E93"/>
    <w:pPr>
      <w:numPr>
        <w:ilvl w:val="6"/>
        <w:numId w:val="3"/>
      </w:numPr>
      <w:spacing w:line="288" w:lineRule="auto"/>
      <w:outlineLvl w:val="6"/>
    </w:pPr>
  </w:style>
  <w:style w:type="character" w:customStyle="1" w:styleId="SimpleL7Char">
    <w:name w:val="Simple L7 Char"/>
    <w:link w:val="SimpleL7"/>
    <w:rsid w:val="00D95E93"/>
    <w:rPr>
      <w:sz w:val="24"/>
      <w:szCs w:val="24"/>
      <w:lang w:val="en-GB" w:bidi="ar-AE"/>
    </w:rPr>
  </w:style>
  <w:style w:type="paragraph" w:customStyle="1" w:styleId="SimpleL6">
    <w:name w:val="Simple L6"/>
    <w:basedOn w:val="Normal"/>
    <w:link w:val="SimpleL6Char"/>
    <w:rsid w:val="00D95E93"/>
    <w:pPr>
      <w:numPr>
        <w:ilvl w:val="5"/>
        <w:numId w:val="3"/>
      </w:numPr>
      <w:spacing w:line="288" w:lineRule="auto"/>
      <w:outlineLvl w:val="5"/>
    </w:pPr>
  </w:style>
  <w:style w:type="character" w:customStyle="1" w:styleId="SimpleL6Char">
    <w:name w:val="Simple L6 Char"/>
    <w:link w:val="SimpleL6"/>
    <w:rsid w:val="00D95E93"/>
    <w:rPr>
      <w:sz w:val="24"/>
      <w:szCs w:val="24"/>
      <w:lang w:val="en-GB" w:bidi="ar-AE"/>
    </w:rPr>
  </w:style>
  <w:style w:type="paragraph" w:customStyle="1" w:styleId="SimpleL5">
    <w:name w:val="Simple L5"/>
    <w:basedOn w:val="Normal"/>
    <w:link w:val="SimpleL5Char"/>
    <w:rsid w:val="00D95E93"/>
    <w:pPr>
      <w:numPr>
        <w:ilvl w:val="4"/>
        <w:numId w:val="3"/>
      </w:numPr>
      <w:spacing w:line="288" w:lineRule="auto"/>
      <w:outlineLvl w:val="4"/>
    </w:pPr>
  </w:style>
  <w:style w:type="character" w:customStyle="1" w:styleId="SimpleL5Char">
    <w:name w:val="Simple L5 Char"/>
    <w:link w:val="SimpleL5"/>
    <w:rsid w:val="00D95E93"/>
    <w:rPr>
      <w:sz w:val="24"/>
      <w:szCs w:val="24"/>
      <w:lang w:val="en-GB" w:bidi="ar-AE"/>
    </w:rPr>
  </w:style>
  <w:style w:type="paragraph" w:customStyle="1" w:styleId="SimpleL4">
    <w:name w:val="Simple L4"/>
    <w:basedOn w:val="Normal"/>
    <w:link w:val="SimpleL4Char"/>
    <w:rsid w:val="00D95E93"/>
    <w:pPr>
      <w:numPr>
        <w:ilvl w:val="3"/>
        <w:numId w:val="3"/>
      </w:numPr>
      <w:outlineLvl w:val="3"/>
    </w:pPr>
  </w:style>
  <w:style w:type="character" w:customStyle="1" w:styleId="SimpleL4Char">
    <w:name w:val="Simple L4 Char"/>
    <w:link w:val="SimpleL4"/>
    <w:rsid w:val="00D95E93"/>
    <w:rPr>
      <w:sz w:val="24"/>
      <w:szCs w:val="24"/>
      <w:lang w:val="en-GB" w:bidi="ar-AE"/>
    </w:rPr>
  </w:style>
  <w:style w:type="paragraph" w:customStyle="1" w:styleId="SimpleL3">
    <w:name w:val="Simple L3"/>
    <w:basedOn w:val="Normal"/>
    <w:link w:val="SimpleL3Char"/>
    <w:rsid w:val="00D95E93"/>
    <w:pPr>
      <w:numPr>
        <w:ilvl w:val="2"/>
        <w:numId w:val="3"/>
      </w:numPr>
      <w:spacing w:line="288" w:lineRule="auto"/>
      <w:outlineLvl w:val="2"/>
    </w:pPr>
  </w:style>
  <w:style w:type="character" w:customStyle="1" w:styleId="SimpleL3Char">
    <w:name w:val="Simple L3 Char"/>
    <w:link w:val="SimpleL3"/>
    <w:rsid w:val="00D95E93"/>
    <w:rPr>
      <w:sz w:val="24"/>
      <w:szCs w:val="24"/>
      <w:lang w:val="en-GB" w:bidi="ar-AE"/>
    </w:rPr>
  </w:style>
  <w:style w:type="paragraph" w:customStyle="1" w:styleId="SimpleL2">
    <w:name w:val="Simple L2"/>
    <w:basedOn w:val="Normal"/>
    <w:link w:val="SimpleL2Char"/>
    <w:rsid w:val="00D95E93"/>
    <w:pPr>
      <w:numPr>
        <w:ilvl w:val="1"/>
        <w:numId w:val="3"/>
      </w:numPr>
      <w:outlineLvl w:val="1"/>
    </w:pPr>
  </w:style>
  <w:style w:type="character" w:customStyle="1" w:styleId="SimpleL2Char">
    <w:name w:val="Simple L2 Char"/>
    <w:link w:val="SimpleL2"/>
    <w:rsid w:val="00D95E93"/>
    <w:rPr>
      <w:sz w:val="24"/>
      <w:szCs w:val="24"/>
      <w:lang w:val="en-GB" w:bidi="ar-AE"/>
    </w:rPr>
  </w:style>
  <w:style w:type="paragraph" w:customStyle="1" w:styleId="SimpleL1">
    <w:name w:val="Simple L1"/>
    <w:basedOn w:val="Normal"/>
    <w:link w:val="SimpleL1Char"/>
    <w:rsid w:val="00D95E93"/>
    <w:pPr>
      <w:numPr>
        <w:numId w:val="3"/>
      </w:numPr>
      <w:spacing w:line="288" w:lineRule="auto"/>
      <w:outlineLvl w:val="0"/>
    </w:pPr>
  </w:style>
  <w:style w:type="character" w:customStyle="1" w:styleId="SimpleL1Char">
    <w:name w:val="Simple L1 Char"/>
    <w:link w:val="SimpleL1"/>
    <w:rsid w:val="00D95E93"/>
    <w:rPr>
      <w:sz w:val="24"/>
      <w:szCs w:val="24"/>
      <w:lang w:val="en-GB" w:bidi="ar-AE"/>
    </w:rPr>
  </w:style>
  <w:style w:type="character" w:styleId="Hyperlink">
    <w:name w:val="Hyperlink"/>
    <w:uiPriority w:val="99"/>
    <w:unhideWhenUsed/>
    <w:rsid w:val="003249B4"/>
    <w:rPr>
      <w:color w:val="0000FF"/>
      <w:u w:val="single"/>
    </w:rPr>
  </w:style>
  <w:style w:type="paragraph" w:styleId="TOC3">
    <w:name w:val="toc 3"/>
    <w:basedOn w:val="Normal"/>
    <w:next w:val="Normal"/>
    <w:autoRedefine/>
    <w:uiPriority w:val="39"/>
    <w:semiHidden/>
    <w:unhideWhenUsed/>
    <w:rsid w:val="00116853"/>
    <w:pPr>
      <w:ind w:left="480"/>
    </w:pPr>
  </w:style>
  <w:style w:type="paragraph" w:styleId="TOC4">
    <w:name w:val="toc 4"/>
    <w:basedOn w:val="Normal"/>
    <w:next w:val="Normal"/>
    <w:autoRedefine/>
    <w:uiPriority w:val="39"/>
    <w:semiHidden/>
    <w:unhideWhenUsed/>
    <w:rsid w:val="00116853"/>
    <w:pPr>
      <w:ind w:left="720"/>
    </w:pPr>
  </w:style>
  <w:style w:type="paragraph" w:customStyle="1" w:styleId="ListBullet1">
    <w:name w:val="List Bullet 1"/>
    <w:basedOn w:val="Normal"/>
    <w:rsid w:val="001A246E"/>
    <w:pPr>
      <w:numPr>
        <w:numId w:val="18"/>
      </w:numPr>
      <w:spacing w:before="120" w:after="120"/>
    </w:pPr>
    <w:rPr>
      <w:rFonts w:eastAsia="Times New Roman" w:cs="Times New Roman"/>
      <w:szCs w:val="22"/>
      <w:lang w:eastAsia="de-DE" w:bidi="ar-SA"/>
    </w:rPr>
  </w:style>
  <w:style w:type="paragraph" w:customStyle="1" w:styleId="NumPar1">
    <w:name w:val="NumPar 1"/>
    <w:basedOn w:val="Normal"/>
    <w:next w:val="Normal"/>
    <w:rsid w:val="000E4CFE"/>
    <w:pPr>
      <w:numPr>
        <w:numId w:val="19"/>
      </w:numPr>
      <w:tabs>
        <w:tab w:val="clear" w:pos="850"/>
        <w:tab w:val="num" w:pos="1134"/>
      </w:tabs>
      <w:spacing w:before="120" w:after="120"/>
      <w:ind w:left="1134" w:hanging="283"/>
    </w:pPr>
    <w:rPr>
      <w:rFonts w:eastAsia="Calibri" w:cs="Times New Roman"/>
      <w:szCs w:val="22"/>
      <w:lang w:eastAsia="en-US" w:bidi="ar-SA"/>
    </w:rPr>
  </w:style>
  <w:style w:type="paragraph" w:customStyle="1" w:styleId="NumPar2">
    <w:name w:val="NumPar 2"/>
    <w:basedOn w:val="Normal"/>
    <w:next w:val="Normal"/>
    <w:rsid w:val="000E4CFE"/>
    <w:pPr>
      <w:numPr>
        <w:ilvl w:val="1"/>
        <w:numId w:val="19"/>
      </w:numPr>
      <w:tabs>
        <w:tab w:val="clear" w:pos="850"/>
        <w:tab w:val="num" w:pos="1134"/>
      </w:tabs>
      <w:spacing w:before="120" w:after="120"/>
      <w:ind w:left="1134" w:hanging="283"/>
    </w:pPr>
    <w:rPr>
      <w:rFonts w:eastAsia="Calibri" w:cs="Times New Roman"/>
      <w:szCs w:val="22"/>
      <w:lang w:eastAsia="en-US" w:bidi="ar-SA"/>
    </w:rPr>
  </w:style>
  <w:style w:type="paragraph" w:customStyle="1" w:styleId="NumPar3">
    <w:name w:val="NumPar 3"/>
    <w:basedOn w:val="Normal"/>
    <w:next w:val="Normal"/>
    <w:rsid w:val="000E4CFE"/>
    <w:pPr>
      <w:numPr>
        <w:ilvl w:val="2"/>
        <w:numId w:val="19"/>
      </w:numPr>
      <w:tabs>
        <w:tab w:val="clear" w:pos="850"/>
        <w:tab w:val="num" w:pos="1134"/>
      </w:tabs>
      <w:spacing w:before="120" w:after="120"/>
      <w:ind w:left="1134" w:hanging="283"/>
    </w:pPr>
    <w:rPr>
      <w:rFonts w:eastAsia="Calibri" w:cs="Times New Roman"/>
      <w:szCs w:val="22"/>
      <w:lang w:eastAsia="en-US" w:bidi="ar-SA"/>
    </w:rPr>
  </w:style>
  <w:style w:type="paragraph" w:customStyle="1" w:styleId="NumPar4">
    <w:name w:val="NumPar 4"/>
    <w:basedOn w:val="Normal"/>
    <w:next w:val="Normal"/>
    <w:rsid w:val="000E4CFE"/>
    <w:pPr>
      <w:numPr>
        <w:ilvl w:val="3"/>
        <w:numId w:val="19"/>
      </w:numPr>
      <w:tabs>
        <w:tab w:val="clear" w:pos="850"/>
        <w:tab w:val="num" w:pos="1134"/>
      </w:tabs>
      <w:spacing w:before="120" w:after="120"/>
      <w:ind w:left="1134" w:hanging="283"/>
    </w:pPr>
    <w:rPr>
      <w:rFonts w:eastAsia="Calibri" w:cs="Times New Roman"/>
      <w:szCs w:val="22"/>
      <w:lang w:eastAsia="en-US" w:bidi="ar-SA"/>
    </w:rPr>
  </w:style>
  <w:style w:type="paragraph" w:styleId="Revision">
    <w:name w:val="Revision"/>
    <w:hidden/>
    <w:uiPriority w:val="99"/>
    <w:semiHidden/>
    <w:rsid w:val="00133EA3"/>
    <w:rPr>
      <w:rFonts w:cs="tim"/>
      <w:sz w:val="24"/>
      <w:szCs w:val="24"/>
      <w:lang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1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89E7-10BE-46D1-B1DA-854CBB1B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3468</Words>
  <Characters>18037</Characters>
  <Application>Microsoft Office Word</Application>
  <DocSecurity>0</DocSecurity>
  <Lines>515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Links>
    <vt:vector size="54" baseType="variant">
      <vt:variant>
        <vt:i4>1638452</vt:i4>
      </vt:variant>
      <vt:variant>
        <vt:i4>53</vt:i4>
      </vt:variant>
      <vt:variant>
        <vt:i4>0</vt:i4>
      </vt:variant>
      <vt:variant>
        <vt:i4>5</vt:i4>
      </vt:variant>
      <vt:variant>
        <vt:lpwstr/>
      </vt:variant>
      <vt:variant>
        <vt:lpwstr>_Toc39746467</vt:lpwstr>
      </vt:variant>
      <vt:variant>
        <vt:i4>1572916</vt:i4>
      </vt:variant>
      <vt:variant>
        <vt:i4>47</vt:i4>
      </vt:variant>
      <vt:variant>
        <vt:i4>0</vt:i4>
      </vt:variant>
      <vt:variant>
        <vt:i4>5</vt:i4>
      </vt:variant>
      <vt:variant>
        <vt:lpwstr/>
      </vt:variant>
      <vt:variant>
        <vt:lpwstr>_Toc39746466</vt:lpwstr>
      </vt:variant>
      <vt:variant>
        <vt:i4>1769524</vt:i4>
      </vt:variant>
      <vt:variant>
        <vt:i4>41</vt:i4>
      </vt:variant>
      <vt:variant>
        <vt:i4>0</vt:i4>
      </vt:variant>
      <vt:variant>
        <vt:i4>5</vt:i4>
      </vt:variant>
      <vt:variant>
        <vt:lpwstr/>
      </vt:variant>
      <vt:variant>
        <vt:lpwstr>_Toc39746465</vt:lpwstr>
      </vt:variant>
      <vt:variant>
        <vt:i4>1703988</vt:i4>
      </vt:variant>
      <vt:variant>
        <vt:i4>35</vt:i4>
      </vt:variant>
      <vt:variant>
        <vt:i4>0</vt:i4>
      </vt:variant>
      <vt:variant>
        <vt:i4>5</vt:i4>
      </vt:variant>
      <vt:variant>
        <vt:lpwstr/>
      </vt:variant>
      <vt:variant>
        <vt:lpwstr>_Toc39746464</vt:lpwstr>
      </vt:variant>
      <vt:variant>
        <vt:i4>1900596</vt:i4>
      </vt:variant>
      <vt:variant>
        <vt:i4>29</vt:i4>
      </vt:variant>
      <vt:variant>
        <vt:i4>0</vt:i4>
      </vt:variant>
      <vt:variant>
        <vt:i4>5</vt:i4>
      </vt:variant>
      <vt:variant>
        <vt:lpwstr/>
      </vt:variant>
      <vt:variant>
        <vt:lpwstr>_Toc39746463</vt:lpwstr>
      </vt:variant>
      <vt:variant>
        <vt:i4>1835060</vt:i4>
      </vt:variant>
      <vt:variant>
        <vt:i4>23</vt:i4>
      </vt:variant>
      <vt:variant>
        <vt:i4>0</vt:i4>
      </vt:variant>
      <vt:variant>
        <vt:i4>5</vt:i4>
      </vt:variant>
      <vt:variant>
        <vt:lpwstr/>
      </vt:variant>
      <vt:variant>
        <vt:lpwstr>_Toc39746462</vt:lpwstr>
      </vt:variant>
      <vt:variant>
        <vt:i4>2031668</vt:i4>
      </vt:variant>
      <vt:variant>
        <vt:i4>17</vt:i4>
      </vt:variant>
      <vt:variant>
        <vt:i4>0</vt:i4>
      </vt:variant>
      <vt:variant>
        <vt:i4>5</vt:i4>
      </vt:variant>
      <vt:variant>
        <vt:lpwstr/>
      </vt:variant>
      <vt:variant>
        <vt:lpwstr>_Toc39746461</vt:lpwstr>
      </vt:variant>
      <vt:variant>
        <vt:i4>1966132</vt:i4>
      </vt:variant>
      <vt:variant>
        <vt:i4>11</vt:i4>
      </vt:variant>
      <vt:variant>
        <vt:i4>0</vt:i4>
      </vt:variant>
      <vt:variant>
        <vt:i4>5</vt:i4>
      </vt:variant>
      <vt:variant>
        <vt:lpwstr/>
      </vt:variant>
      <vt:variant>
        <vt:lpwstr>_Toc39746460</vt:lpwstr>
      </vt:variant>
      <vt:variant>
        <vt:i4>1507383</vt:i4>
      </vt:variant>
      <vt:variant>
        <vt:i4>5</vt:i4>
      </vt:variant>
      <vt:variant>
        <vt:i4>0</vt:i4>
      </vt:variant>
      <vt:variant>
        <vt:i4>5</vt:i4>
      </vt:variant>
      <vt:variant>
        <vt:lpwstr/>
      </vt:variant>
      <vt:variant>
        <vt:lpwstr>_Toc39746459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2020-05-23T11:55:00Z</dcterms:created>
  <dcterms:modified xsi:type="dcterms:W3CDTF">2020-05-23T12:13:00Z</dcterms:modified>
</cp:coreProperties>
</file>