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6009F" w14:textId="53F98481" w:rsidR="0066746A" w:rsidRDefault="00BC166F" w:rsidP="00CD020B">
      <w:pPr>
        <w:pStyle w:val="Title"/>
      </w:pPr>
      <w:r>
        <w:rPr>
          <w:noProof/>
          <w:lang w:eastAsia="zh-TW"/>
        </w:rPr>
        <w:drawing>
          <wp:anchor distT="0" distB="0" distL="114300" distR="114300" simplePos="0" relativeHeight="251657728" behindDoc="0" locked="0" layoutInCell="0" allowOverlap="1" wp14:anchorId="078600E4" wp14:editId="078600E5">
            <wp:simplePos x="0" y="0"/>
            <wp:positionH relativeFrom="page">
              <wp:posOffset>3776980</wp:posOffset>
            </wp:positionH>
            <wp:positionV relativeFrom="page">
              <wp:posOffset>720090</wp:posOffset>
            </wp:positionV>
            <wp:extent cx="543560" cy="59563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300FCE" w:rsidRPr="007B540D">
        <w:t xml:space="preserve">Valstybinė energetikos </w:t>
      </w:r>
      <w:r w:rsidR="00300FCE">
        <w:t>reguliavimo taryba</w:t>
      </w:r>
    </w:p>
    <w:p w14:paraId="078600A0" w14:textId="77777777" w:rsidR="00074FBA" w:rsidRPr="00DF5DFE" w:rsidRDefault="00074FBA" w:rsidP="00074FBA">
      <w:pPr>
        <w:pStyle w:val="Title"/>
        <w:spacing w:before="0"/>
        <w:rPr>
          <w:sz w:val="16"/>
          <w:szCs w:val="16"/>
        </w:rPr>
      </w:pPr>
    </w:p>
    <w:p w14:paraId="078600A1" w14:textId="3BC79D89" w:rsidR="00DF5DFE" w:rsidRPr="00922CAD" w:rsidRDefault="00815090">
      <w:pPr>
        <w:pBdr>
          <w:bottom w:val="single" w:sz="4" w:space="1" w:color="auto"/>
        </w:pBdr>
        <w:jc w:val="center"/>
        <w:rPr>
          <w:b w:val="0"/>
          <w:sz w:val="18"/>
        </w:rPr>
      </w:pPr>
      <w:r>
        <w:rPr>
          <w:b w:val="0"/>
          <w:sz w:val="18"/>
        </w:rPr>
        <w:t>B</w:t>
      </w:r>
      <w:r w:rsidR="0066746A">
        <w:rPr>
          <w:b w:val="0"/>
          <w:sz w:val="18"/>
        </w:rPr>
        <w:t>iudžetinė įstaiga</w:t>
      </w:r>
      <w:r w:rsidR="00DF5DFE">
        <w:rPr>
          <w:b w:val="0"/>
          <w:color w:val="000000"/>
          <w:sz w:val="18"/>
        </w:rPr>
        <w:t xml:space="preserve">, </w:t>
      </w:r>
      <w:r w:rsidR="0046472E" w:rsidRPr="0046472E">
        <w:rPr>
          <w:b w:val="0"/>
          <w:color w:val="000000"/>
          <w:sz w:val="18"/>
        </w:rPr>
        <w:t>Verkių g. 25C</w:t>
      </w:r>
      <w:r w:rsidR="00BC166F">
        <w:rPr>
          <w:b w:val="0"/>
          <w:color w:val="000000"/>
          <w:sz w:val="18"/>
        </w:rPr>
        <w:t>-1</w:t>
      </w:r>
      <w:r w:rsidR="0046472E" w:rsidRPr="0046472E">
        <w:rPr>
          <w:b w:val="0"/>
          <w:color w:val="000000"/>
          <w:sz w:val="18"/>
        </w:rPr>
        <w:t>, LT</w:t>
      </w:r>
      <w:r w:rsidR="00FD2D26">
        <w:rPr>
          <w:b w:val="0"/>
          <w:color w:val="000000"/>
          <w:sz w:val="18"/>
        </w:rPr>
        <w:t>-</w:t>
      </w:r>
      <w:r w:rsidR="0046472E" w:rsidRPr="0046472E">
        <w:rPr>
          <w:b w:val="0"/>
          <w:color w:val="000000"/>
          <w:sz w:val="18"/>
        </w:rPr>
        <w:t>08223 Vilnius</w:t>
      </w:r>
      <w:r w:rsidR="00DF5DFE">
        <w:rPr>
          <w:b w:val="0"/>
          <w:color w:val="000000"/>
          <w:sz w:val="18"/>
        </w:rPr>
        <w:t>, tel. (8 5) 213 5166, f</w:t>
      </w:r>
      <w:r w:rsidR="00311140">
        <w:rPr>
          <w:b w:val="0"/>
          <w:color w:val="000000"/>
          <w:sz w:val="18"/>
        </w:rPr>
        <w:t>aks. (8 5) 213 5270</w:t>
      </w:r>
      <w:r w:rsidR="00DF5DFE">
        <w:rPr>
          <w:b w:val="0"/>
          <w:color w:val="000000"/>
          <w:sz w:val="18"/>
        </w:rPr>
        <w:t>,</w:t>
      </w:r>
      <w:r w:rsidR="0066746A">
        <w:rPr>
          <w:b w:val="0"/>
          <w:color w:val="000000"/>
          <w:sz w:val="18"/>
        </w:rPr>
        <w:t xml:space="preserve"> </w:t>
      </w:r>
      <w:r w:rsidR="00DF5DFE">
        <w:rPr>
          <w:b w:val="0"/>
          <w:color w:val="000000"/>
          <w:sz w:val="18"/>
        </w:rPr>
        <w:t>e</w:t>
      </w:r>
      <w:r w:rsidR="0066746A">
        <w:rPr>
          <w:b w:val="0"/>
          <w:color w:val="000000"/>
          <w:sz w:val="18"/>
        </w:rPr>
        <w:t>l. p</w:t>
      </w:r>
      <w:r w:rsidR="0066746A" w:rsidRPr="00480924">
        <w:rPr>
          <w:b w:val="0"/>
          <w:sz w:val="18"/>
        </w:rPr>
        <w:t xml:space="preserve">. </w:t>
      </w:r>
      <w:proofErr w:type="spellStart"/>
      <w:r w:rsidR="00300FCE" w:rsidRPr="00300FCE">
        <w:rPr>
          <w:b w:val="0"/>
          <w:color w:val="000000"/>
          <w:sz w:val="18"/>
        </w:rPr>
        <w:t>info@vert.lt</w:t>
      </w:r>
      <w:proofErr w:type="spellEnd"/>
      <w:r w:rsidR="00DF5DFE" w:rsidRPr="00922CAD">
        <w:rPr>
          <w:b w:val="0"/>
          <w:sz w:val="18"/>
        </w:rPr>
        <w:t>.</w:t>
      </w:r>
    </w:p>
    <w:p w14:paraId="078600A2" w14:textId="77777777" w:rsidR="0066746A" w:rsidRDefault="00DF5DFE">
      <w:pPr>
        <w:pBdr>
          <w:bottom w:val="single" w:sz="4" w:space="1" w:color="auto"/>
        </w:pBdr>
        <w:jc w:val="center"/>
        <w:rPr>
          <w:b w:val="0"/>
          <w:caps/>
          <w:color w:val="000000"/>
        </w:rPr>
      </w:pPr>
      <w:r>
        <w:rPr>
          <w:b w:val="0"/>
          <w:color w:val="000000"/>
          <w:sz w:val="18"/>
        </w:rPr>
        <w:t>Duomenys kaupiami ir sa</w:t>
      </w:r>
      <w:r w:rsidR="00AF2EB2">
        <w:rPr>
          <w:b w:val="0"/>
          <w:color w:val="000000"/>
          <w:sz w:val="18"/>
        </w:rPr>
        <w:t>ugomi Juridinių asmenų registre,</w:t>
      </w:r>
      <w:r>
        <w:rPr>
          <w:b w:val="0"/>
          <w:color w:val="000000"/>
          <w:sz w:val="18"/>
        </w:rPr>
        <w:t xml:space="preserve"> kodas 188706554</w:t>
      </w:r>
    </w:p>
    <w:p w14:paraId="078600A3" w14:textId="77777777" w:rsidR="0066746A" w:rsidRDefault="0066746A">
      <w:pPr>
        <w:rPr>
          <w:caps/>
          <w:color w:val="000000"/>
        </w:rPr>
      </w:pPr>
    </w:p>
    <w:tbl>
      <w:tblPr>
        <w:tblW w:w="0" w:type="auto"/>
        <w:tblInd w:w="6" w:type="dxa"/>
        <w:tblLayout w:type="fixed"/>
        <w:tblCellMar>
          <w:left w:w="14" w:type="dxa"/>
          <w:right w:w="14" w:type="dxa"/>
        </w:tblCellMar>
        <w:tblLook w:val="0000" w:firstRow="0" w:lastRow="0" w:firstColumn="0" w:lastColumn="0" w:noHBand="0" w:noVBand="0"/>
      </w:tblPr>
      <w:tblGrid>
        <w:gridCol w:w="4643"/>
        <w:gridCol w:w="427"/>
        <w:gridCol w:w="1559"/>
        <w:gridCol w:w="2658"/>
      </w:tblGrid>
      <w:tr w:rsidR="0066746A" w14:paraId="078600AA" w14:textId="77777777">
        <w:trPr>
          <w:cantSplit/>
        </w:trPr>
        <w:tc>
          <w:tcPr>
            <w:tcW w:w="4643" w:type="dxa"/>
            <w:vMerge w:val="restart"/>
          </w:tcPr>
          <w:p w14:paraId="078600A4" w14:textId="4C38C8AB" w:rsidR="0066746A" w:rsidRDefault="00866974">
            <w:pPr>
              <w:jc w:val="left"/>
              <w:rPr>
                <w:b w:val="0"/>
                <w:color w:val="000000"/>
              </w:rPr>
            </w:pPr>
            <w:r>
              <w:rPr>
                <w:b w:val="0"/>
                <w:color w:val="000000"/>
              </w:rPr>
              <w:t xml:space="preserve">Lietuvos Respublikos </w:t>
            </w:r>
            <w:r w:rsidR="0000619D">
              <w:rPr>
                <w:b w:val="0"/>
                <w:color w:val="000000"/>
              </w:rPr>
              <w:t>energetikos</w:t>
            </w:r>
            <w:r>
              <w:rPr>
                <w:b w:val="0"/>
                <w:color w:val="000000"/>
              </w:rPr>
              <w:t xml:space="preserve"> ministerijai</w:t>
            </w:r>
          </w:p>
          <w:p w14:paraId="078600A6" w14:textId="77777777" w:rsidR="0066746A" w:rsidRDefault="0066746A">
            <w:pPr>
              <w:jc w:val="left"/>
              <w:rPr>
                <w:b w:val="0"/>
                <w:color w:val="000000"/>
              </w:rPr>
            </w:pPr>
          </w:p>
        </w:tc>
        <w:tc>
          <w:tcPr>
            <w:tcW w:w="427" w:type="dxa"/>
          </w:tcPr>
          <w:p w14:paraId="078600A7" w14:textId="77777777" w:rsidR="0066746A" w:rsidRDefault="0066746A">
            <w:pPr>
              <w:jc w:val="left"/>
              <w:rPr>
                <w:b w:val="0"/>
                <w:color w:val="000000"/>
              </w:rPr>
            </w:pPr>
          </w:p>
        </w:tc>
        <w:tc>
          <w:tcPr>
            <w:tcW w:w="1559" w:type="dxa"/>
          </w:tcPr>
          <w:p w14:paraId="078600A8" w14:textId="58DA1160" w:rsidR="0066746A" w:rsidRPr="003B78AB" w:rsidRDefault="00866974" w:rsidP="00CE50F2">
            <w:pPr>
              <w:jc w:val="left"/>
              <w:rPr>
                <w:b w:val="0"/>
                <w:color w:val="000000"/>
                <w:lang w:val="en-US"/>
              </w:rPr>
            </w:pPr>
            <w:r>
              <w:rPr>
                <w:b w:val="0"/>
                <w:color w:val="000000"/>
              </w:rPr>
              <w:t>2020</w:t>
            </w:r>
            <w:r w:rsidR="0088017A">
              <w:rPr>
                <w:b w:val="0"/>
                <w:color w:val="000000"/>
              </w:rPr>
              <w:t>-</w:t>
            </w:r>
          </w:p>
        </w:tc>
        <w:tc>
          <w:tcPr>
            <w:tcW w:w="2658" w:type="dxa"/>
          </w:tcPr>
          <w:p w14:paraId="078600A9" w14:textId="097DE193" w:rsidR="0066746A" w:rsidRDefault="0066746A">
            <w:pPr>
              <w:jc w:val="left"/>
              <w:rPr>
                <w:b w:val="0"/>
                <w:color w:val="000000"/>
              </w:rPr>
            </w:pPr>
            <w:r>
              <w:rPr>
                <w:b w:val="0"/>
                <w:color w:val="000000"/>
              </w:rPr>
              <w:t>Nr.</w:t>
            </w:r>
            <w:r w:rsidR="00CE5B29">
              <w:rPr>
                <w:b w:val="0"/>
                <w:color w:val="000000"/>
              </w:rPr>
              <w:t xml:space="preserve"> </w:t>
            </w:r>
          </w:p>
        </w:tc>
      </w:tr>
      <w:tr w:rsidR="0066746A" w14:paraId="078600AF" w14:textId="77777777">
        <w:trPr>
          <w:cantSplit/>
        </w:trPr>
        <w:tc>
          <w:tcPr>
            <w:tcW w:w="4643" w:type="dxa"/>
            <w:vMerge/>
          </w:tcPr>
          <w:p w14:paraId="078600AB" w14:textId="77777777" w:rsidR="0066746A" w:rsidRDefault="0066746A">
            <w:pPr>
              <w:jc w:val="left"/>
              <w:rPr>
                <w:b w:val="0"/>
                <w:color w:val="000000"/>
              </w:rPr>
            </w:pPr>
          </w:p>
        </w:tc>
        <w:tc>
          <w:tcPr>
            <w:tcW w:w="427" w:type="dxa"/>
          </w:tcPr>
          <w:p w14:paraId="078600AC" w14:textId="77777777" w:rsidR="0066746A" w:rsidRDefault="0066746A">
            <w:pPr>
              <w:jc w:val="left"/>
              <w:rPr>
                <w:b w:val="0"/>
                <w:color w:val="000000"/>
              </w:rPr>
            </w:pPr>
          </w:p>
        </w:tc>
        <w:tc>
          <w:tcPr>
            <w:tcW w:w="1559" w:type="dxa"/>
          </w:tcPr>
          <w:p w14:paraId="078600AD" w14:textId="6DA6BA40" w:rsidR="0066746A" w:rsidRDefault="00BE3AE3" w:rsidP="00B66EBA">
            <w:pPr>
              <w:jc w:val="left"/>
              <w:rPr>
                <w:b w:val="0"/>
                <w:color w:val="000000"/>
              </w:rPr>
            </w:pPr>
            <w:r>
              <w:rPr>
                <w:b w:val="0"/>
                <w:color w:val="000000"/>
              </w:rPr>
              <w:t xml:space="preserve">Į </w:t>
            </w:r>
            <w:r w:rsidR="003F1EF3" w:rsidRPr="003F1EF3">
              <w:rPr>
                <w:b w:val="0"/>
                <w:color w:val="000000"/>
              </w:rPr>
              <w:t>2020-08-14</w:t>
            </w:r>
          </w:p>
        </w:tc>
        <w:tc>
          <w:tcPr>
            <w:tcW w:w="2658" w:type="dxa"/>
          </w:tcPr>
          <w:p w14:paraId="6A9565DB" w14:textId="7FEF0C8F" w:rsidR="00C113F8" w:rsidRDefault="0066746A" w:rsidP="00C113F8">
            <w:pPr>
              <w:jc w:val="left"/>
              <w:rPr>
                <w:rFonts w:ascii="Arial" w:hAnsi="Arial" w:cs="Arial"/>
                <w:b w:val="0"/>
                <w:sz w:val="20"/>
                <w:szCs w:val="20"/>
              </w:rPr>
            </w:pPr>
            <w:r w:rsidRPr="00224142">
              <w:rPr>
                <w:b w:val="0"/>
                <w:color w:val="000000"/>
              </w:rPr>
              <w:t>Nr.</w:t>
            </w:r>
            <w:r w:rsidR="00866974" w:rsidRPr="00224142">
              <w:t xml:space="preserve"> </w:t>
            </w:r>
            <w:r w:rsidR="003F1EF3" w:rsidRPr="003F1EF3">
              <w:rPr>
                <w:b w:val="0"/>
                <w:bCs/>
              </w:rPr>
              <w:t>3-1270</w:t>
            </w:r>
          </w:p>
          <w:p w14:paraId="078600AE" w14:textId="3BCCBA12" w:rsidR="0066746A" w:rsidRPr="00224142" w:rsidRDefault="0066746A">
            <w:pPr>
              <w:jc w:val="left"/>
              <w:rPr>
                <w:b w:val="0"/>
                <w:color w:val="000000"/>
              </w:rPr>
            </w:pPr>
          </w:p>
        </w:tc>
      </w:tr>
      <w:tr w:rsidR="0066746A" w14:paraId="078600B4" w14:textId="77777777">
        <w:trPr>
          <w:cantSplit/>
        </w:trPr>
        <w:tc>
          <w:tcPr>
            <w:tcW w:w="4643" w:type="dxa"/>
          </w:tcPr>
          <w:p w14:paraId="078600B0" w14:textId="77777777" w:rsidR="0066746A" w:rsidRDefault="0066746A">
            <w:pPr>
              <w:jc w:val="left"/>
              <w:rPr>
                <w:b w:val="0"/>
                <w:color w:val="000000"/>
              </w:rPr>
            </w:pPr>
          </w:p>
        </w:tc>
        <w:tc>
          <w:tcPr>
            <w:tcW w:w="427" w:type="dxa"/>
          </w:tcPr>
          <w:p w14:paraId="078600B1" w14:textId="77777777" w:rsidR="0066746A" w:rsidRDefault="0066746A">
            <w:pPr>
              <w:jc w:val="left"/>
              <w:rPr>
                <w:b w:val="0"/>
                <w:color w:val="000000"/>
              </w:rPr>
            </w:pPr>
          </w:p>
        </w:tc>
        <w:tc>
          <w:tcPr>
            <w:tcW w:w="1559" w:type="dxa"/>
          </w:tcPr>
          <w:p w14:paraId="078600B2" w14:textId="77777777" w:rsidR="0066746A" w:rsidRDefault="0066746A">
            <w:pPr>
              <w:jc w:val="left"/>
              <w:rPr>
                <w:b w:val="0"/>
                <w:color w:val="000000"/>
              </w:rPr>
            </w:pPr>
          </w:p>
        </w:tc>
        <w:tc>
          <w:tcPr>
            <w:tcW w:w="2658" w:type="dxa"/>
          </w:tcPr>
          <w:p w14:paraId="078600B3" w14:textId="77777777" w:rsidR="0066746A" w:rsidRDefault="0066746A">
            <w:pPr>
              <w:jc w:val="left"/>
              <w:rPr>
                <w:b w:val="0"/>
                <w:color w:val="000000"/>
              </w:rPr>
            </w:pPr>
          </w:p>
        </w:tc>
      </w:tr>
      <w:tr w:rsidR="0088017A" w14:paraId="078600B7" w14:textId="77777777">
        <w:trPr>
          <w:cantSplit/>
        </w:trPr>
        <w:tc>
          <w:tcPr>
            <w:tcW w:w="9287" w:type="dxa"/>
            <w:gridSpan w:val="4"/>
          </w:tcPr>
          <w:p w14:paraId="41B53D4E" w14:textId="173E771B" w:rsidR="0088017A" w:rsidRDefault="0088017A" w:rsidP="0088017A">
            <w:pPr>
              <w:rPr>
                <w:rFonts w:eastAsia="Andale Sans UI" w:cs="Tahoma"/>
                <w:bCs/>
                <w:caps/>
                <w:lang w:bidi="en-US"/>
              </w:rPr>
            </w:pPr>
            <w:r>
              <w:rPr>
                <w:rFonts w:eastAsia="Andale Sans UI" w:cs="Tahoma"/>
                <w:bCs/>
                <w:caps/>
                <w:lang w:bidi="en-US"/>
              </w:rPr>
              <w:t>DĖL</w:t>
            </w:r>
            <w:r w:rsidR="003212BB">
              <w:rPr>
                <w:rFonts w:eastAsia="Andale Sans UI" w:cs="Tahoma"/>
                <w:bCs/>
                <w:caps/>
                <w:lang w:bidi="en-US"/>
              </w:rPr>
              <w:t xml:space="preserve"> </w:t>
            </w:r>
            <w:r w:rsidR="003F1EF3" w:rsidRPr="003F1EF3">
              <w:rPr>
                <w:bCs/>
              </w:rPr>
              <w:t>ELEKTROS ENERGIJOS TIEKIMO SAUGUMO UŽTIKRINIMO PRIEMONIŲ</w:t>
            </w:r>
            <w:r w:rsidR="004949BD">
              <w:t xml:space="preserve"> </w:t>
            </w:r>
            <w:r w:rsidR="004949BD" w:rsidRPr="004949BD">
              <w:rPr>
                <w:bCs/>
              </w:rPr>
              <w:t>APRAŠO</w:t>
            </w:r>
            <w:r w:rsidR="00C113F8" w:rsidRPr="009E47E5">
              <w:rPr>
                <w:bCs/>
              </w:rPr>
              <w:t xml:space="preserve"> PROJEKT</w:t>
            </w:r>
            <w:r w:rsidR="00C113F8">
              <w:rPr>
                <w:bCs/>
              </w:rPr>
              <w:t>O</w:t>
            </w:r>
            <w:r w:rsidR="00C113F8" w:rsidRPr="009E47E5">
              <w:rPr>
                <w:bCs/>
              </w:rPr>
              <w:t xml:space="preserve"> DERINIM</w:t>
            </w:r>
            <w:r w:rsidR="009B025D">
              <w:rPr>
                <w:bCs/>
              </w:rPr>
              <w:t>O</w:t>
            </w:r>
          </w:p>
          <w:p w14:paraId="078600B6" w14:textId="08E7DA7A" w:rsidR="0088017A" w:rsidRDefault="0088017A" w:rsidP="0088017A">
            <w:pPr>
              <w:rPr>
                <w:b w:val="0"/>
                <w:color w:val="000000"/>
              </w:rPr>
            </w:pPr>
          </w:p>
        </w:tc>
      </w:tr>
    </w:tbl>
    <w:p w14:paraId="358FB66E" w14:textId="55C0A5F5" w:rsidR="0000619D" w:rsidRDefault="00BF2B65" w:rsidP="00931546">
      <w:pPr>
        <w:pStyle w:val="doc-ti"/>
        <w:tabs>
          <w:tab w:val="left" w:pos="993"/>
        </w:tabs>
        <w:spacing w:before="0" w:after="0"/>
        <w:ind w:firstLine="630"/>
        <w:jc w:val="both"/>
        <w:rPr>
          <w:b w:val="0"/>
          <w:color w:val="000000"/>
        </w:rPr>
      </w:pPr>
      <w:r w:rsidRPr="00BF2B65">
        <w:rPr>
          <w:b w:val="0"/>
          <w:shd w:val="clear" w:color="auto" w:fill="FFFFFF"/>
        </w:rPr>
        <w:t>Valstybinė energetikos reguliavimo taryba (toliau – Taryba)</w:t>
      </w:r>
      <w:r>
        <w:rPr>
          <w:b w:val="0"/>
          <w:shd w:val="clear" w:color="auto" w:fill="FFFFFF"/>
        </w:rPr>
        <w:t xml:space="preserve"> </w:t>
      </w:r>
      <w:r w:rsidRPr="00CD020B">
        <w:rPr>
          <w:b w:val="0"/>
          <w:shd w:val="clear" w:color="auto" w:fill="FFFFFF"/>
        </w:rPr>
        <w:t xml:space="preserve">2020 m. </w:t>
      </w:r>
      <w:r w:rsidR="004949BD">
        <w:rPr>
          <w:b w:val="0"/>
          <w:bCs w:val="0"/>
          <w:shd w:val="clear" w:color="auto" w:fill="FFFFFF"/>
        </w:rPr>
        <w:t>rugpjūčio</w:t>
      </w:r>
      <w:r>
        <w:rPr>
          <w:b w:val="0"/>
          <w:shd w:val="clear" w:color="auto" w:fill="FFFFFF"/>
        </w:rPr>
        <w:t xml:space="preserve"> </w:t>
      </w:r>
      <w:r w:rsidR="0000619D" w:rsidRPr="00C10E3C">
        <w:rPr>
          <w:b w:val="0"/>
          <w:bCs w:val="0"/>
          <w:shd w:val="clear" w:color="auto" w:fill="FFFFFF"/>
        </w:rPr>
        <w:t>1</w:t>
      </w:r>
      <w:r w:rsidR="004949BD">
        <w:rPr>
          <w:b w:val="0"/>
          <w:bCs w:val="0"/>
          <w:shd w:val="clear" w:color="auto" w:fill="FFFFFF"/>
        </w:rPr>
        <w:t>4</w:t>
      </w:r>
      <w:r w:rsidRPr="00CD020B">
        <w:rPr>
          <w:b w:val="0"/>
          <w:shd w:val="clear" w:color="auto" w:fill="FFFFFF"/>
        </w:rPr>
        <w:t xml:space="preserve"> d. gavo</w:t>
      </w:r>
      <w:r w:rsidRPr="00BF2B65">
        <w:rPr>
          <w:b w:val="0"/>
          <w:shd w:val="clear" w:color="auto" w:fill="FFFFFF"/>
        </w:rPr>
        <w:t xml:space="preserve"> Lietuvos Respublikos </w:t>
      </w:r>
      <w:r w:rsidR="00A61EEA">
        <w:rPr>
          <w:b w:val="0"/>
          <w:shd w:val="clear" w:color="auto" w:fill="FFFFFF"/>
        </w:rPr>
        <w:t>energetikos</w:t>
      </w:r>
      <w:r w:rsidRPr="00BF2B65">
        <w:rPr>
          <w:b w:val="0"/>
          <w:shd w:val="clear" w:color="auto" w:fill="FFFFFF"/>
        </w:rPr>
        <w:t xml:space="preserve"> ministerijos </w:t>
      </w:r>
      <w:r w:rsidR="00A61EEA">
        <w:rPr>
          <w:b w:val="0"/>
          <w:shd w:val="clear" w:color="auto" w:fill="FFFFFF"/>
        </w:rPr>
        <w:t xml:space="preserve">(toliau – Energetikos ministerija) </w:t>
      </w:r>
      <w:r w:rsidRPr="00BF2B65">
        <w:rPr>
          <w:b w:val="0"/>
          <w:shd w:val="clear" w:color="auto" w:fill="FFFFFF"/>
        </w:rPr>
        <w:t xml:space="preserve">2020 m. </w:t>
      </w:r>
      <w:r w:rsidR="004949BD">
        <w:rPr>
          <w:b w:val="0"/>
          <w:bCs w:val="0"/>
          <w:shd w:val="clear" w:color="auto" w:fill="FFFFFF"/>
        </w:rPr>
        <w:t>rugpjūčio</w:t>
      </w:r>
      <w:r w:rsidR="004949BD">
        <w:rPr>
          <w:b w:val="0"/>
          <w:shd w:val="clear" w:color="auto" w:fill="FFFFFF"/>
        </w:rPr>
        <w:t xml:space="preserve"> </w:t>
      </w:r>
      <w:r w:rsidR="004949BD" w:rsidRPr="00C10E3C">
        <w:rPr>
          <w:b w:val="0"/>
          <w:bCs w:val="0"/>
          <w:shd w:val="clear" w:color="auto" w:fill="FFFFFF"/>
        </w:rPr>
        <w:t>1</w:t>
      </w:r>
      <w:r w:rsidR="004949BD">
        <w:rPr>
          <w:b w:val="0"/>
          <w:bCs w:val="0"/>
          <w:shd w:val="clear" w:color="auto" w:fill="FFFFFF"/>
        </w:rPr>
        <w:t>4</w:t>
      </w:r>
      <w:r w:rsidR="004949BD" w:rsidRPr="00CD020B">
        <w:rPr>
          <w:b w:val="0"/>
          <w:shd w:val="clear" w:color="auto" w:fill="FFFFFF"/>
        </w:rPr>
        <w:t xml:space="preserve"> d.</w:t>
      </w:r>
      <w:r w:rsidR="004949BD">
        <w:rPr>
          <w:b w:val="0"/>
          <w:shd w:val="clear" w:color="auto" w:fill="FFFFFF"/>
        </w:rPr>
        <w:t xml:space="preserve"> </w:t>
      </w:r>
      <w:r w:rsidRPr="00BF2B65">
        <w:rPr>
          <w:b w:val="0"/>
          <w:shd w:val="clear" w:color="auto" w:fill="FFFFFF"/>
        </w:rPr>
        <w:t xml:space="preserve">raštą Nr. </w:t>
      </w:r>
      <w:r w:rsidR="004949BD" w:rsidRPr="003F1EF3">
        <w:rPr>
          <w:b w:val="0"/>
        </w:rPr>
        <w:t>3-1270</w:t>
      </w:r>
      <w:r w:rsidRPr="00BF2B65">
        <w:rPr>
          <w:b w:val="0"/>
          <w:shd w:val="clear" w:color="auto" w:fill="FFFFFF"/>
        </w:rPr>
        <w:t xml:space="preserve"> „</w:t>
      </w:r>
      <w:r w:rsidR="004949BD">
        <w:rPr>
          <w:b w:val="0"/>
          <w:bCs w:val="0"/>
          <w:color w:val="000000"/>
        </w:rPr>
        <w:t>D</w:t>
      </w:r>
      <w:r w:rsidR="004949BD" w:rsidRPr="004949BD">
        <w:rPr>
          <w:b w:val="0"/>
          <w:bCs w:val="0"/>
          <w:color w:val="000000"/>
        </w:rPr>
        <w:t>ėl teisės akto projekto derinimo</w:t>
      </w:r>
      <w:r w:rsidRPr="00BF2B65">
        <w:rPr>
          <w:b w:val="0"/>
          <w:shd w:val="clear" w:color="auto" w:fill="FFFFFF"/>
        </w:rPr>
        <w:t>“, kuriuo buvo pateikta</w:t>
      </w:r>
      <w:r w:rsidR="00537D57">
        <w:rPr>
          <w:b w:val="0"/>
          <w:shd w:val="clear" w:color="auto" w:fill="FFFFFF"/>
        </w:rPr>
        <w:t>s</w:t>
      </w:r>
      <w:r w:rsidR="0000619D" w:rsidRPr="000C7EED">
        <w:rPr>
          <w:b w:val="0"/>
        </w:rPr>
        <w:t xml:space="preserve"> </w:t>
      </w:r>
      <w:r w:rsidR="00897D4B" w:rsidRPr="00897D4B">
        <w:rPr>
          <w:b w:val="0"/>
          <w:bCs w:val="0"/>
          <w:color w:val="000000"/>
        </w:rPr>
        <w:t xml:space="preserve">Lietuvos Respublikos </w:t>
      </w:r>
      <w:r w:rsidR="001956DC">
        <w:rPr>
          <w:b w:val="0"/>
          <w:bCs w:val="0"/>
          <w:color w:val="000000"/>
        </w:rPr>
        <w:t>V</w:t>
      </w:r>
      <w:r w:rsidR="00CE6760">
        <w:rPr>
          <w:b w:val="0"/>
          <w:bCs w:val="0"/>
          <w:color w:val="000000"/>
        </w:rPr>
        <w:t>yriausybės nutarimo</w:t>
      </w:r>
      <w:r w:rsidR="00897D4B" w:rsidRPr="00897D4B">
        <w:rPr>
          <w:b w:val="0"/>
          <w:bCs w:val="0"/>
          <w:color w:val="000000"/>
        </w:rPr>
        <w:t xml:space="preserve"> „Dėl</w:t>
      </w:r>
      <w:r w:rsidR="00CE6760">
        <w:rPr>
          <w:b w:val="0"/>
          <w:bCs w:val="0"/>
          <w:color w:val="000000"/>
        </w:rPr>
        <w:t xml:space="preserve"> e</w:t>
      </w:r>
      <w:r w:rsidR="00CE6760" w:rsidRPr="00CE6760">
        <w:rPr>
          <w:b w:val="0"/>
          <w:bCs w:val="0"/>
          <w:color w:val="000000"/>
        </w:rPr>
        <w:t>lektros energijos tiekimo saugumo užtikrinimo priemonių apraš</w:t>
      </w:r>
      <w:r w:rsidR="00CE6760">
        <w:rPr>
          <w:b w:val="0"/>
          <w:bCs w:val="0"/>
          <w:color w:val="000000"/>
        </w:rPr>
        <w:t>o patvirtinimo</w:t>
      </w:r>
      <w:r w:rsidR="00897D4B" w:rsidRPr="00897D4B">
        <w:rPr>
          <w:b w:val="0"/>
          <w:bCs w:val="0"/>
          <w:color w:val="000000"/>
        </w:rPr>
        <w:t>“ projekt</w:t>
      </w:r>
      <w:r w:rsidR="0022348C">
        <w:rPr>
          <w:b w:val="0"/>
          <w:bCs w:val="0"/>
          <w:color w:val="000000"/>
        </w:rPr>
        <w:t>as</w:t>
      </w:r>
      <w:r w:rsidR="00897D4B" w:rsidRPr="00897D4B">
        <w:rPr>
          <w:b w:val="0"/>
          <w:bCs w:val="0"/>
          <w:color w:val="000000"/>
        </w:rPr>
        <w:t xml:space="preserve"> (toliau </w:t>
      </w:r>
      <w:r w:rsidR="0022348C">
        <w:rPr>
          <w:b w:val="0"/>
          <w:bCs w:val="0"/>
          <w:color w:val="000000"/>
        </w:rPr>
        <w:t>–</w:t>
      </w:r>
      <w:r w:rsidR="00371EF8">
        <w:rPr>
          <w:b w:val="0"/>
          <w:bCs w:val="0"/>
          <w:color w:val="000000"/>
        </w:rPr>
        <w:t xml:space="preserve"> </w:t>
      </w:r>
      <w:r w:rsidR="00CE6760">
        <w:rPr>
          <w:b w:val="0"/>
          <w:bCs w:val="0"/>
          <w:color w:val="000000"/>
        </w:rPr>
        <w:t>P</w:t>
      </w:r>
      <w:r w:rsidR="00897D4B" w:rsidRPr="00897D4B">
        <w:rPr>
          <w:b w:val="0"/>
          <w:bCs w:val="0"/>
          <w:color w:val="000000"/>
        </w:rPr>
        <w:t>rojektas)</w:t>
      </w:r>
      <w:r w:rsidR="00897D4B" w:rsidRPr="009E47E5">
        <w:rPr>
          <w:color w:val="000000"/>
        </w:rPr>
        <w:t xml:space="preserve"> </w:t>
      </w:r>
      <w:r w:rsidR="00897D4B">
        <w:rPr>
          <w:b w:val="0"/>
          <w:bCs w:val="0"/>
          <w:color w:val="000000"/>
        </w:rPr>
        <w:t>derinimui</w:t>
      </w:r>
      <w:r w:rsidR="0000619D" w:rsidRPr="000C7EED">
        <w:rPr>
          <w:b w:val="0"/>
          <w:bCs w:val="0"/>
          <w:color w:val="000000"/>
        </w:rPr>
        <w:t>.</w:t>
      </w:r>
      <w:r w:rsidR="0000619D" w:rsidRPr="000C7EED">
        <w:rPr>
          <w:b w:val="0"/>
          <w:color w:val="000000"/>
        </w:rPr>
        <w:t xml:space="preserve"> </w:t>
      </w:r>
    </w:p>
    <w:p w14:paraId="70F18CAC" w14:textId="71975309" w:rsidR="0022348C" w:rsidRDefault="00BF2B65" w:rsidP="003441D9">
      <w:pPr>
        <w:ind w:firstLine="630"/>
        <w:rPr>
          <w:b w:val="0"/>
          <w:bCs/>
          <w:shd w:val="clear" w:color="auto" w:fill="FFFFFF"/>
        </w:rPr>
      </w:pPr>
      <w:r>
        <w:rPr>
          <w:b w:val="0"/>
          <w:bCs/>
          <w:shd w:val="clear" w:color="auto" w:fill="FFFFFF"/>
        </w:rPr>
        <w:t xml:space="preserve">Taryba, pagal kompetenciją išnagrinėjusi </w:t>
      </w:r>
      <w:r w:rsidR="00CE6760">
        <w:rPr>
          <w:b w:val="0"/>
          <w:bCs/>
          <w:shd w:val="clear" w:color="auto" w:fill="FFFFFF"/>
        </w:rPr>
        <w:t>P</w:t>
      </w:r>
      <w:r>
        <w:rPr>
          <w:b w:val="0"/>
          <w:bCs/>
          <w:shd w:val="clear" w:color="auto" w:fill="FFFFFF"/>
        </w:rPr>
        <w:t>rojekt</w:t>
      </w:r>
      <w:r w:rsidR="00897D4B">
        <w:rPr>
          <w:b w:val="0"/>
          <w:bCs/>
          <w:shd w:val="clear" w:color="auto" w:fill="FFFFFF"/>
        </w:rPr>
        <w:t>ą</w:t>
      </w:r>
      <w:r>
        <w:rPr>
          <w:b w:val="0"/>
          <w:bCs/>
          <w:shd w:val="clear" w:color="auto" w:fill="FFFFFF"/>
        </w:rPr>
        <w:t xml:space="preserve">, </w:t>
      </w:r>
      <w:r w:rsidR="00FD30A2">
        <w:rPr>
          <w:b w:val="0"/>
          <w:bCs/>
          <w:shd w:val="clear" w:color="auto" w:fill="FFFFFF"/>
        </w:rPr>
        <w:t>teikia šias pastabas</w:t>
      </w:r>
      <w:r w:rsidR="00CE6760">
        <w:rPr>
          <w:b w:val="0"/>
          <w:bCs/>
          <w:shd w:val="clear" w:color="auto" w:fill="FFFFFF"/>
        </w:rPr>
        <w:t xml:space="preserve"> ir pasiūlymus</w:t>
      </w:r>
      <w:r w:rsidR="00A83646">
        <w:rPr>
          <w:b w:val="0"/>
          <w:bCs/>
          <w:shd w:val="clear" w:color="auto" w:fill="FFFFFF"/>
        </w:rPr>
        <w:t>:</w:t>
      </w:r>
    </w:p>
    <w:p w14:paraId="55598172" w14:textId="77777777" w:rsidR="001749E8" w:rsidRDefault="001749E8" w:rsidP="003441D9">
      <w:pPr>
        <w:ind w:firstLine="630"/>
        <w:rPr>
          <w:b w:val="0"/>
          <w:bCs/>
          <w:shd w:val="clear" w:color="auto" w:fill="FFFFFF"/>
        </w:rPr>
      </w:pPr>
    </w:p>
    <w:p w14:paraId="11935569" w14:textId="669646B8" w:rsidR="00E454B7" w:rsidRDefault="003441D9" w:rsidP="003441D9">
      <w:pPr>
        <w:ind w:firstLine="630"/>
        <w:rPr>
          <w:b w:val="0"/>
          <w:bCs/>
          <w:shd w:val="clear" w:color="auto" w:fill="FFFFFF"/>
        </w:rPr>
      </w:pPr>
      <w:r w:rsidRPr="0061416D">
        <w:rPr>
          <w:b w:val="0"/>
          <w:bCs/>
          <w:shd w:val="clear" w:color="auto" w:fill="FFFFFF"/>
        </w:rPr>
        <w:t xml:space="preserve">1. </w:t>
      </w:r>
      <w:r w:rsidR="00E454B7">
        <w:rPr>
          <w:b w:val="0"/>
          <w:bCs/>
          <w:shd w:val="clear" w:color="auto" w:fill="FFFFFF"/>
        </w:rPr>
        <w:t>Projekto 27.2 ir 35.2 p</w:t>
      </w:r>
      <w:r w:rsidR="0042383E">
        <w:rPr>
          <w:b w:val="0"/>
          <w:bCs/>
          <w:shd w:val="clear" w:color="auto" w:fill="FFFFFF"/>
        </w:rPr>
        <w:t>apunkčiuose</w:t>
      </w:r>
      <w:r w:rsidR="00E454B7">
        <w:rPr>
          <w:b w:val="0"/>
          <w:bCs/>
          <w:shd w:val="clear" w:color="auto" w:fill="FFFFFF"/>
        </w:rPr>
        <w:t xml:space="preserve"> nurodyta, kad </w:t>
      </w:r>
      <w:r w:rsidR="00E454B7" w:rsidRPr="00E454B7">
        <w:rPr>
          <w:b w:val="0"/>
          <w:bCs/>
          <w:shd w:val="clear" w:color="auto" w:fill="FFFFFF"/>
        </w:rPr>
        <w:t>elektros energijos biržos operatorius</w:t>
      </w:r>
      <w:r w:rsidR="0048111C">
        <w:rPr>
          <w:b w:val="0"/>
          <w:bCs/>
          <w:shd w:val="clear" w:color="auto" w:fill="FFFFFF"/>
        </w:rPr>
        <w:t xml:space="preserve"> gali </w:t>
      </w:r>
      <w:r w:rsidR="00E454B7" w:rsidRPr="00E454B7">
        <w:rPr>
          <w:b w:val="0"/>
          <w:bCs/>
          <w:shd w:val="clear" w:color="auto" w:fill="FFFFFF"/>
        </w:rPr>
        <w:t>Energetikos ministerijai pateik</w:t>
      </w:r>
      <w:r w:rsidR="0048111C">
        <w:rPr>
          <w:b w:val="0"/>
          <w:bCs/>
          <w:shd w:val="clear" w:color="auto" w:fill="FFFFFF"/>
        </w:rPr>
        <w:t>ti</w:t>
      </w:r>
      <w:r w:rsidR="00E454B7" w:rsidRPr="00E454B7">
        <w:rPr>
          <w:b w:val="0"/>
          <w:bCs/>
          <w:shd w:val="clear" w:color="auto" w:fill="FFFFFF"/>
        </w:rPr>
        <w:t xml:space="preserve"> informaciją apie galimas grėsmes elektros energijos tiekimo saugumui Lietuvoje</w:t>
      </w:r>
      <w:r w:rsidR="0042383E">
        <w:rPr>
          <w:b w:val="0"/>
          <w:bCs/>
          <w:shd w:val="clear" w:color="auto" w:fill="FFFFFF"/>
        </w:rPr>
        <w:t>,</w:t>
      </w:r>
      <w:r w:rsidR="0048111C">
        <w:rPr>
          <w:b w:val="0"/>
          <w:bCs/>
          <w:shd w:val="clear" w:color="auto" w:fill="FFFFFF"/>
        </w:rPr>
        <w:t xml:space="preserve"> tačiau Projekto 7 punkte nenurodyta, kad </w:t>
      </w:r>
      <w:r w:rsidR="0042383E">
        <w:rPr>
          <w:b w:val="0"/>
          <w:bCs/>
          <w:shd w:val="clear" w:color="auto" w:fill="FFFFFF"/>
        </w:rPr>
        <w:t xml:space="preserve">Lietuvos energetikos agentūra (toliau – </w:t>
      </w:r>
      <w:r w:rsidR="0048111C">
        <w:rPr>
          <w:b w:val="0"/>
          <w:bCs/>
          <w:shd w:val="clear" w:color="auto" w:fill="FFFFFF"/>
        </w:rPr>
        <w:t>Agentūra</w:t>
      </w:r>
      <w:r w:rsidR="0042383E">
        <w:rPr>
          <w:b w:val="0"/>
          <w:bCs/>
          <w:shd w:val="clear" w:color="auto" w:fill="FFFFFF"/>
        </w:rPr>
        <w:t>)</w:t>
      </w:r>
      <w:r w:rsidR="0048111C">
        <w:rPr>
          <w:b w:val="0"/>
          <w:bCs/>
          <w:shd w:val="clear" w:color="auto" w:fill="FFFFFF"/>
        </w:rPr>
        <w:t xml:space="preserve"> konsultuojasi su </w:t>
      </w:r>
      <w:r w:rsidR="0048111C" w:rsidRPr="00E454B7">
        <w:rPr>
          <w:b w:val="0"/>
          <w:bCs/>
          <w:shd w:val="clear" w:color="auto" w:fill="FFFFFF"/>
        </w:rPr>
        <w:t>elektros energijos biržos operatoriu</w:t>
      </w:r>
      <w:r w:rsidR="0048111C">
        <w:rPr>
          <w:b w:val="0"/>
          <w:bCs/>
          <w:shd w:val="clear" w:color="auto" w:fill="FFFFFF"/>
        </w:rPr>
        <w:t>mi</w:t>
      </w:r>
      <w:r w:rsidR="00A80FC8">
        <w:rPr>
          <w:b w:val="0"/>
          <w:bCs/>
          <w:shd w:val="clear" w:color="auto" w:fill="FFFFFF"/>
        </w:rPr>
        <w:t>,</w:t>
      </w:r>
      <w:r w:rsidR="00E454B7" w:rsidRPr="00E454B7">
        <w:rPr>
          <w:b w:val="0"/>
          <w:bCs/>
          <w:shd w:val="clear" w:color="auto" w:fill="FFFFFF"/>
        </w:rPr>
        <w:t xml:space="preserve"> </w:t>
      </w:r>
      <w:r w:rsidR="0048111C" w:rsidRPr="0048111C">
        <w:rPr>
          <w:b w:val="0"/>
          <w:bCs/>
          <w:shd w:val="clear" w:color="auto" w:fill="FFFFFF"/>
        </w:rPr>
        <w:t>identifikuodama nacionalinius krizės scenarijus</w:t>
      </w:r>
      <w:r w:rsidR="00371EF8">
        <w:rPr>
          <w:b w:val="0"/>
          <w:bCs/>
          <w:shd w:val="clear" w:color="auto" w:fill="FFFFFF"/>
        </w:rPr>
        <w:t>,</w:t>
      </w:r>
      <w:r w:rsidR="0048111C" w:rsidRPr="0048111C">
        <w:rPr>
          <w:b w:val="0"/>
          <w:bCs/>
          <w:shd w:val="clear" w:color="auto" w:fill="FFFFFF"/>
        </w:rPr>
        <w:t xml:space="preserve"> </w:t>
      </w:r>
      <w:r w:rsidR="0048111C">
        <w:rPr>
          <w:b w:val="0"/>
          <w:bCs/>
          <w:shd w:val="clear" w:color="auto" w:fill="FFFFFF"/>
        </w:rPr>
        <w:t xml:space="preserve">todėl </w:t>
      </w:r>
      <w:r w:rsidR="0048111C" w:rsidRPr="00E454B7">
        <w:rPr>
          <w:b w:val="0"/>
          <w:bCs/>
          <w:shd w:val="clear" w:color="auto" w:fill="FFFFFF"/>
        </w:rPr>
        <w:t xml:space="preserve">Projekto </w:t>
      </w:r>
      <w:r w:rsidR="0048111C">
        <w:rPr>
          <w:b w:val="0"/>
          <w:bCs/>
          <w:shd w:val="clear" w:color="auto" w:fill="FFFFFF"/>
        </w:rPr>
        <w:t>7</w:t>
      </w:r>
      <w:r w:rsidR="0048111C" w:rsidRPr="00E454B7">
        <w:rPr>
          <w:b w:val="0"/>
          <w:bCs/>
          <w:shd w:val="clear" w:color="auto" w:fill="FFFFFF"/>
        </w:rPr>
        <w:t xml:space="preserve"> </w:t>
      </w:r>
      <w:r w:rsidR="0048111C">
        <w:rPr>
          <w:b w:val="0"/>
          <w:bCs/>
          <w:shd w:val="clear" w:color="auto" w:fill="FFFFFF"/>
        </w:rPr>
        <w:t>punktą</w:t>
      </w:r>
      <w:r w:rsidR="0048111C" w:rsidRPr="00E454B7">
        <w:rPr>
          <w:b w:val="0"/>
          <w:bCs/>
          <w:shd w:val="clear" w:color="auto" w:fill="FFFFFF"/>
        </w:rPr>
        <w:t xml:space="preserve"> siūloma pakeisti</w:t>
      </w:r>
      <w:r w:rsidR="0048111C">
        <w:rPr>
          <w:b w:val="0"/>
          <w:bCs/>
          <w:shd w:val="clear" w:color="auto" w:fill="FFFFFF"/>
        </w:rPr>
        <w:t xml:space="preserve"> </w:t>
      </w:r>
      <w:r w:rsidR="00E454B7" w:rsidRPr="00E454B7">
        <w:rPr>
          <w:b w:val="0"/>
          <w:bCs/>
          <w:shd w:val="clear" w:color="auto" w:fill="FFFFFF"/>
        </w:rPr>
        <w:t>ir jį išdėstyti taip:</w:t>
      </w:r>
    </w:p>
    <w:p w14:paraId="2D3BE016" w14:textId="2BA705AE" w:rsidR="00E454B7" w:rsidRDefault="00E454B7" w:rsidP="003441D9">
      <w:pPr>
        <w:ind w:firstLine="630"/>
        <w:rPr>
          <w:b w:val="0"/>
          <w:bCs/>
          <w:shd w:val="clear" w:color="auto" w:fill="FFFFFF"/>
        </w:rPr>
      </w:pPr>
      <w:r>
        <w:rPr>
          <w:b w:val="0"/>
          <w:bCs/>
          <w:shd w:val="clear" w:color="auto" w:fill="FFFFFF"/>
        </w:rPr>
        <w:t>„</w:t>
      </w:r>
      <w:r w:rsidRPr="00E454B7">
        <w:rPr>
          <w:b w:val="0"/>
          <w:bCs/>
          <w:shd w:val="clear" w:color="auto" w:fill="FFFFFF"/>
        </w:rPr>
        <w:t xml:space="preserve">Agentūra, </w:t>
      </w:r>
      <w:bookmarkStart w:id="0" w:name="_Hlk48652972"/>
      <w:r w:rsidRPr="00E454B7">
        <w:rPr>
          <w:b w:val="0"/>
          <w:bCs/>
          <w:shd w:val="clear" w:color="auto" w:fill="FFFFFF"/>
        </w:rPr>
        <w:t>identifikuodama nacionalinius krizės scenarijus</w:t>
      </w:r>
      <w:bookmarkEnd w:id="0"/>
      <w:r w:rsidRPr="00E454B7">
        <w:rPr>
          <w:b w:val="0"/>
          <w:bCs/>
          <w:shd w:val="clear" w:color="auto" w:fill="FFFFFF"/>
        </w:rPr>
        <w:t>, bendradarbiauja su elektros energijos perdavimo sistemos operatoriumi (toliau – PSO) ir konsultuojasi su Energetikos ministerija, Taryba, skirstomųjų tinklų operatoriumi (toliau – STO),</w:t>
      </w:r>
      <w:r w:rsidR="0048111C">
        <w:rPr>
          <w:b w:val="0"/>
          <w:bCs/>
          <w:shd w:val="clear" w:color="auto" w:fill="FFFFFF"/>
        </w:rPr>
        <w:t xml:space="preserve"> </w:t>
      </w:r>
      <w:r w:rsidR="0048111C" w:rsidRPr="0048111C">
        <w:rPr>
          <w:shd w:val="clear" w:color="auto" w:fill="FFFFFF"/>
        </w:rPr>
        <w:t>elektros energijos biržos operatoriumi</w:t>
      </w:r>
      <w:r w:rsidR="0048111C">
        <w:rPr>
          <w:b w:val="0"/>
          <w:bCs/>
          <w:shd w:val="clear" w:color="auto" w:fill="FFFFFF"/>
        </w:rPr>
        <w:t>,</w:t>
      </w:r>
      <w:r w:rsidRPr="00E454B7">
        <w:rPr>
          <w:b w:val="0"/>
          <w:bCs/>
          <w:shd w:val="clear" w:color="auto" w:fill="FFFFFF"/>
        </w:rPr>
        <w:t xml:space="preserve"> kitais suinteresuotais elektros energijos gamintojais ir paslaugų teikėjais.</w:t>
      </w:r>
      <w:r>
        <w:rPr>
          <w:b w:val="0"/>
          <w:bCs/>
          <w:shd w:val="clear" w:color="auto" w:fill="FFFFFF"/>
        </w:rPr>
        <w:t>“.</w:t>
      </w:r>
    </w:p>
    <w:p w14:paraId="289A2DBC" w14:textId="2E23F2A9" w:rsidR="00E454B7" w:rsidRDefault="00E454B7" w:rsidP="003441D9">
      <w:pPr>
        <w:ind w:firstLine="630"/>
        <w:rPr>
          <w:b w:val="0"/>
          <w:bCs/>
          <w:shd w:val="clear" w:color="auto" w:fill="FFFFFF"/>
        </w:rPr>
      </w:pPr>
      <w:r>
        <w:rPr>
          <w:b w:val="0"/>
          <w:bCs/>
          <w:shd w:val="clear" w:color="auto" w:fill="FFFFFF"/>
        </w:rPr>
        <w:t xml:space="preserve">2. </w:t>
      </w:r>
      <w:r w:rsidR="0048111C">
        <w:rPr>
          <w:b w:val="0"/>
          <w:bCs/>
          <w:shd w:val="clear" w:color="auto" w:fill="FFFFFF"/>
        </w:rPr>
        <w:t>Projekto 27.2 ir 35.2 p</w:t>
      </w:r>
      <w:r w:rsidR="0042383E">
        <w:rPr>
          <w:b w:val="0"/>
          <w:bCs/>
          <w:shd w:val="clear" w:color="auto" w:fill="FFFFFF"/>
        </w:rPr>
        <w:t>apunkčiuose</w:t>
      </w:r>
      <w:r w:rsidR="0048111C">
        <w:rPr>
          <w:b w:val="0"/>
          <w:bCs/>
          <w:shd w:val="clear" w:color="auto" w:fill="FFFFFF"/>
        </w:rPr>
        <w:t xml:space="preserve"> nurodyta, kad </w:t>
      </w:r>
      <w:r w:rsidR="0048111C" w:rsidRPr="00E454B7">
        <w:rPr>
          <w:b w:val="0"/>
          <w:bCs/>
          <w:shd w:val="clear" w:color="auto" w:fill="FFFFFF"/>
        </w:rPr>
        <w:t>elektros energijos biržos operatorius</w:t>
      </w:r>
      <w:r w:rsidR="0048111C">
        <w:rPr>
          <w:b w:val="0"/>
          <w:bCs/>
          <w:shd w:val="clear" w:color="auto" w:fill="FFFFFF"/>
        </w:rPr>
        <w:t xml:space="preserve"> gali </w:t>
      </w:r>
      <w:r w:rsidR="0048111C" w:rsidRPr="00E454B7">
        <w:rPr>
          <w:b w:val="0"/>
          <w:bCs/>
          <w:shd w:val="clear" w:color="auto" w:fill="FFFFFF"/>
        </w:rPr>
        <w:t>Energetikos ministerijai pateik</w:t>
      </w:r>
      <w:r w:rsidR="0048111C">
        <w:rPr>
          <w:b w:val="0"/>
          <w:bCs/>
          <w:shd w:val="clear" w:color="auto" w:fill="FFFFFF"/>
        </w:rPr>
        <w:t>ti</w:t>
      </w:r>
      <w:r w:rsidR="0048111C" w:rsidRPr="00E454B7">
        <w:rPr>
          <w:b w:val="0"/>
          <w:bCs/>
          <w:shd w:val="clear" w:color="auto" w:fill="FFFFFF"/>
        </w:rPr>
        <w:t xml:space="preserve"> informaciją apie galimas grėsmes elektros energijos tiekimo saugumui Lietuvoje</w:t>
      </w:r>
      <w:r w:rsidR="0042383E">
        <w:rPr>
          <w:b w:val="0"/>
          <w:bCs/>
          <w:shd w:val="clear" w:color="auto" w:fill="FFFFFF"/>
        </w:rPr>
        <w:t>,</w:t>
      </w:r>
      <w:r w:rsidR="0048111C">
        <w:rPr>
          <w:b w:val="0"/>
          <w:bCs/>
          <w:shd w:val="clear" w:color="auto" w:fill="FFFFFF"/>
        </w:rPr>
        <w:t xml:space="preserve"> tačiau Projekto 12 punkte nenurodyta, kad Agentūra konsultuojasi su </w:t>
      </w:r>
      <w:r w:rsidR="0048111C" w:rsidRPr="00E454B7">
        <w:rPr>
          <w:b w:val="0"/>
          <w:bCs/>
          <w:shd w:val="clear" w:color="auto" w:fill="FFFFFF"/>
        </w:rPr>
        <w:t>elektros energijos biržos operatoriu</w:t>
      </w:r>
      <w:r w:rsidR="0048111C">
        <w:rPr>
          <w:b w:val="0"/>
          <w:bCs/>
          <w:shd w:val="clear" w:color="auto" w:fill="FFFFFF"/>
        </w:rPr>
        <w:t>mi</w:t>
      </w:r>
      <w:r w:rsidR="00A80FC8">
        <w:rPr>
          <w:b w:val="0"/>
          <w:bCs/>
          <w:shd w:val="clear" w:color="auto" w:fill="FFFFFF"/>
        </w:rPr>
        <w:t>,</w:t>
      </w:r>
      <w:r w:rsidR="0048111C" w:rsidRPr="00E454B7">
        <w:rPr>
          <w:b w:val="0"/>
          <w:bCs/>
          <w:shd w:val="clear" w:color="auto" w:fill="FFFFFF"/>
        </w:rPr>
        <w:t xml:space="preserve"> </w:t>
      </w:r>
      <w:r w:rsidR="00DB22D5">
        <w:rPr>
          <w:b w:val="0"/>
          <w:bCs/>
          <w:shd w:val="clear" w:color="auto" w:fill="FFFFFF"/>
        </w:rPr>
        <w:t>rengdama Plano projektą</w:t>
      </w:r>
      <w:r w:rsidR="005345EC">
        <w:rPr>
          <w:b w:val="0"/>
          <w:bCs/>
          <w:shd w:val="clear" w:color="auto" w:fill="FFFFFF"/>
        </w:rPr>
        <w:t>,</w:t>
      </w:r>
      <w:r w:rsidR="0048111C" w:rsidRPr="0048111C">
        <w:rPr>
          <w:b w:val="0"/>
          <w:bCs/>
          <w:shd w:val="clear" w:color="auto" w:fill="FFFFFF"/>
        </w:rPr>
        <w:t xml:space="preserve"> </w:t>
      </w:r>
      <w:r w:rsidR="0048111C">
        <w:rPr>
          <w:b w:val="0"/>
          <w:bCs/>
          <w:shd w:val="clear" w:color="auto" w:fill="FFFFFF"/>
        </w:rPr>
        <w:t xml:space="preserve">todėl </w:t>
      </w:r>
      <w:r w:rsidR="0048111C" w:rsidRPr="00E454B7">
        <w:rPr>
          <w:b w:val="0"/>
          <w:bCs/>
          <w:shd w:val="clear" w:color="auto" w:fill="FFFFFF"/>
        </w:rPr>
        <w:t xml:space="preserve">Projekto </w:t>
      </w:r>
      <w:r w:rsidR="0048111C">
        <w:rPr>
          <w:b w:val="0"/>
          <w:bCs/>
          <w:shd w:val="clear" w:color="auto" w:fill="FFFFFF"/>
        </w:rPr>
        <w:t>12 </w:t>
      </w:r>
      <w:r w:rsidR="0048111C" w:rsidRPr="00E454B7">
        <w:rPr>
          <w:b w:val="0"/>
          <w:bCs/>
          <w:shd w:val="clear" w:color="auto" w:fill="FFFFFF"/>
        </w:rPr>
        <w:t xml:space="preserve"> </w:t>
      </w:r>
      <w:r w:rsidR="0048111C">
        <w:rPr>
          <w:b w:val="0"/>
          <w:bCs/>
          <w:shd w:val="clear" w:color="auto" w:fill="FFFFFF"/>
        </w:rPr>
        <w:t>punktą</w:t>
      </w:r>
      <w:r w:rsidR="0048111C" w:rsidRPr="00E454B7">
        <w:rPr>
          <w:b w:val="0"/>
          <w:bCs/>
          <w:shd w:val="clear" w:color="auto" w:fill="FFFFFF"/>
        </w:rPr>
        <w:t xml:space="preserve"> siūloma pakeisti</w:t>
      </w:r>
      <w:r w:rsidR="0048111C">
        <w:rPr>
          <w:b w:val="0"/>
          <w:bCs/>
          <w:shd w:val="clear" w:color="auto" w:fill="FFFFFF"/>
        </w:rPr>
        <w:t xml:space="preserve"> </w:t>
      </w:r>
      <w:r w:rsidR="0048111C" w:rsidRPr="00E454B7">
        <w:rPr>
          <w:b w:val="0"/>
          <w:bCs/>
          <w:shd w:val="clear" w:color="auto" w:fill="FFFFFF"/>
        </w:rPr>
        <w:t>ir jį išdėstyti taip:</w:t>
      </w:r>
    </w:p>
    <w:p w14:paraId="0745A09C" w14:textId="3C95FF96" w:rsidR="00E454B7" w:rsidRDefault="00E454B7" w:rsidP="003441D9">
      <w:pPr>
        <w:ind w:firstLine="630"/>
        <w:rPr>
          <w:b w:val="0"/>
          <w:bCs/>
          <w:shd w:val="clear" w:color="auto" w:fill="FFFFFF"/>
        </w:rPr>
      </w:pPr>
      <w:r>
        <w:rPr>
          <w:b w:val="0"/>
          <w:bCs/>
          <w:shd w:val="clear" w:color="auto" w:fill="FFFFFF"/>
        </w:rPr>
        <w:t>„</w:t>
      </w:r>
      <w:r w:rsidRPr="00E454B7">
        <w:rPr>
          <w:b w:val="0"/>
          <w:bCs/>
          <w:shd w:val="clear" w:color="auto" w:fill="FFFFFF"/>
        </w:rPr>
        <w:t>Plano projektą Agentūra rengia, bendradarbiaudama su PSO ir konsultuodamasi su Energetikos ministerija, Taryba, STO,</w:t>
      </w:r>
      <w:r w:rsidR="0048111C">
        <w:rPr>
          <w:b w:val="0"/>
          <w:bCs/>
          <w:shd w:val="clear" w:color="auto" w:fill="FFFFFF"/>
        </w:rPr>
        <w:t xml:space="preserve"> </w:t>
      </w:r>
      <w:r w:rsidR="0048111C" w:rsidRPr="0048111C">
        <w:rPr>
          <w:shd w:val="clear" w:color="auto" w:fill="FFFFFF"/>
        </w:rPr>
        <w:t>elektros energijos biržos operatoriumi</w:t>
      </w:r>
      <w:r w:rsidR="0048111C">
        <w:rPr>
          <w:b w:val="0"/>
          <w:bCs/>
          <w:shd w:val="clear" w:color="auto" w:fill="FFFFFF"/>
        </w:rPr>
        <w:t>,</w:t>
      </w:r>
      <w:r w:rsidR="0048111C" w:rsidRPr="00E454B7">
        <w:rPr>
          <w:b w:val="0"/>
          <w:bCs/>
          <w:shd w:val="clear" w:color="auto" w:fill="FFFFFF"/>
        </w:rPr>
        <w:t xml:space="preserve"> </w:t>
      </w:r>
      <w:r w:rsidRPr="00E454B7">
        <w:rPr>
          <w:b w:val="0"/>
          <w:bCs/>
          <w:shd w:val="clear" w:color="auto" w:fill="FFFFFF"/>
        </w:rPr>
        <w:t>kitais suinteresuotais elektros energijos gamintojais ir paslaugų teikėjais.</w:t>
      </w:r>
      <w:r>
        <w:rPr>
          <w:b w:val="0"/>
          <w:bCs/>
          <w:shd w:val="clear" w:color="auto" w:fill="FFFFFF"/>
        </w:rPr>
        <w:t>“.</w:t>
      </w:r>
    </w:p>
    <w:p w14:paraId="171FD3A3" w14:textId="7292A740" w:rsidR="00CE6760" w:rsidRDefault="0048111C" w:rsidP="003441D9">
      <w:pPr>
        <w:ind w:firstLine="630"/>
        <w:rPr>
          <w:b w:val="0"/>
          <w:bCs/>
          <w:shd w:val="clear" w:color="auto" w:fill="FFFFFF"/>
        </w:rPr>
      </w:pPr>
      <w:r>
        <w:rPr>
          <w:b w:val="0"/>
          <w:bCs/>
          <w:shd w:val="clear" w:color="auto" w:fill="FFFFFF"/>
        </w:rPr>
        <w:t xml:space="preserve">3. </w:t>
      </w:r>
      <w:r w:rsidR="008238DE" w:rsidRPr="008238DE">
        <w:rPr>
          <w:b w:val="0"/>
          <w:bCs/>
          <w:shd w:val="clear" w:color="auto" w:fill="FFFFFF"/>
        </w:rPr>
        <w:t>Atsižvelgiant į tai, kad jau yra įvesta sąvoka PSO, Projekto 27.2 ir 35.2 papunkčiuose numatyta, kad STO ir elektros energijos biržos operatorius gali teikti atitinkamą informaciją, bei siekiant numatyti plano keitimo alternatyvą dėl nacionalinių krizės scenarijų koregavimo, siūloma pakeisti Projekto 25 punktą ir jį išdėstyti taip:</w:t>
      </w:r>
      <w:r w:rsidR="008238DE">
        <w:rPr>
          <w:b w:val="0"/>
          <w:bCs/>
          <w:shd w:val="clear" w:color="auto" w:fill="FFFFFF"/>
        </w:rPr>
        <w:t xml:space="preserve"> </w:t>
      </w:r>
      <w:r w:rsidR="000E7D37">
        <w:rPr>
          <w:b w:val="0"/>
          <w:bCs/>
          <w:shd w:val="clear" w:color="auto" w:fill="FFFFFF"/>
        </w:rPr>
        <w:t xml:space="preserve"> </w:t>
      </w:r>
      <w:r w:rsidR="00CE6760" w:rsidRPr="00CE6760">
        <w:rPr>
          <w:b w:val="0"/>
          <w:bCs/>
          <w:shd w:val="clear" w:color="auto" w:fill="FFFFFF"/>
        </w:rPr>
        <w:t>:</w:t>
      </w:r>
    </w:p>
    <w:p w14:paraId="119CFB25" w14:textId="7403D049" w:rsidR="00CE6760" w:rsidRDefault="001749E8" w:rsidP="003441D9">
      <w:pPr>
        <w:ind w:firstLine="630"/>
        <w:rPr>
          <w:b w:val="0"/>
          <w:bCs/>
          <w:shd w:val="clear" w:color="auto" w:fill="FFFFFF"/>
        </w:rPr>
      </w:pPr>
      <w:r>
        <w:rPr>
          <w:b w:val="0"/>
          <w:bCs/>
          <w:shd w:val="clear" w:color="auto" w:fill="FFFFFF"/>
        </w:rPr>
        <w:t>„</w:t>
      </w:r>
      <w:r w:rsidRPr="001749E8">
        <w:rPr>
          <w:b w:val="0"/>
          <w:bCs/>
          <w:shd w:val="clear" w:color="auto" w:fill="FFFFFF"/>
        </w:rPr>
        <w:t>Agentūra Planą atnaujina kas ketverius metus</w:t>
      </w:r>
      <w:r>
        <w:rPr>
          <w:b w:val="0"/>
          <w:bCs/>
          <w:shd w:val="clear" w:color="auto" w:fill="FFFFFF"/>
        </w:rPr>
        <w:t xml:space="preserve"> </w:t>
      </w:r>
      <w:r w:rsidRPr="001749E8">
        <w:rPr>
          <w:shd w:val="clear" w:color="auto" w:fill="FFFFFF"/>
        </w:rPr>
        <w:t>ar pakoregavus</w:t>
      </w:r>
      <w:r w:rsidR="00DB22D5">
        <w:rPr>
          <w:shd w:val="clear" w:color="auto" w:fill="FFFFFF"/>
        </w:rPr>
        <w:t xml:space="preserve"> bent vieną iš</w:t>
      </w:r>
      <w:r w:rsidRPr="001749E8">
        <w:rPr>
          <w:shd w:val="clear" w:color="auto" w:fill="FFFFFF"/>
        </w:rPr>
        <w:t xml:space="preserve"> nacionalin</w:t>
      </w:r>
      <w:r w:rsidR="00DB22D5">
        <w:rPr>
          <w:shd w:val="clear" w:color="auto" w:fill="FFFFFF"/>
        </w:rPr>
        <w:t>ių</w:t>
      </w:r>
      <w:r w:rsidRPr="001749E8">
        <w:rPr>
          <w:shd w:val="clear" w:color="auto" w:fill="FFFFFF"/>
        </w:rPr>
        <w:t xml:space="preserve"> krizės scenarijų</w:t>
      </w:r>
      <w:r w:rsidRPr="001749E8">
        <w:rPr>
          <w:b w:val="0"/>
          <w:bCs/>
          <w:shd w:val="clear" w:color="auto" w:fill="FFFFFF"/>
        </w:rPr>
        <w:t>, nebent dėl svarbių priežasčių, inicijavus Energetikos ministerijai, Tarybai</w:t>
      </w:r>
      <w:r w:rsidR="00D95829">
        <w:rPr>
          <w:b w:val="0"/>
          <w:bCs/>
          <w:shd w:val="clear" w:color="auto" w:fill="FFFFFF"/>
        </w:rPr>
        <w:t>,</w:t>
      </w:r>
      <w:r w:rsidRPr="001749E8">
        <w:rPr>
          <w:b w:val="0"/>
          <w:bCs/>
          <w:shd w:val="clear" w:color="auto" w:fill="FFFFFF"/>
        </w:rPr>
        <w:t xml:space="preserve">  </w:t>
      </w:r>
      <w:r w:rsidRPr="001749E8">
        <w:rPr>
          <w:b w:val="0"/>
          <w:bCs/>
          <w:strike/>
          <w:shd w:val="clear" w:color="auto" w:fill="FFFFFF"/>
        </w:rPr>
        <w:t>perdavimo sistemos operatoriui</w:t>
      </w:r>
      <w:r w:rsidRPr="001749E8">
        <w:rPr>
          <w:b w:val="0"/>
          <w:bCs/>
          <w:shd w:val="clear" w:color="auto" w:fill="FFFFFF"/>
        </w:rPr>
        <w:t xml:space="preserve"> </w:t>
      </w:r>
      <w:r w:rsidRPr="001749E8">
        <w:rPr>
          <w:shd w:val="clear" w:color="auto" w:fill="FFFFFF"/>
        </w:rPr>
        <w:t>PSO</w:t>
      </w:r>
      <w:r w:rsidR="00D95829">
        <w:rPr>
          <w:shd w:val="clear" w:color="auto" w:fill="FFFFFF"/>
        </w:rPr>
        <w:t>,</w:t>
      </w:r>
      <w:r w:rsidR="005345EC">
        <w:rPr>
          <w:shd w:val="clear" w:color="auto" w:fill="FFFFFF"/>
        </w:rPr>
        <w:t xml:space="preserve"> STO</w:t>
      </w:r>
      <w:r w:rsidR="00D95829">
        <w:rPr>
          <w:shd w:val="clear" w:color="auto" w:fill="FFFFFF"/>
        </w:rPr>
        <w:t xml:space="preserve"> ar elektros energijos biržos operatoriui</w:t>
      </w:r>
      <w:r w:rsidR="00A80FC8">
        <w:rPr>
          <w:shd w:val="clear" w:color="auto" w:fill="FFFFFF"/>
        </w:rPr>
        <w:t>,</w:t>
      </w:r>
      <w:r>
        <w:rPr>
          <w:b w:val="0"/>
          <w:bCs/>
          <w:shd w:val="clear" w:color="auto" w:fill="FFFFFF"/>
        </w:rPr>
        <w:t xml:space="preserve"> </w:t>
      </w:r>
      <w:r w:rsidRPr="001749E8">
        <w:rPr>
          <w:b w:val="0"/>
          <w:bCs/>
          <w:shd w:val="clear" w:color="auto" w:fill="FFFFFF"/>
        </w:rPr>
        <w:t>jį reikėtų atnaujinti dažniau.</w:t>
      </w:r>
      <w:r>
        <w:rPr>
          <w:b w:val="0"/>
          <w:bCs/>
          <w:shd w:val="clear" w:color="auto" w:fill="FFFFFF"/>
        </w:rPr>
        <w:t>“</w:t>
      </w:r>
      <w:r w:rsidR="00F802E7">
        <w:rPr>
          <w:b w:val="0"/>
          <w:bCs/>
          <w:shd w:val="clear" w:color="auto" w:fill="FFFFFF"/>
        </w:rPr>
        <w:t>.</w:t>
      </w:r>
    </w:p>
    <w:p w14:paraId="03C30000" w14:textId="138A3A6C" w:rsidR="00F802E7" w:rsidRDefault="0013644B" w:rsidP="003441D9">
      <w:pPr>
        <w:ind w:firstLine="630"/>
        <w:rPr>
          <w:b w:val="0"/>
          <w:bCs/>
          <w:shd w:val="clear" w:color="auto" w:fill="FFFFFF"/>
        </w:rPr>
      </w:pPr>
      <w:r>
        <w:rPr>
          <w:b w:val="0"/>
          <w:bCs/>
          <w:shd w:val="clear" w:color="auto" w:fill="FFFFFF"/>
        </w:rPr>
        <w:t>4</w:t>
      </w:r>
      <w:r w:rsidR="00F802E7">
        <w:rPr>
          <w:b w:val="0"/>
          <w:bCs/>
          <w:shd w:val="clear" w:color="auto" w:fill="FFFFFF"/>
        </w:rPr>
        <w:t xml:space="preserve">. </w:t>
      </w:r>
      <w:r w:rsidR="008238DE">
        <w:rPr>
          <w:b w:val="0"/>
          <w:bCs/>
          <w:shd w:val="clear" w:color="auto" w:fill="FFFFFF"/>
        </w:rPr>
        <w:t>Projekto 26 punktą</w:t>
      </w:r>
      <w:r w:rsidR="008238DE" w:rsidRPr="00CE6760">
        <w:rPr>
          <w:b w:val="0"/>
          <w:bCs/>
          <w:shd w:val="clear" w:color="auto" w:fill="FFFFFF"/>
        </w:rPr>
        <w:t xml:space="preserve"> siūloma pakeisti</w:t>
      </w:r>
      <w:r w:rsidR="008238DE">
        <w:rPr>
          <w:b w:val="0"/>
          <w:bCs/>
          <w:shd w:val="clear" w:color="auto" w:fill="FFFFFF"/>
        </w:rPr>
        <w:t xml:space="preserve"> ir atsisakyti sąvokos ,,rimta“, nes nėra aišku, kokia informacija turėtų būti laikoma „rimta“. Siūlome Projekto 26 punktą</w:t>
      </w:r>
      <w:r w:rsidR="008238DE" w:rsidRPr="00CE6760">
        <w:rPr>
          <w:b w:val="0"/>
          <w:bCs/>
          <w:shd w:val="clear" w:color="auto" w:fill="FFFFFF"/>
        </w:rPr>
        <w:t xml:space="preserve"> išdėstyti taip:</w:t>
      </w:r>
      <w:r w:rsidR="008238DE">
        <w:rPr>
          <w:b w:val="0"/>
          <w:bCs/>
          <w:shd w:val="clear" w:color="auto" w:fill="FFFFFF"/>
        </w:rPr>
        <w:t xml:space="preserve"> </w:t>
      </w:r>
    </w:p>
    <w:p w14:paraId="68E49989" w14:textId="515A79E7" w:rsidR="00F802E7" w:rsidRDefault="00F802E7" w:rsidP="003441D9">
      <w:pPr>
        <w:ind w:firstLine="630"/>
        <w:rPr>
          <w:b w:val="0"/>
          <w:bCs/>
          <w:shd w:val="clear" w:color="auto" w:fill="FFFFFF"/>
        </w:rPr>
      </w:pPr>
      <w:r>
        <w:rPr>
          <w:b w:val="0"/>
          <w:bCs/>
          <w:shd w:val="clear" w:color="auto" w:fill="FFFFFF"/>
        </w:rPr>
        <w:t>„</w:t>
      </w:r>
      <w:r w:rsidRPr="00F802E7">
        <w:rPr>
          <w:b w:val="0"/>
          <w:bCs/>
          <w:shd w:val="clear" w:color="auto" w:fill="FFFFFF"/>
        </w:rPr>
        <w:t>Išankstinis perspėjimas skelbiamas, kai Energetikos ministerija</w:t>
      </w:r>
      <w:r w:rsidR="00A80FC8">
        <w:rPr>
          <w:b w:val="0"/>
          <w:bCs/>
          <w:shd w:val="clear" w:color="auto" w:fill="FFFFFF"/>
        </w:rPr>
        <w:t>,</w:t>
      </w:r>
      <w:r w:rsidRPr="00F802E7">
        <w:rPr>
          <w:b w:val="0"/>
          <w:bCs/>
          <w:shd w:val="clear" w:color="auto" w:fill="FFFFFF"/>
        </w:rPr>
        <w:t xml:space="preserve"> gavusi konkrečios</w:t>
      </w:r>
      <w:r w:rsidRPr="00F802E7">
        <w:rPr>
          <w:b w:val="0"/>
          <w:bCs/>
          <w:strike/>
          <w:shd w:val="clear" w:color="auto" w:fill="FFFFFF"/>
        </w:rPr>
        <w:t>, rimtos</w:t>
      </w:r>
      <w:r w:rsidRPr="00F802E7">
        <w:rPr>
          <w:b w:val="0"/>
          <w:bCs/>
          <w:shd w:val="clear" w:color="auto" w:fill="FFFFFF"/>
        </w:rPr>
        <w:t xml:space="preserve"> ir patikimos informacijos, nusprendžia</w:t>
      </w:r>
      <w:r w:rsidR="00D1409D" w:rsidRPr="00D1409D">
        <w:rPr>
          <w:shd w:val="clear" w:color="auto" w:fill="FFFFFF"/>
        </w:rPr>
        <w:t>,</w:t>
      </w:r>
      <w:r w:rsidRPr="00F802E7">
        <w:rPr>
          <w:b w:val="0"/>
          <w:bCs/>
          <w:shd w:val="clear" w:color="auto" w:fill="FFFFFF"/>
        </w:rPr>
        <w:t xml:space="preserve"> </w:t>
      </w:r>
      <w:bookmarkStart w:id="1" w:name="_Hlk48655863"/>
      <w:r w:rsidRPr="00F802E7">
        <w:rPr>
          <w:b w:val="0"/>
          <w:bCs/>
          <w:shd w:val="clear" w:color="auto" w:fill="FFFFFF"/>
        </w:rPr>
        <w:t>kad gali įvykti elektros energetikos sektoriaus krizė</w:t>
      </w:r>
      <w:bookmarkEnd w:id="1"/>
      <w:r w:rsidRPr="00F802E7">
        <w:rPr>
          <w:b w:val="0"/>
          <w:bCs/>
          <w:shd w:val="clear" w:color="auto" w:fill="FFFFFF"/>
        </w:rPr>
        <w:t>.</w:t>
      </w:r>
      <w:r>
        <w:rPr>
          <w:b w:val="0"/>
          <w:bCs/>
          <w:shd w:val="clear" w:color="auto" w:fill="FFFFFF"/>
        </w:rPr>
        <w:t>“.</w:t>
      </w:r>
    </w:p>
    <w:p w14:paraId="2404E883" w14:textId="7BB06E22" w:rsidR="00CE6760" w:rsidRDefault="0013644B" w:rsidP="003441D9">
      <w:pPr>
        <w:ind w:firstLine="630"/>
        <w:rPr>
          <w:b w:val="0"/>
          <w:bCs/>
          <w:shd w:val="clear" w:color="auto" w:fill="FFFFFF"/>
        </w:rPr>
      </w:pPr>
      <w:r>
        <w:rPr>
          <w:b w:val="0"/>
          <w:bCs/>
          <w:shd w:val="clear" w:color="auto" w:fill="FFFFFF"/>
        </w:rPr>
        <w:t>5</w:t>
      </w:r>
      <w:r w:rsidR="00F802E7">
        <w:rPr>
          <w:b w:val="0"/>
          <w:bCs/>
          <w:shd w:val="clear" w:color="auto" w:fill="FFFFFF"/>
        </w:rPr>
        <w:t>. Projekto 27</w:t>
      </w:r>
      <w:r w:rsidR="009409A4">
        <w:rPr>
          <w:b w:val="0"/>
          <w:bCs/>
          <w:shd w:val="clear" w:color="auto" w:fill="FFFFFF"/>
        </w:rPr>
        <w:t>.1</w:t>
      </w:r>
      <w:r w:rsidR="00F76B6E">
        <w:rPr>
          <w:b w:val="0"/>
          <w:bCs/>
          <w:shd w:val="clear" w:color="auto" w:fill="FFFFFF"/>
        </w:rPr>
        <w:t xml:space="preserve"> pa</w:t>
      </w:r>
      <w:r w:rsidR="0048111C">
        <w:rPr>
          <w:b w:val="0"/>
          <w:bCs/>
          <w:shd w:val="clear" w:color="auto" w:fill="FFFFFF"/>
        </w:rPr>
        <w:t>punkt</w:t>
      </w:r>
      <w:r w:rsidR="00F76B6E">
        <w:rPr>
          <w:b w:val="0"/>
          <w:bCs/>
          <w:shd w:val="clear" w:color="auto" w:fill="FFFFFF"/>
        </w:rPr>
        <w:t>į</w:t>
      </w:r>
      <w:r w:rsidR="00F802E7" w:rsidRPr="00CE6760">
        <w:rPr>
          <w:b w:val="0"/>
          <w:bCs/>
          <w:shd w:val="clear" w:color="auto" w:fill="FFFFFF"/>
        </w:rPr>
        <w:t xml:space="preserve"> siūloma pakeisti ir j</w:t>
      </w:r>
      <w:r w:rsidR="00F802E7">
        <w:rPr>
          <w:b w:val="0"/>
          <w:bCs/>
          <w:shd w:val="clear" w:color="auto" w:fill="FFFFFF"/>
        </w:rPr>
        <w:t>į</w:t>
      </w:r>
      <w:r w:rsidR="00F802E7" w:rsidRPr="00CE6760">
        <w:rPr>
          <w:b w:val="0"/>
          <w:bCs/>
          <w:shd w:val="clear" w:color="auto" w:fill="FFFFFF"/>
        </w:rPr>
        <w:t xml:space="preserve"> išdėstyti taip:</w:t>
      </w:r>
    </w:p>
    <w:p w14:paraId="439F4F0D" w14:textId="484EABC8" w:rsidR="00CE6760" w:rsidRDefault="00F802E7" w:rsidP="003441D9">
      <w:pPr>
        <w:ind w:firstLine="630"/>
        <w:rPr>
          <w:b w:val="0"/>
          <w:bCs/>
          <w:shd w:val="clear" w:color="auto" w:fill="FFFFFF"/>
        </w:rPr>
      </w:pPr>
      <w:r>
        <w:rPr>
          <w:b w:val="0"/>
          <w:bCs/>
          <w:shd w:val="clear" w:color="auto" w:fill="FFFFFF"/>
        </w:rPr>
        <w:lastRenderedPageBreak/>
        <w:t>„</w:t>
      </w:r>
      <w:r w:rsidRPr="00F802E7">
        <w:rPr>
          <w:b w:val="0"/>
          <w:bCs/>
          <w:shd w:val="clear" w:color="auto" w:fill="FFFFFF"/>
        </w:rPr>
        <w:t>PSO</w:t>
      </w:r>
      <w:r>
        <w:rPr>
          <w:b w:val="0"/>
          <w:bCs/>
          <w:shd w:val="clear" w:color="auto" w:fill="FFFFFF"/>
        </w:rPr>
        <w:t xml:space="preserve"> </w:t>
      </w:r>
      <w:r w:rsidRPr="00F802E7">
        <w:rPr>
          <w:shd w:val="clear" w:color="auto" w:fill="FFFFFF"/>
        </w:rPr>
        <w:t>ar STO</w:t>
      </w:r>
      <w:r w:rsidRPr="00F802E7">
        <w:rPr>
          <w:b w:val="0"/>
          <w:bCs/>
          <w:shd w:val="clear" w:color="auto" w:fill="FFFFFF"/>
        </w:rPr>
        <w:t xml:space="preserve"> Energetikos ministerijai pateikia informaciją, kuri gali būti priežastimi skelbti išankstinį perspėjimą;</w:t>
      </w:r>
      <w:r>
        <w:rPr>
          <w:b w:val="0"/>
          <w:bCs/>
          <w:shd w:val="clear" w:color="auto" w:fill="FFFFFF"/>
        </w:rPr>
        <w:t>“.</w:t>
      </w:r>
    </w:p>
    <w:p w14:paraId="497FF9FB" w14:textId="3A7E1B5E" w:rsidR="00CE6760" w:rsidRDefault="0013644B" w:rsidP="003441D9">
      <w:pPr>
        <w:ind w:firstLine="630"/>
        <w:rPr>
          <w:b w:val="0"/>
          <w:bCs/>
          <w:shd w:val="clear" w:color="auto" w:fill="FFFFFF"/>
        </w:rPr>
      </w:pPr>
      <w:r>
        <w:rPr>
          <w:b w:val="0"/>
          <w:bCs/>
          <w:shd w:val="clear" w:color="auto" w:fill="FFFFFF"/>
        </w:rPr>
        <w:t>6</w:t>
      </w:r>
      <w:r w:rsidR="00F802E7">
        <w:rPr>
          <w:b w:val="0"/>
          <w:bCs/>
          <w:shd w:val="clear" w:color="auto" w:fill="FFFFFF"/>
        </w:rPr>
        <w:t xml:space="preserve">. </w:t>
      </w:r>
      <w:r w:rsidR="00F76B6E">
        <w:rPr>
          <w:b w:val="0"/>
          <w:bCs/>
          <w:shd w:val="clear" w:color="auto" w:fill="FFFFFF"/>
        </w:rPr>
        <w:t>Projekto 29 punkte kalbama apie planuojamas arba vykdomas priemones</w:t>
      </w:r>
      <w:r w:rsidR="005345EC">
        <w:rPr>
          <w:b w:val="0"/>
          <w:bCs/>
          <w:shd w:val="clear" w:color="auto" w:fill="FFFFFF"/>
        </w:rPr>
        <w:t>,</w:t>
      </w:r>
      <w:r w:rsidR="00F76B6E">
        <w:rPr>
          <w:b w:val="0"/>
          <w:bCs/>
          <w:shd w:val="clear" w:color="auto" w:fill="FFFFFF"/>
        </w:rPr>
        <w:t xml:space="preserve"> tačiau neaišku</w:t>
      </w:r>
      <w:r w:rsidR="005345EC">
        <w:rPr>
          <w:b w:val="0"/>
          <w:bCs/>
          <w:shd w:val="clear" w:color="auto" w:fill="FFFFFF"/>
        </w:rPr>
        <w:t>,</w:t>
      </w:r>
      <w:r w:rsidR="00F76B6E">
        <w:rPr>
          <w:b w:val="0"/>
          <w:bCs/>
          <w:shd w:val="clear" w:color="auto" w:fill="FFFFFF"/>
        </w:rPr>
        <w:t xml:space="preserve"> iš kur jos</w:t>
      </w:r>
      <w:r w:rsidR="005345EC">
        <w:rPr>
          <w:b w:val="0"/>
          <w:bCs/>
          <w:shd w:val="clear" w:color="auto" w:fill="FFFFFF"/>
        </w:rPr>
        <w:t>,</w:t>
      </w:r>
      <w:r w:rsidR="00F76B6E">
        <w:rPr>
          <w:b w:val="0"/>
          <w:bCs/>
          <w:shd w:val="clear" w:color="auto" w:fill="FFFFFF"/>
        </w:rPr>
        <w:t xml:space="preserve"> todėl siūloma Projekto 32 punktą perkelti į 29 punktą, kad </w:t>
      </w:r>
      <w:r w:rsidR="005345EC">
        <w:rPr>
          <w:b w:val="0"/>
          <w:bCs/>
          <w:shd w:val="clear" w:color="auto" w:fill="FFFFFF"/>
        </w:rPr>
        <w:t xml:space="preserve">būtų </w:t>
      </w:r>
      <w:r w:rsidR="00F76B6E">
        <w:rPr>
          <w:b w:val="0"/>
          <w:bCs/>
          <w:shd w:val="clear" w:color="auto" w:fill="FFFFFF"/>
        </w:rPr>
        <w:t>išlaik</w:t>
      </w:r>
      <w:r w:rsidR="005345EC">
        <w:rPr>
          <w:b w:val="0"/>
          <w:bCs/>
          <w:shd w:val="clear" w:color="auto" w:fill="FFFFFF"/>
        </w:rPr>
        <w:t>omas</w:t>
      </w:r>
      <w:r w:rsidR="00F76B6E">
        <w:rPr>
          <w:b w:val="0"/>
          <w:bCs/>
          <w:shd w:val="clear" w:color="auto" w:fill="FFFFFF"/>
        </w:rPr>
        <w:t xml:space="preserve"> proceso aiškum</w:t>
      </w:r>
      <w:r w:rsidR="005345EC">
        <w:rPr>
          <w:b w:val="0"/>
          <w:bCs/>
          <w:shd w:val="clear" w:color="auto" w:fill="FFFFFF"/>
        </w:rPr>
        <w:t>as</w:t>
      </w:r>
      <w:r w:rsidR="00F76B6E">
        <w:rPr>
          <w:b w:val="0"/>
          <w:bCs/>
          <w:shd w:val="clear" w:color="auto" w:fill="FFFFFF"/>
        </w:rPr>
        <w:t>, ir 29, 30, 31, 32 punktus išdėstyti taip:</w:t>
      </w:r>
    </w:p>
    <w:p w14:paraId="2C7123AE" w14:textId="0BB5643A" w:rsidR="00F76B6E" w:rsidRDefault="00D1409D" w:rsidP="0013644B">
      <w:pPr>
        <w:ind w:firstLine="630"/>
        <w:rPr>
          <w:b w:val="0"/>
          <w:bCs/>
          <w:shd w:val="clear" w:color="auto" w:fill="FFFFFF"/>
        </w:rPr>
      </w:pPr>
      <w:r>
        <w:rPr>
          <w:b w:val="0"/>
          <w:bCs/>
          <w:shd w:val="clear" w:color="auto" w:fill="FFFFFF"/>
        </w:rPr>
        <w:t>„</w:t>
      </w:r>
      <w:r w:rsidR="0013644B" w:rsidRPr="0013644B">
        <w:rPr>
          <w:b w:val="0"/>
          <w:bCs/>
          <w:shd w:val="clear" w:color="auto" w:fill="FFFFFF"/>
        </w:rPr>
        <w:t xml:space="preserve">29. </w:t>
      </w:r>
      <w:r w:rsidR="009A486C" w:rsidRPr="009A486C">
        <w:rPr>
          <w:b w:val="0"/>
          <w:bCs/>
          <w:strike/>
          <w:shd w:val="clear" w:color="auto" w:fill="FFFFFF"/>
        </w:rPr>
        <w:t xml:space="preserve">Energetikos ministerija, paskelbusi išankstinį perspėjimą, Aprašo 28 punkte nurodytiems subjektams pateikia informaciją apie galimos elektros energetikos sektoriaus krizės priežastis, planuojamas arba vykdomas priemones, kuriomis siekiama užkirsti kelią elektros energetikos sektoriaus krizei, ir ar gali reikėti pagalbos iš kitų valstybių narių. Informacijoje nurodomas galimas priemonių poveikis elektros energetikos vidaus rinkai. </w:t>
      </w:r>
      <w:r w:rsidR="00F76B6E" w:rsidRPr="009A486C">
        <w:rPr>
          <w:shd w:val="clear" w:color="auto" w:fill="FFFFFF"/>
        </w:rPr>
        <w:t>Paskelbus išankstinį perspėjimą taikomos Plane numatytos priemonės.</w:t>
      </w:r>
    </w:p>
    <w:p w14:paraId="2E402F38" w14:textId="02FB271A" w:rsidR="0013644B" w:rsidRPr="0013644B" w:rsidRDefault="00F76B6E" w:rsidP="0013644B">
      <w:pPr>
        <w:ind w:firstLine="630"/>
        <w:rPr>
          <w:b w:val="0"/>
          <w:bCs/>
          <w:shd w:val="clear" w:color="auto" w:fill="FFFFFF"/>
        </w:rPr>
      </w:pPr>
      <w:r>
        <w:rPr>
          <w:b w:val="0"/>
          <w:bCs/>
          <w:shd w:val="clear" w:color="auto" w:fill="FFFFFF"/>
        </w:rPr>
        <w:t xml:space="preserve">30. </w:t>
      </w:r>
      <w:r w:rsidR="009A486C" w:rsidRPr="009A486C">
        <w:rPr>
          <w:b w:val="0"/>
          <w:bCs/>
          <w:strike/>
          <w:shd w:val="clear" w:color="auto" w:fill="FFFFFF"/>
        </w:rPr>
        <w:t>Energetikos ministerija, paskelbusi išankstinį perspėjimą, vertina būtinybę skelbti ekstremaliąją situaciją.</w:t>
      </w:r>
      <w:r w:rsidR="009A486C">
        <w:rPr>
          <w:b w:val="0"/>
          <w:bCs/>
          <w:shd w:val="clear" w:color="auto" w:fill="FFFFFF"/>
        </w:rPr>
        <w:t xml:space="preserve"> </w:t>
      </w:r>
      <w:r w:rsidR="0013644B" w:rsidRPr="009A486C">
        <w:rPr>
          <w:shd w:val="clear" w:color="auto" w:fill="FFFFFF"/>
        </w:rPr>
        <w:t>Energetikos ministerija, paskelbusi išankstinį perspėjimą, Aprašo 28 punkte nurodytiems subjektams pateikia informaciją apie galimos elektros energetikos sektoriaus krizės priežastis, planuojamas arba vykdomas priemones, kuriomis siekiama užkirsti kelią elektros energetikos sektoriaus krizei, ir ar gali reikėti pagalbos iš kitų valstybių narių. Informacijoje nurodomas galimas priemonių poveikis elektros energetikos vidaus rinkai.</w:t>
      </w:r>
    </w:p>
    <w:p w14:paraId="6F604A70" w14:textId="52994767" w:rsidR="0013644B" w:rsidRPr="0013644B" w:rsidRDefault="0013644B" w:rsidP="0013644B">
      <w:pPr>
        <w:ind w:firstLine="630"/>
        <w:rPr>
          <w:b w:val="0"/>
          <w:bCs/>
          <w:shd w:val="clear" w:color="auto" w:fill="FFFFFF"/>
        </w:rPr>
      </w:pPr>
      <w:r w:rsidRPr="0013644B">
        <w:rPr>
          <w:b w:val="0"/>
          <w:bCs/>
          <w:shd w:val="clear" w:color="auto" w:fill="FFFFFF"/>
        </w:rPr>
        <w:t>3</w:t>
      </w:r>
      <w:r w:rsidR="00F76B6E">
        <w:rPr>
          <w:b w:val="0"/>
          <w:bCs/>
          <w:shd w:val="clear" w:color="auto" w:fill="FFFFFF"/>
        </w:rPr>
        <w:t>1</w:t>
      </w:r>
      <w:r w:rsidRPr="0013644B">
        <w:rPr>
          <w:b w:val="0"/>
          <w:bCs/>
          <w:shd w:val="clear" w:color="auto" w:fill="FFFFFF"/>
        </w:rPr>
        <w:t xml:space="preserve">. </w:t>
      </w:r>
      <w:r w:rsidR="009A486C" w:rsidRPr="009A486C">
        <w:rPr>
          <w:b w:val="0"/>
          <w:bCs/>
          <w:strike/>
          <w:shd w:val="clear" w:color="auto" w:fill="FFFFFF"/>
        </w:rPr>
        <w:t xml:space="preserve">Nustačiusi Civilinės saugos įstatymo 26 straipsnio 1 dalyje įtvirtintus ekstremaliosios situacijos požymius, Energetikos ministerija inicijuoja ekstremaliosios situacijos paskelbimą. </w:t>
      </w:r>
      <w:bookmarkStart w:id="2" w:name="_Hlk48735483"/>
      <w:r w:rsidRPr="009A486C">
        <w:rPr>
          <w:shd w:val="clear" w:color="auto" w:fill="FFFFFF"/>
        </w:rPr>
        <w:t>Energetikos ministerija, paskelbusi išankstinį perspėjimą, vertina būtinybę skelbti ekstremaliąją situaciją.</w:t>
      </w:r>
      <w:bookmarkEnd w:id="2"/>
    </w:p>
    <w:p w14:paraId="5C149562" w14:textId="7817BDA0" w:rsidR="0013644B" w:rsidRPr="0013644B" w:rsidRDefault="0013644B" w:rsidP="0013644B">
      <w:pPr>
        <w:ind w:firstLine="630"/>
        <w:rPr>
          <w:b w:val="0"/>
          <w:bCs/>
          <w:shd w:val="clear" w:color="auto" w:fill="FFFFFF"/>
        </w:rPr>
      </w:pPr>
      <w:r w:rsidRPr="0013644B">
        <w:rPr>
          <w:b w:val="0"/>
          <w:bCs/>
          <w:shd w:val="clear" w:color="auto" w:fill="FFFFFF"/>
        </w:rPr>
        <w:t>3</w:t>
      </w:r>
      <w:r w:rsidR="00F76B6E">
        <w:rPr>
          <w:b w:val="0"/>
          <w:bCs/>
          <w:shd w:val="clear" w:color="auto" w:fill="FFFFFF"/>
        </w:rPr>
        <w:t>2</w:t>
      </w:r>
      <w:r w:rsidRPr="0013644B">
        <w:rPr>
          <w:b w:val="0"/>
          <w:bCs/>
          <w:shd w:val="clear" w:color="auto" w:fill="FFFFFF"/>
        </w:rPr>
        <w:t xml:space="preserve">. </w:t>
      </w:r>
      <w:r w:rsidR="009A486C" w:rsidRPr="009A486C">
        <w:rPr>
          <w:b w:val="0"/>
          <w:bCs/>
          <w:strike/>
          <w:shd w:val="clear" w:color="auto" w:fill="FFFFFF"/>
        </w:rPr>
        <w:t>Paskelbus išankstinį perspėjimą taikomos Plane numatytos priemonės.</w:t>
      </w:r>
      <w:r w:rsidR="009A486C" w:rsidRPr="009A486C">
        <w:rPr>
          <w:b w:val="0"/>
          <w:bCs/>
          <w:shd w:val="clear" w:color="auto" w:fill="FFFFFF"/>
        </w:rPr>
        <w:t xml:space="preserve"> </w:t>
      </w:r>
      <w:r w:rsidR="009A486C" w:rsidRPr="009A486C">
        <w:rPr>
          <w:shd w:val="clear" w:color="auto" w:fill="FFFFFF"/>
        </w:rPr>
        <w:t>Nustačiusi Civilinės saugos įstatymo 26 straipsnio 1 dalyje įtvirtintus ekstremaliosios situacijos požymius, Energetikos ministerija inicijuoja ekstremaliosios situacijos paskelbimą.</w:t>
      </w:r>
      <w:r w:rsidR="00D1409D">
        <w:rPr>
          <w:b w:val="0"/>
          <w:bCs/>
          <w:shd w:val="clear" w:color="auto" w:fill="FFFFFF"/>
        </w:rPr>
        <w:t>“</w:t>
      </w:r>
    </w:p>
    <w:p w14:paraId="4EE26341" w14:textId="536C7E5A" w:rsidR="00F802E7" w:rsidRDefault="0013644B" w:rsidP="003441D9">
      <w:pPr>
        <w:ind w:firstLine="630"/>
        <w:rPr>
          <w:b w:val="0"/>
          <w:bCs/>
          <w:shd w:val="clear" w:color="auto" w:fill="FFFFFF"/>
        </w:rPr>
      </w:pPr>
      <w:r>
        <w:rPr>
          <w:b w:val="0"/>
          <w:bCs/>
          <w:shd w:val="clear" w:color="auto" w:fill="FFFFFF"/>
        </w:rPr>
        <w:t>7</w:t>
      </w:r>
      <w:r w:rsidR="00F802E7">
        <w:rPr>
          <w:b w:val="0"/>
          <w:bCs/>
          <w:shd w:val="clear" w:color="auto" w:fill="FFFFFF"/>
        </w:rPr>
        <w:t>. Projekto IV skyriaus antrą skirsnį si</w:t>
      </w:r>
      <w:r w:rsidR="00E454B7">
        <w:rPr>
          <w:b w:val="0"/>
          <w:bCs/>
          <w:shd w:val="clear" w:color="auto" w:fill="FFFFFF"/>
        </w:rPr>
        <w:t>ūloma pakeisti</w:t>
      </w:r>
      <w:r>
        <w:rPr>
          <w:b w:val="0"/>
          <w:bCs/>
          <w:shd w:val="clear" w:color="auto" w:fill="FFFFFF"/>
        </w:rPr>
        <w:t xml:space="preserve">, kad </w:t>
      </w:r>
      <w:r w:rsidR="005345EC">
        <w:rPr>
          <w:b w:val="0"/>
          <w:bCs/>
          <w:shd w:val="clear" w:color="auto" w:fill="FFFFFF"/>
        </w:rPr>
        <w:t xml:space="preserve">būtų </w:t>
      </w:r>
      <w:r w:rsidR="00F76B6E">
        <w:rPr>
          <w:b w:val="0"/>
          <w:bCs/>
          <w:shd w:val="clear" w:color="auto" w:fill="FFFFFF"/>
        </w:rPr>
        <w:t>išlaikyt</w:t>
      </w:r>
      <w:r w:rsidR="005345EC">
        <w:rPr>
          <w:b w:val="0"/>
          <w:bCs/>
          <w:shd w:val="clear" w:color="auto" w:fill="FFFFFF"/>
        </w:rPr>
        <w:t>as</w:t>
      </w:r>
      <w:r>
        <w:rPr>
          <w:b w:val="0"/>
          <w:bCs/>
          <w:shd w:val="clear" w:color="auto" w:fill="FFFFFF"/>
        </w:rPr>
        <w:t xml:space="preserve"> Projekto numeracijos vientisum</w:t>
      </w:r>
      <w:r w:rsidR="005345EC">
        <w:rPr>
          <w:b w:val="0"/>
          <w:bCs/>
          <w:shd w:val="clear" w:color="auto" w:fill="FFFFFF"/>
        </w:rPr>
        <w:t>as</w:t>
      </w:r>
      <w:r>
        <w:rPr>
          <w:b w:val="0"/>
          <w:bCs/>
          <w:shd w:val="clear" w:color="auto" w:fill="FFFFFF"/>
        </w:rPr>
        <w:t>,</w:t>
      </w:r>
      <w:r w:rsidR="00E454B7">
        <w:rPr>
          <w:b w:val="0"/>
          <w:bCs/>
          <w:shd w:val="clear" w:color="auto" w:fill="FFFFFF"/>
        </w:rPr>
        <w:t xml:space="preserve"> ir jį išdėstyti taip:</w:t>
      </w:r>
    </w:p>
    <w:p w14:paraId="0AED68B4" w14:textId="46E5CAD6" w:rsidR="00E454B7" w:rsidRDefault="00E454B7" w:rsidP="003441D9">
      <w:pPr>
        <w:ind w:firstLine="630"/>
        <w:rPr>
          <w:b w:val="0"/>
          <w:bCs/>
          <w:shd w:val="clear" w:color="auto" w:fill="FFFFFF"/>
        </w:rPr>
      </w:pPr>
      <w:r>
        <w:rPr>
          <w:b w:val="0"/>
          <w:bCs/>
          <w:strike/>
          <w:shd w:val="clear" w:color="auto" w:fill="FFFFFF"/>
        </w:rPr>
        <w:t>„</w:t>
      </w:r>
      <w:r w:rsidRPr="00E454B7">
        <w:rPr>
          <w:b w:val="0"/>
          <w:bCs/>
          <w:strike/>
          <w:shd w:val="clear" w:color="auto" w:fill="FFFFFF"/>
        </w:rPr>
        <w:t>II</w:t>
      </w:r>
      <w:r w:rsidRPr="00E454B7">
        <w:rPr>
          <w:b w:val="0"/>
          <w:bCs/>
          <w:shd w:val="clear" w:color="auto" w:fill="FFFFFF"/>
        </w:rPr>
        <w:t xml:space="preserve"> </w:t>
      </w:r>
      <w:r w:rsidRPr="00E454B7">
        <w:rPr>
          <w:shd w:val="clear" w:color="auto" w:fill="FFFFFF"/>
        </w:rPr>
        <w:t>ANTRAS</w:t>
      </w:r>
      <w:r>
        <w:rPr>
          <w:b w:val="0"/>
          <w:bCs/>
          <w:shd w:val="clear" w:color="auto" w:fill="FFFFFF"/>
        </w:rPr>
        <w:t xml:space="preserve"> </w:t>
      </w:r>
      <w:r w:rsidRPr="00E454B7">
        <w:rPr>
          <w:b w:val="0"/>
          <w:bCs/>
          <w:shd w:val="clear" w:color="auto" w:fill="FFFFFF"/>
        </w:rPr>
        <w:t>SKIRSNIS</w:t>
      </w:r>
      <w:r>
        <w:rPr>
          <w:b w:val="0"/>
          <w:bCs/>
          <w:shd w:val="clear" w:color="auto" w:fill="FFFFFF"/>
        </w:rPr>
        <w:t>“.</w:t>
      </w:r>
    </w:p>
    <w:p w14:paraId="78A346FC" w14:textId="5AAB9C5E" w:rsidR="00E454B7" w:rsidRDefault="0013644B" w:rsidP="003441D9">
      <w:pPr>
        <w:ind w:firstLine="630"/>
        <w:rPr>
          <w:b w:val="0"/>
          <w:bCs/>
          <w:shd w:val="clear" w:color="auto" w:fill="FFFFFF"/>
        </w:rPr>
      </w:pPr>
      <w:r>
        <w:rPr>
          <w:b w:val="0"/>
          <w:bCs/>
          <w:shd w:val="clear" w:color="auto" w:fill="FFFFFF"/>
        </w:rPr>
        <w:t xml:space="preserve">8. </w:t>
      </w:r>
      <w:r w:rsidR="00F76B6E">
        <w:rPr>
          <w:b w:val="0"/>
          <w:bCs/>
          <w:shd w:val="clear" w:color="auto" w:fill="FFFFFF"/>
        </w:rPr>
        <w:t>Projekto 35</w:t>
      </w:r>
      <w:r w:rsidR="008238DE">
        <w:rPr>
          <w:b w:val="0"/>
          <w:bCs/>
          <w:shd w:val="clear" w:color="auto" w:fill="FFFFFF"/>
        </w:rPr>
        <w:t>.</w:t>
      </w:r>
      <w:r w:rsidR="00F76B6E">
        <w:rPr>
          <w:b w:val="0"/>
          <w:bCs/>
          <w:shd w:val="clear" w:color="auto" w:fill="FFFFFF"/>
        </w:rPr>
        <w:t>1</w:t>
      </w:r>
      <w:r w:rsidR="008238DE">
        <w:rPr>
          <w:b w:val="0"/>
          <w:bCs/>
          <w:shd w:val="clear" w:color="auto" w:fill="FFFFFF"/>
        </w:rPr>
        <w:t>.</w:t>
      </w:r>
      <w:r w:rsidR="00F76B6E">
        <w:rPr>
          <w:b w:val="0"/>
          <w:bCs/>
          <w:shd w:val="clear" w:color="auto" w:fill="FFFFFF"/>
        </w:rPr>
        <w:t xml:space="preserve"> papunktį</w:t>
      </w:r>
      <w:r w:rsidR="00F76B6E" w:rsidRPr="00CE6760">
        <w:rPr>
          <w:b w:val="0"/>
          <w:bCs/>
          <w:shd w:val="clear" w:color="auto" w:fill="FFFFFF"/>
        </w:rPr>
        <w:t xml:space="preserve"> siūloma pakeisti ir j</w:t>
      </w:r>
      <w:r w:rsidR="00F76B6E">
        <w:rPr>
          <w:b w:val="0"/>
          <w:bCs/>
          <w:shd w:val="clear" w:color="auto" w:fill="FFFFFF"/>
        </w:rPr>
        <w:t>į</w:t>
      </w:r>
      <w:r w:rsidR="00F76B6E" w:rsidRPr="00CE6760">
        <w:rPr>
          <w:b w:val="0"/>
          <w:bCs/>
          <w:shd w:val="clear" w:color="auto" w:fill="FFFFFF"/>
        </w:rPr>
        <w:t xml:space="preserve"> išdėstyti taip:</w:t>
      </w:r>
    </w:p>
    <w:p w14:paraId="3E6B349A" w14:textId="049A9F5D" w:rsidR="00F802E7" w:rsidRDefault="0013644B" w:rsidP="003441D9">
      <w:pPr>
        <w:ind w:firstLine="630"/>
        <w:rPr>
          <w:b w:val="0"/>
          <w:bCs/>
          <w:shd w:val="clear" w:color="auto" w:fill="FFFFFF"/>
        </w:rPr>
      </w:pPr>
      <w:r>
        <w:rPr>
          <w:b w:val="0"/>
          <w:bCs/>
          <w:shd w:val="clear" w:color="auto" w:fill="FFFFFF"/>
        </w:rPr>
        <w:t>„</w:t>
      </w:r>
      <w:r w:rsidRPr="0013644B">
        <w:rPr>
          <w:b w:val="0"/>
          <w:bCs/>
          <w:shd w:val="clear" w:color="auto" w:fill="FFFFFF"/>
        </w:rPr>
        <w:t>PSO</w:t>
      </w:r>
      <w:r>
        <w:rPr>
          <w:b w:val="0"/>
          <w:bCs/>
          <w:shd w:val="clear" w:color="auto" w:fill="FFFFFF"/>
        </w:rPr>
        <w:t xml:space="preserve"> </w:t>
      </w:r>
      <w:r w:rsidRPr="00F802E7">
        <w:rPr>
          <w:shd w:val="clear" w:color="auto" w:fill="FFFFFF"/>
        </w:rPr>
        <w:t>ar STO</w:t>
      </w:r>
      <w:r w:rsidRPr="0013644B">
        <w:rPr>
          <w:b w:val="0"/>
          <w:bCs/>
          <w:shd w:val="clear" w:color="auto" w:fill="FFFFFF"/>
        </w:rPr>
        <w:t xml:space="preserve"> Energetikos ministerijai pateikia informaciją, kuri gali būti priežastimi skelbti elektros energetikos sektoriaus krizę;</w:t>
      </w:r>
      <w:r w:rsidR="00A80FC8">
        <w:rPr>
          <w:b w:val="0"/>
          <w:bCs/>
          <w:shd w:val="clear" w:color="auto" w:fill="FFFFFF"/>
        </w:rPr>
        <w:t>“</w:t>
      </w:r>
      <w:r>
        <w:rPr>
          <w:b w:val="0"/>
          <w:bCs/>
          <w:shd w:val="clear" w:color="auto" w:fill="FFFFFF"/>
        </w:rPr>
        <w:t>.</w:t>
      </w:r>
    </w:p>
    <w:p w14:paraId="4218051F" w14:textId="27CEF86D" w:rsidR="00F802E7" w:rsidRDefault="000E14B3" w:rsidP="003441D9">
      <w:pPr>
        <w:ind w:firstLine="630"/>
        <w:rPr>
          <w:b w:val="0"/>
          <w:bCs/>
          <w:shd w:val="clear" w:color="auto" w:fill="FFFFFF"/>
        </w:rPr>
      </w:pPr>
      <w:r w:rsidRPr="000E14B3">
        <w:rPr>
          <w:b w:val="0"/>
          <w:bCs/>
          <w:shd w:val="clear" w:color="auto" w:fill="FFFFFF"/>
        </w:rPr>
        <w:t>9. Projekto 36 punkte nurodoma, kad PSO ir STO teikia informaciją Energetikos ministerijai apie gresiančią ar įvykusią elektros energetikos sektoriaus krizę. Tačiau krizė bus dar tik paskelbta Vyriausybės</w:t>
      </w:r>
      <w:r w:rsidR="002A6394">
        <w:rPr>
          <w:b w:val="0"/>
          <w:bCs/>
          <w:shd w:val="clear" w:color="auto" w:fill="FFFFFF"/>
        </w:rPr>
        <w:t>,</w:t>
      </w:r>
      <w:r w:rsidRPr="000E14B3">
        <w:rPr>
          <w:b w:val="0"/>
          <w:bCs/>
          <w:shd w:val="clear" w:color="auto" w:fill="FFFFFF"/>
        </w:rPr>
        <w:t xml:space="preserve"> kaip nurodyta Projekto 38 punkte, todėl kyla klausimas, ar PSO ir STO patys nusprendžia, kad gresia ar įvyko elektros energetikos sektoriaus krizė ir teikia informaciją Energetikos ministerijai, ar Energetikos ministerija kreipiasi į PSO ir STO dėl informacijos pateikimo? Taip pat kyla klausimas, ar Energetikos ministerija</w:t>
      </w:r>
      <w:r w:rsidR="002A6394">
        <w:rPr>
          <w:b w:val="0"/>
          <w:bCs/>
          <w:shd w:val="clear" w:color="auto" w:fill="FFFFFF"/>
        </w:rPr>
        <w:t>,</w:t>
      </w:r>
      <w:r w:rsidRPr="000E14B3">
        <w:rPr>
          <w:b w:val="0"/>
          <w:bCs/>
          <w:shd w:val="clear" w:color="auto" w:fill="FFFFFF"/>
        </w:rPr>
        <w:t xml:space="preserve"> tik sulaukusi informacijos iš PSO ir (ar) STO, įvertintų ar inicijuot</w:t>
      </w:r>
      <w:r w:rsidR="002A6394">
        <w:rPr>
          <w:b w:val="0"/>
          <w:bCs/>
          <w:shd w:val="clear" w:color="auto" w:fill="FFFFFF"/>
        </w:rPr>
        <w:t>ų</w:t>
      </w:r>
      <w:r w:rsidRPr="000E14B3">
        <w:rPr>
          <w:b w:val="0"/>
          <w:bCs/>
          <w:shd w:val="clear" w:color="auto" w:fill="FFFFFF"/>
        </w:rPr>
        <w:t xml:space="preserve"> elektros energetikos sektoriaus krizės paskelbimą? Abejojame, ar tuo atveju, pvz., jei paskelbiama karo padėtis</w:t>
      </w:r>
      <w:r w:rsidR="002A6394">
        <w:rPr>
          <w:b w:val="0"/>
          <w:bCs/>
          <w:shd w:val="clear" w:color="auto" w:fill="FFFFFF"/>
        </w:rPr>
        <w:t>,</w:t>
      </w:r>
      <w:r w:rsidRPr="000E14B3">
        <w:rPr>
          <w:b w:val="0"/>
          <w:bCs/>
          <w:shd w:val="clear" w:color="auto" w:fill="FFFFFF"/>
        </w:rPr>
        <w:t xml:space="preserve"> būtų tikslinga papildomai prašyti informacijos iš PSO ir STO, kad toliau </w:t>
      </w:r>
      <w:r w:rsidR="002A6394">
        <w:rPr>
          <w:b w:val="0"/>
          <w:bCs/>
          <w:shd w:val="clear" w:color="auto" w:fill="FFFFFF"/>
        </w:rPr>
        <w:t xml:space="preserve">būtų </w:t>
      </w:r>
      <w:r w:rsidRPr="000E14B3">
        <w:rPr>
          <w:b w:val="0"/>
          <w:bCs/>
          <w:shd w:val="clear" w:color="auto" w:fill="FFFFFF"/>
        </w:rPr>
        <w:t>inicijuot</w:t>
      </w:r>
      <w:r w:rsidR="002A6394">
        <w:rPr>
          <w:b w:val="0"/>
          <w:bCs/>
          <w:shd w:val="clear" w:color="auto" w:fill="FFFFFF"/>
        </w:rPr>
        <w:t>as</w:t>
      </w:r>
      <w:r w:rsidRPr="000E14B3">
        <w:rPr>
          <w:b w:val="0"/>
          <w:bCs/>
          <w:shd w:val="clear" w:color="auto" w:fill="FFFFFF"/>
        </w:rPr>
        <w:t xml:space="preserve"> elektros energetikos sektoriaus krizės paskelbim</w:t>
      </w:r>
      <w:r w:rsidR="002A6394">
        <w:rPr>
          <w:b w:val="0"/>
          <w:bCs/>
          <w:shd w:val="clear" w:color="auto" w:fill="FFFFFF"/>
        </w:rPr>
        <w:t>as</w:t>
      </w:r>
      <w:r w:rsidRPr="000E14B3">
        <w:rPr>
          <w:b w:val="0"/>
          <w:bCs/>
          <w:shd w:val="clear" w:color="auto" w:fill="FFFFFF"/>
        </w:rPr>
        <w:t>. Siūlome aiškumo dėlei 36 punkte vietoje „apie gresiančią ar įvykusią elektros energetikos sektoriaus krizę“ keisti „apie gresiantį ar įvykusį regioninį ar nacionalinį krizės scenarijų“.</w:t>
      </w:r>
    </w:p>
    <w:p w14:paraId="6265E30D" w14:textId="7A832859" w:rsidR="00F802E7" w:rsidRDefault="00F802E7" w:rsidP="003441D9">
      <w:pPr>
        <w:ind w:firstLine="630"/>
        <w:rPr>
          <w:b w:val="0"/>
          <w:bCs/>
          <w:shd w:val="clear" w:color="auto" w:fill="FFFFFF"/>
        </w:rPr>
      </w:pPr>
    </w:p>
    <w:p w14:paraId="14AFDC84" w14:textId="77777777" w:rsidR="000E14B3" w:rsidRDefault="000E14B3" w:rsidP="003441D9">
      <w:pPr>
        <w:ind w:firstLine="630"/>
        <w:rPr>
          <w:b w:val="0"/>
          <w:bCs/>
          <w:shd w:val="clear" w:color="auto" w:fill="FFFFFF"/>
        </w:rPr>
      </w:pPr>
    </w:p>
    <w:p w14:paraId="7A7A704F" w14:textId="46337239" w:rsidR="00F802E7" w:rsidRDefault="00F802E7" w:rsidP="003441D9">
      <w:pPr>
        <w:ind w:firstLine="630"/>
        <w:rPr>
          <w:b w:val="0"/>
          <w:bCs/>
          <w:shd w:val="clear" w:color="auto" w:fill="FFFFFF"/>
        </w:rPr>
      </w:pPr>
    </w:p>
    <w:p w14:paraId="078600BF" w14:textId="66D97437" w:rsidR="0066746A" w:rsidRDefault="003F1EF3">
      <w:pPr>
        <w:rPr>
          <w:b w:val="0"/>
          <w:color w:val="000000"/>
        </w:rPr>
      </w:pPr>
      <w:r w:rsidRPr="003F1EF3">
        <w:rPr>
          <w:b w:val="0"/>
          <w:color w:val="000000"/>
        </w:rPr>
        <w:t>Tarybos pirmininkė</w:t>
      </w:r>
      <w:r w:rsidRPr="003F1EF3">
        <w:rPr>
          <w:b w:val="0"/>
          <w:color w:val="000000"/>
        </w:rPr>
        <w:tab/>
      </w:r>
      <w:r w:rsidRPr="003F1EF3">
        <w:rPr>
          <w:b w:val="0"/>
          <w:color w:val="000000"/>
        </w:rPr>
        <w:tab/>
      </w:r>
      <w:r w:rsidRPr="003F1EF3">
        <w:rPr>
          <w:b w:val="0"/>
          <w:color w:val="000000"/>
        </w:rPr>
        <w:tab/>
      </w:r>
      <w:r w:rsidRPr="003F1EF3">
        <w:rPr>
          <w:b w:val="0"/>
          <w:color w:val="000000"/>
        </w:rPr>
        <w:tab/>
      </w:r>
      <w:r w:rsidRPr="003F1EF3">
        <w:rPr>
          <w:b w:val="0"/>
          <w:color w:val="000000"/>
        </w:rPr>
        <w:tab/>
      </w:r>
      <w:r w:rsidRPr="003F1EF3">
        <w:rPr>
          <w:b w:val="0"/>
          <w:color w:val="000000"/>
        </w:rPr>
        <w:tab/>
      </w:r>
      <w:r w:rsidRPr="003F1EF3">
        <w:rPr>
          <w:b w:val="0"/>
          <w:color w:val="000000"/>
        </w:rPr>
        <w:tab/>
      </w:r>
      <w:r w:rsidRPr="003F1EF3">
        <w:rPr>
          <w:b w:val="0"/>
          <w:color w:val="000000"/>
        </w:rPr>
        <w:tab/>
      </w:r>
      <w:r w:rsidRPr="003F1EF3">
        <w:rPr>
          <w:b w:val="0"/>
          <w:color w:val="000000"/>
        </w:rPr>
        <w:tab/>
        <w:t xml:space="preserve">     Inga Žilienė</w:t>
      </w:r>
    </w:p>
    <w:p w14:paraId="66A61C72" w14:textId="38F00E7C" w:rsidR="00C417B7" w:rsidRDefault="00C417B7" w:rsidP="009445E4">
      <w:pPr>
        <w:rPr>
          <w:b w:val="0"/>
          <w:color w:val="000000"/>
        </w:rPr>
      </w:pPr>
    </w:p>
    <w:p w14:paraId="6C688F4C" w14:textId="024E582A" w:rsidR="00303522" w:rsidRDefault="00303522" w:rsidP="009445E4">
      <w:pPr>
        <w:rPr>
          <w:b w:val="0"/>
          <w:color w:val="000000"/>
        </w:rPr>
      </w:pPr>
    </w:p>
    <w:p w14:paraId="0C9B9236" w14:textId="77777777" w:rsidR="00303522" w:rsidRDefault="00303522" w:rsidP="009445E4">
      <w:pPr>
        <w:rPr>
          <w:b w:val="0"/>
          <w:color w:val="000000"/>
        </w:rPr>
      </w:pPr>
    </w:p>
    <w:p w14:paraId="01F01BAB" w14:textId="77777777" w:rsidR="0013644B" w:rsidRDefault="0013644B" w:rsidP="0013644B">
      <w:pPr>
        <w:rPr>
          <w:rStyle w:val="Hyperlink"/>
          <w:b w:val="0"/>
          <w:bCs/>
          <w:color w:val="auto"/>
          <w:u w:val="none"/>
          <w:lang w:val="en-US"/>
        </w:rPr>
      </w:pPr>
      <w:r>
        <w:rPr>
          <w:b w:val="0"/>
          <w:bCs/>
        </w:rPr>
        <w:t>V</w:t>
      </w:r>
      <w:r w:rsidRPr="00C90773">
        <w:rPr>
          <w:b w:val="0"/>
          <w:bCs/>
        </w:rPr>
        <w:t xml:space="preserve">. </w:t>
      </w:r>
      <w:r>
        <w:rPr>
          <w:b w:val="0"/>
          <w:bCs/>
        </w:rPr>
        <w:t>Jucius</w:t>
      </w:r>
      <w:r w:rsidRPr="00C90773">
        <w:rPr>
          <w:b w:val="0"/>
          <w:bCs/>
        </w:rPr>
        <w:t>, tel. (</w:t>
      </w:r>
      <w:r w:rsidRPr="00C90773">
        <w:rPr>
          <w:b w:val="0"/>
          <w:bCs/>
          <w:lang w:val="en-US"/>
        </w:rPr>
        <w:t xml:space="preserve">8 </w:t>
      </w:r>
      <w:r>
        <w:rPr>
          <w:b w:val="0"/>
          <w:bCs/>
          <w:lang w:val="en-US"/>
        </w:rPr>
        <w:t>5</w:t>
      </w:r>
      <w:r w:rsidRPr="00C90773">
        <w:rPr>
          <w:b w:val="0"/>
          <w:bCs/>
          <w:lang w:val="en-US"/>
        </w:rPr>
        <w:t xml:space="preserve">) </w:t>
      </w:r>
      <w:r>
        <w:rPr>
          <w:b w:val="0"/>
          <w:bCs/>
          <w:lang w:val="en-US"/>
        </w:rPr>
        <w:t>213 5342</w:t>
      </w:r>
      <w:r w:rsidRPr="00C90773">
        <w:rPr>
          <w:b w:val="0"/>
          <w:bCs/>
          <w:lang w:val="en-US"/>
        </w:rPr>
        <w:t xml:space="preserve">, el. p. </w:t>
      </w:r>
      <w:hyperlink r:id="rId12" w:history="1">
        <w:r>
          <w:rPr>
            <w:rStyle w:val="Hyperlink"/>
            <w:b w:val="0"/>
            <w:bCs/>
            <w:color w:val="auto"/>
            <w:u w:val="none"/>
            <w:lang w:val="en-US"/>
          </w:rPr>
          <w:t>vytautas</w:t>
        </w:r>
        <w:r w:rsidRPr="00C90773">
          <w:rPr>
            <w:rStyle w:val="Hyperlink"/>
            <w:b w:val="0"/>
            <w:bCs/>
            <w:color w:val="auto"/>
            <w:u w:val="none"/>
            <w:lang w:val="en-US"/>
          </w:rPr>
          <w:t>.j</w:t>
        </w:r>
        <w:r>
          <w:rPr>
            <w:rStyle w:val="Hyperlink"/>
            <w:b w:val="0"/>
            <w:bCs/>
            <w:color w:val="auto"/>
            <w:u w:val="none"/>
            <w:lang w:val="en-US"/>
          </w:rPr>
          <w:t>ucius</w:t>
        </w:r>
        <w:r w:rsidRPr="00C90773">
          <w:rPr>
            <w:rStyle w:val="Hyperlink"/>
            <w:b w:val="0"/>
            <w:bCs/>
            <w:color w:val="auto"/>
            <w:u w:val="none"/>
            <w:lang w:val="en-US"/>
          </w:rPr>
          <w:t>@vert.lt</w:t>
        </w:r>
      </w:hyperlink>
    </w:p>
    <w:p w14:paraId="0FA00ED1" w14:textId="43D70BCC" w:rsidR="00610790" w:rsidRPr="00C90773" w:rsidRDefault="002072E4" w:rsidP="002072E4">
      <w:pPr>
        <w:jc w:val="right"/>
        <w:rPr>
          <w:b w:val="0"/>
          <w:bCs/>
          <w:lang w:val="en-US"/>
        </w:rPr>
      </w:pPr>
      <w:r>
        <w:rPr>
          <w:rStyle w:val="Hyperlink"/>
          <w:b w:val="0"/>
          <w:bCs/>
          <w:noProof/>
          <w:color w:val="auto"/>
          <w:u w:val="none"/>
          <w:lang w:val="en-US"/>
        </w:rPr>
        <w:drawing>
          <wp:inline distT="0" distB="0" distL="0" distR="0" wp14:anchorId="16B63DE7" wp14:editId="62227048">
            <wp:extent cx="1591310" cy="633730"/>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1310" cy="633730"/>
                    </a:xfrm>
                    <a:prstGeom prst="rect">
                      <a:avLst/>
                    </a:prstGeom>
                    <a:noFill/>
                  </pic:spPr>
                </pic:pic>
              </a:graphicData>
            </a:graphic>
          </wp:inline>
        </w:drawing>
      </w:r>
      <w:r>
        <w:rPr>
          <w:rStyle w:val="Hyperlink"/>
          <w:b w:val="0"/>
          <w:bCs/>
          <w:noProof/>
          <w:color w:val="auto"/>
          <w:u w:val="none"/>
          <w:lang w:val="en-US"/>
        </w:rPr>
        <w:drawing>
          <wp:inline distT="0" distB="0" distL="0" distR="0" wp14:anchorId="1696CCB2" wp14:editId="4C389251">
            <wp:extent cx="841375" cy="63373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1375" cy="633730"/>
                    </a:xfrm>
                    <a:prstGeom prst="rect">
                      <a:avLst/>
                    </a:prstGeom>
                    <a:noFill/>
                  </pic:spPr>
                </pic:pic>
              </a:graphicData>
            </a:graphic>
          </wp:inline>
        </w:drawing>
      </w:r>
    </w:p>
    <w:sectPr w:rsidR="00610790" w:rsidRPr="00C90773" w:rsidSect="00303522">
      <w:footerReference w:type="even" r:id="rId15"/>
      <w:footerReference w:type="default" r:id="rId16"/>
      <w:footerReference w:type="first" r:id="rId17"/>
      <w:pgSz w:w="11906" w:h="16838" w:code="9"/>
      <w:pgMar w:top="1134" w:right="567" w:bottom="993" w:left="1701" w:header="720" w:footer="720" w:gutter="0"/>
      <w:pgNumType w:start="1"/>
      <w:cols w:space="72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A49B2" w14:textId="77777777" w:rsidR="00EB6E5F" w:rsidRDefault="00EB6E5F">
      <w:r>
        <w:separator/>
      </w:r>
    </w:p>
  </w:endnote>
  <w:endnote w:type="continuationSeparator" w:id="0">
    <w:p w14:paraId="1D32B6AA" w14:textId="77777777" w:rsidR="00EB6E5F" w:rsidRDefault="00EB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charset w:val="BA"/>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600EC" w14:textId="77777777" w:rsidR="00496A40" w:rsidRDefault="00496A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8600ED" w14:textId="77777777" w:rsidR="00496A40" w:rsidRDefault="00496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EBA39" w14:textId="65A69CB7" w:rsidR="00496A40" w:rsidRDefault="00496A40" w:rsidP="00C417B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600EE" w14:textId="4F091C22" w:rsidR="00496A40" w:rsidRDefault="00496A40">
    <w:pPr>
      <w:pStyle w:val="Footer"/>
      <w:jc w:val="right"/>
      <w:rPr>
        <w:sz w:val="16"/>
      </w:rPr>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90C19" w14:textId="77777777" w:rsidR="00EB6E5F" w:rsidRDefault="00EB6E5F">
      <w:r>
        <w:separator/>
      </w:r>
    </w:p>
  </w:footnote>
  <w:footnote w:type="continuationSeparator" w:id="0">
    <w:p w14:paraId="78311906" w14:textId="77777777" w:rsidR="00EB6E5F" w:rsidRDefault="00EB6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232F"/>
    <w:multiLevelType w:val="hybridMultilevel"/>
    <w:tmpl w:val="DA8CE01A"/>
    <w:lvl w:ilvl="0" w:tplc="C37CE110">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110EB3"/>
    <w:multiLevelType w:val="hybridMultilevel"/>
    <w:tmpl w:val="BEE86A6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F243F"/>
    <w:multiLevelType w:val="hybridMultilevel"/>
    <w:tmpl w:val="1320F0F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B5669"/>
    <w:multiLevelType w:val="hybridMultilevel"/>
    <w:tmpl w:val="5CE8A902"/>
    <w:lvl w:ilvl="0" w:tplc="B9322C3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72F57DA6"/>
    <w:multiLevelType w:val="multilevel"/>
    <w:tmpl w:val="6D4EA78E"/>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6F"/>
    <w:rsid w:val="00000A36"/>
    <w:rsid w:val="0000619D"/>
    <w:rsid w:val="0001040C"/>
    <w:rsid w:val="00016ADC"/>
    <w:rsid w:val="00020096"/>
    <w:rsid w:val="00030018"/>
    <w:rsid w:val="000429E3"/>
    <w:rsid w:val="000514EA"/>
    <w:rsid w:val="00052DAA"/>
    <w:rsid w:val="00074FBA"/>
    <w:rsid w:val="00082869"/>
    <w:rsid w:val="00083441"/>
    <w:rsid w:val="00095DCB"/>
    <w:rsid w:val="00097631"/>
    <w:rsid w:val="000A75E2"/>
    <w:rsid w:val="000B14FF"/>
    <w:rsid w:val="000C6DE7"/>
    <w:rsid w:val="000C7511"/>
    <w:rsid w:val="000C788A"/>
    <w:rsid w:val="000E14B3"/>
    <w:rsid w:val="000E7D37"/>
    <w:rsid w:val="000F43A6"/>
    <w:rsid w:val="001119E7"/>
    <w:rsid w:val="00125F39"/>
    <w:rsid w:val="001354CB"/>
    <w:rsid w:val="0013644B"/>
    <w:rsid w:val="001544E9"/>
    <w:rsid w:val="00155551"/>
    <w:rsid w:val="0016741A"/>
    <w:rsid w:val="00171348"/>
    <w:rsid w:val="001749E8"/>
    <w:rsid w:val="001956DC"/>
    <w:rsid w:val="001A2EA4"/>
    <w:rsid w:val="001C429E"/>
    <w:rsid w:val="001D6DDC"/>
    <w:rsid w:val="001E1566"/>
    <w:rsid w:val="001E65BD"/>
    <w:rsid w:val="001F4AA1"/>
    <w:rsid w:val="001F5467"/>
    <w:rsid w:val="00204E92"/>
    <w:rsid w:val="002072E4"/>
    <w:rsid w:val="00213AC5"/>
    <w:rsid w:val="0022348C"/>
    <w:rsid w:val="00224142"/>
    <w:rsid w:val="00266727"/>
    <w:rsid w:val="00275912"/>
    <w:rsid w:val="00280F75"/>
    <w:rsid w:val="00286641"/>
    <w:rsid w:val="00287439"/>
    <w:rsid w:val="00291298"/>
    <w:rsid w:val="002A4D64"/>
    <w:rsid w:val="002A6394"/>
    <w:rsid w:val="002C43A4"/>
    <w:rsid w:val="002D1E7E"/>
    <w:rsid w:val="002D253B"/>
    <w:rsid w:val="002D4416"/>
    <w:rsid w:val="002D5964"/>
    <w:rsid w:val="002E2DB4"/>
    <w:rsid w:val="002F7693"/>
    <w:rsid w:val="00300FCE"/>
    <w:rsid w:val="00303522"/>
    <w:rsid w:val="00305BDA"/>
    <w:rsid w:val="00307E8D"/>
    <w:rsid w:val="00310143"/>
    <w:rsid w:val="00311140"/>
    <w:rsid w:val="00313ECF"/>
    <w:rsid w:val="003161A4"/>
    <w:rsid w:val="003212BB"/>
    <w:rsid w:val="003224CB"/>
    <w:rsid w:val="00335558"/>
    <w:rsid w:val="003440F7"/>
    <w:rsid w:val="003441D9"/>
    <w:rsid w:val="00350104"/>
    <w:rsid w:val="003536F8"/>
    <w:rsid w:val="00364299"/>
    <w:rsid w:val="00371EF8"/>
    <w:rsid w:val="003A4392"/>
    <w:rsid w:val="003A4998"/>
    <w:rsid w:val="003B645B"/>
    <w:rsid w:val="003B78AB"/>
    <w:rsid w:val="003C0A3E"/>
    <w:rsid w:val="003C2A7F"/>
    <w:rsid w:val="003D2815"/>
    <w:rsid w:val="003D32AD"/>
    <w:rsid w:val="003D381A"/>
    <w:rsid w:val="003D7E3E"/>
    <w:rsid w:val="003E317E"/>
    <w:rsid w:val="003F089A"/>
    <w:rsid w:val="003F1EF3"/>
    <w:rsid w:val="003F63F3"/>
    <w:rsid w:val="003F6A57"/>
    <w:rsid w:val="00417D38"/>
    <w:rsid w:val="00420B0F"/>
    <w:rsid w:val="0042383E"/>
    <w:rsid w:val="0044553F"/>
    <w:rsid w:val="00450C59"/>
    <w:rsid w:val="00462C86"/>
    <w:rsid w:val="0046472E"/>
    <w:rsid w:val="00470849"/>
    <w:rsid w:val="00480363"/>
    <w:rsid w:val="00480924"/>
    <w:rsid w:val="0048111C"/>
    <w:rsid w:val="004949BD"/>
    <w:rsid w:val="00495A06"/>
    <w:rsid w:val="00496A40"/>
    <w:rsid w:val="004B120E"/>
    <w:rsid w:val="004D4C64"/>
    <w:rsid w:val="004E6475"/>
    <w:rsid w:val="004E7D73"/>
    <w:rsid w:val="004F20D7"/>
    <w:rsid w:val="004F7574"/>
    <w:rsid w:val="0050040B"/>
    <w:rsid w:val="005021B4"/>
    <w:rsid w:val="005047F5"/>
    <w:rsid w:val="00513351"/>
    <w:rsid w:val="00524BFA"/>
    <w:rsid w:val="005345EC"/>
    <w:rsid w:val="00534785"/>
    <w:rsid w:val="00537D57"/>
    <w:rsid w:val="00555D55"/>
    <w:rsid w:val="0055763E"/>
    <w:rsid w:val="00565B45"/>
    <w:rsid w:val="00570EA5"/>
    <w:rsid w:val="005741F2"/>
    <w:rsid w:val="00584CCE"/>
    <w:rsid w:val="00590D9E"/>
    <w:rsid w:val="0059319D"/>
    <w:rsid w:val="00593E57"/>
    <w:rsid w:val="00596335"/>
    <w:rsid w:val="005B23DE"/>
    <w:rsid w:val="005C7DA2"/>
    <w:rsid w:val="005E492C"/>
    <w:rsid w:val="005E4CE6"/>
    <w:rsid w:val="0060015E"/>
    <w:rsid w:val="00610127"/>
    <w:rsid w:val="00610790"/>
    <w:rsid w:val="00613264"/>
    <w:rsid w:val="0061416D"/>
    <w:rsid w:val="00617F10"/>
    <w:rsid w:val="006258E6"/>
    <w:rsid w:val="00634501"/>
    <w:rsid w:val="00655833"/>
    <w:rsid w:val="00656363"/>
    <w:rsid w:val="00660C88"/>
    <w:rsid w:val="00664B83"/>
    <w:rsid w:val="0066746A"/>
    <w:rsid w:val="0067571F"/>
    <w:rsid w:val="0067584B"/>
    <w:rsid w:val="00677E60"/>
    <w:rsid w:val="006807AC"/>
    <w:rsid w:val="00684B40"/>
    <w:rsid w:val="006932EA"/>
    <w:rsid w:val="00694524"/>
    <w:rsid w:val="006A0159"/>
    <w:rsid w:val="006B1B0C"/>
    <w:rsid w:val="006B256B"/>
    <w:rsid w:val="006B6CAF"/>
    <w:rsid w:val="006D07CE"/>
    <w:rsid w:val="006D2753"/>
    <w:rsid w:val="006D3D32"/>
    <w:rsid w:val="006D4AC7"/>
    <w:rsid w:val="006F50ED"/>
    <w:rsid w:val="007034BE"/>
    <w:rsid w:val="007057DA"/>
    <w:rsid w:val="00714827"/>
    <w:rsid w:val="00730A6F"/>
    <w:rsid w:val="0073432D"/>
    <w:rsid w:val="00745FE3"/>
    <w:rsid w:val="00746FE9"/>
    <w:rsid w:val="007519B4"/>
    <w:rsid w:val="007572F2"/>
    <w:rsid w:val="00761968"/>
    <w:rsid w:val="00763B13"/>
    <w:rsid w:val="00765017"/>
    <w:rsid w:val="00770876"/>
    <w:rsid w:val="007713B2"/>
    <w:rsid w:val="007715B7"/>
    <w:rsid w:val="00773E3A"/>
    <w:rsid w:val="00774BBC"/>
    <w:rsid w:val="00783773"/>
    <w:rsid w:val="00786B5E"/>
    <w:rsid w:val="00795DBD"/>
    <w:rsid w:val="007A19E7"/>
    <w:rsid w:val="007B3354"/>
    <w:rsid w:val="007B73C2"/>
    <w:rsid w:val="007C67C3"/>
    <w:rsid w:val="007D0F11"/>
    <w:rsid w:val="007D4B4F"/>
    <w:rsid w:val="007E6C3C"/>
    <w:rsid w:val="007F7A2C"/>
    <w:rsid w:val="00800585"/>
    <w:rsid w:val="00803E88"/>
    <w:rsid w:val="00805273"/>
    <w:rsid w:val="00815090"/>
    <w:rsid w:val="008209F7"/>
    <w:rsid w:val="00822AE0"/>
    <w:rsid w:val="008238DE"/>
    <w:rsid w:val="00827271"/>
    <w:rsid w:val="008307C5"/>
    <w:rsid w:val="00834524"/>
    <w:rsid w:val="00835509"/>
    <w:rsid w:val="00841F3E"/>
    <w:rsid w:val="00843B88"/>
    <w:rsid w:val="00850401"/>
    <w:rsid w:val="00855819"/>
    <w:rsid w:val="00866974"/>
    <w:rsid w:val="0088017A"/>
    <w:rsid w:val="0088137C"/>
    <w:rsid w:val="00883D6F"/>
    <w:rsid w:val="00885F3B"/>
    <w:rsid w:val="00897D4B"/>
    <w:rsid w:val="008A579D"/>
    <w:rsid w:val="008B2132"/>
    <w:rsid w:val="008B4324"/>
    <w:rsid w:val="008B5F38"/>
    <w:rsid w:val="008C09C1"/>
    <w:rsid w:val="008D5E06"/>
    <w:rsid w:val="008E274E"/>
    <w:rsid w:val="008E3C32"/>
    <w:rsid w:val="008E7152"/>
    <w:rsid w:val="008F0B57"/>
    <w:rsid w:val="008F1351"/>
    <w:rsid w:val="008F15D1"/>
    <w:rsid w:val="008F7DE8"/>
    <w:rsid w:val="0090078B"/>
    <w:rsid w:val="00922CAD"/>
    <w:rsid w:val="009267BE"/>
    <w:rsid w:val="00931546"/>
    <w:rsid w:val="009409A4"/>
    <w:rsid w:val="00941421"/>
    <w:rsid w:val="009445E4"/>
    <w:rsid w:val="009448B8"/>
    <w:rsid w:val="0095422C"/>
    <w:rsid w:val="0099529F"/>
    <w:rsid w:val="009A486C"/>
    <w:rsid w:val="009B025D"/>
    <w:rsid w:val="009B2A56"/>
    <w:rsid w:val="009C1B5F"/>
    <w:rsid w:val="009E127F"/>
    <w:rsid w:val="009F1282"/>
    <w:rsid w:val="009F4141"/>
    <w:rsid w:val="00A01317"/>
    <w:rsid w:val="00A21DD0"/>
    <w:rsid w:val="00A2254E"/>
    <w:rsid w:val="00A247B1"/>
    <w:rsid w:val="00A254D2"/>
    <w:rsid w:val="00A30C6C"/>
    <w:rsid w:val="00A3634F"/>
    <w:rsid w:val="00A37643"/>
    <w:rsid w:val="00A456A6"/>
    <w:rsid w:val="00A52428"/>
    <w:rsid w:val="00A61EEA"/>
    <w:rsid w:val="00A635E7"/>
    <w:rsid w:val="00A7047B"/>
    <w:rsid w:val="00A80FC8"/>
    <w:rsid w:val="00A83646"/>
    <w:rsid w:val="00A9634E"/>
    <w:rsid w:val="00AA5FD0"/>
    <w:rsid w:val="00AA7B2D"/>
    <w:rsid w:val="00AB6A4C"/>
    <w:rsid w:val="00AB7B4F"/>
    <w:rsid w:val="00AC3C77"/>
    <w:rsid w:val="00AC40AE"/>
    <w:rsid w:val="00AD3BD7"/>
    <w:rsid w:val="00AF2EB2"/>
    <w:rsid w:val="00AF6679"/>
    <w:rsid w:val="00B00B6A"/>
    <w:rsid w:val="00B1343F"/>
    <w:rsid w:val="00B25D19"/>
    <w:rsid w:val="00B262D3"/>
    <w:rsid w:val="00B425F5"/>
    <w:rsid w:val="00B472A3"/>
    <w:rsid w:val="00B54244"/>
    <w:rsid w:val="00B60BFA"/>
    <w:rsid w:val="00B64FE0"/>
    <w:rsid w:val="00B66EBA"/>
    <w:rsid w:val="00B70987"/>
    <w:rsid w:val="00B80E39"/>
    <w:rsid w:val="00BA4CD9"/>
    <w:rsid w:val="00BA52B6"/>
    <w:rsid w:val="00BC166F"/>
    <w:rsid w:val="00BC31BC"/>
    <w:rsid w:val="00BD5B73"/>
    <w:rsid w:val="00BE3AE3"/>
    <w:rsid w:val="00BF2B65"/>
    <w:rsid w:val="00BF422C"/>
    <w:rsid w:val="00BF5BCA"/>
    <w:rsid w:val="00C10E3C"/>
    <w:rsid w:val="00C113F8"/>
    <w:rsid w:val="00C417B7"/>
    <w:rsid w:val="00C429EB"/>
    <w:rsid w:val="00C51628"/>
    <w:rsid w:val="00C51DA8"/>
    <w:rsid w:val="00C53CE8"/>
    <w:rsid w:val="00C56376"/>
    <w:rsid w:val="00C61E46"/>
    <w:rsid w:val="00C675E8"/>
    <w:rsid w:val="00C82CCA"/>
    <w:rsid w:val="00C85CF7"/>
    <w:rsid w:val="00C8764E"/>
    <w:rsid w:val="00C90773"/>
    <w:rsid w:val="00C93F52"/>
    <w:rsid w:val="00CA3ECF"/>
    <w:rsid w:val="00CC1014"/>
    <w:rsid w:val="00CD020B"/>
    <w:rsid w:val="00CD13B2"/>
    <w:rsid w:val="00CE2652"/>
    <w:rsid w:val="00CE50F2"/>
    <w:rsid w:val="00CE5B29"/>
    <w:rsid w:val="00CE6760"/>
    <w:rsid w:val="00CF2C6F"/>
    <w:rsid w:val="00CF2D49"/>
    <w:rsid w:val="00D008AF"/>
    <w:rsid w:val="00D04808"/>
    <w:rsid w:val="00D07EA6"/>
    <w:rsid w:val="00D1409D"/>
    <w:rsid w:val="00D142B8"/>
    <w:rsid w:val="00D16B86"/>
    <w:rsid w:val="00D17579"/>
    <w:rsid w:val="00D25B8F"/>
    <w:rsid w:val="00D347DC"/>
    <w:rsid w:val="00D5222F"/>
    <w:rsid w:val="00D64723"/>
    <w:rsid w:val="00D6582A"/>
    <w:rsid w:val="00D77E1A"/>
    <w:rsid w:val="00D86604"/>
    <w:rsid w:val="00D93A6B"/>
    <w:rsid w:val="00D94128"/>
    <w:rsid w:val="00D95829"/>
    <w:rsid w:val="00D96A1C"/>
    <w:rsid w:val="00DA1F51"/>
    <w:rsid w:val="00DA24DC"/>
    <w:rsid w:val="00DA33E0"/>
    <w:rsid w:val="00DA5456"/>
    <w:rsid w:val="00DA589D"/>
    <w:rsid w:val="00DB22D5"/>
    <w:rsid w:val="00DC064B"/>
    <w:rsid w:val="00DD4F90"/>
    <w:rsid w:val="00DE0357"/>
    <w:rsid w:val="00DF5DFE"/>
    <w:rsid w:val="00E10DDC"/>
    <w:rsid w:val="00E24E2C"/>
    <w:rsid w:val="00E328D9"/>
    <w:rsid w:val="00E332CC"/>
    <w:rsid w:val="00E438D5"/>
    <w:rsid w:val="00E454B7"/>
    <w:rsid w:val="00E45B67"/>
    <w:rsid w:val="00E669CC"/>
    <w:rsid w:val="00E72167"/>
    <w:rsid w:val="00E75148"/>
    <w:rsid w:val="00E8431D"/>
    <w:rsid w:val="00EA5267"/>
    <w:rsid w:val="00EB3C05"/>
    <w:rsid w:val="00EB5506"/>
    <w:rsid w:val="00EB6E5F"/>
    <w:rsid w:val="00ED4713"/>
    <w:rsid w:val="00ED733B"/>
    <w:rsid w:val="00F0218B"/>
    <w:rsid w:val="00F0535B"/>
    <w:rsid w:val="00F054FF"/>
    <w:rsid w:val="00F11C63"/>
    <w:rsid w:val="00F147F6"/>
    <w:rsid w:val="00F14AD5"/>
    <w:rsid w:val="00F16D53"/>
    <w:rsid w:val="00F41B7A"/>
    <w:rsid w:val="00F46390"/>
    <w:rsid w:val="00F54DA1"/>
    <w:rsid w:val="00F625F0"/>
    <w:rsid w:val="00F64383"/>
    <w:rsid w:val="00F7204F"/>
    <w:rsid w:val="00F76B6E"/>
    <w:rsid w:val="00F802E7"/>
    <w:rsid w:val="00F920D1"/>
    <w:rsid w:val="00F93C4A"/>
    <w:rsid w:val="00F93ED2"/>
    <w:rsid w:val="00F97F68"/>
    <w:rsid w:val="00FA4BFE"/>
    <w:rsid w:val="00FA6071"/>
    <w:rsid w:val="00FB1C82"/>
    <w:rsid w:val="00FB7DF6"/>
    <w:rsid w:val="00FC14A9"/>
    <w:rsid w:val="00FD20D0"/>
    <w:rsid w:val="00FD2D26"/>
    <w:rsid w:val="00FD30A2"/>
    <w:rsid w:val="00FE185C"/>
    <w:rsid w:val="00FE320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86009F"/>
  <w15:docId w15:val="{F97FB213-E0EC-4A38-9C1D-01EAA94A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CAF"/>
    <w:pPr>
      <w:jc w:val="both"/>
    </w:pPr>
    <w:rPr>
      <w:b/>
      <w:sz w:val="24"/>
      <w:szCs w:val="24"/>
      <w:lang w:eastAsia="en-US"/>
    </w:rPr>
  </w:style>
  <w:style w:type="paragraph" w:styleId="Heading1">
    <w:name w:val="heading 1"/>
    <w:basedOn w:val="Normal"/>
    <w:next w:val="Normal"/>
    <w:qFormat/>
    <w:rsid w:val="00C53CE8"/>
    <w:pPr>
      <w:keepNext/>
      <w:jc w:val="left"/>
      <w:outlineLvl w:val="0"/>
    </w:pPr>
    <w:rPr>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3CE8"/>
    <w:pPr>
      <w:tabs>
        <w:tab w:val="center" w:pos="4153"/>
        <w:tab w:val="right" w:pos="8306"/>
      </w:tabs>
    </w:pPr>
  </w:style>
  <w:style w:type="paragraph" w:styleId="Footer">
    <w:name w:val="footer"/>
    <w:basedOn w:val="Normal"/>
    <w:rsid w:val="00C53CE8"/>
    <w:pPr>
      <w:tabs>
        <w:tab w:val="center" w:pos="4153"/>
        <w:tab w:val="right" w:pos="8306"/>
      </w:tabs>
    </w:pPr>
  </w:style>
  <w:style w:type="character" w:styleId="PageNumber">
    <w:name w:val="page number"/>
    <w:basedOn w:val="DefaultParagraphFont"/>
    <w:rsid w:val="00C53CE8"/>
  </w:style>
  <w:style w:type="character" w:styleId="Hyperlink">
    <w:name w:val="Hyperlink"/>
    <w:rsid w:val="00C53CE8"/>
    <w:rPr>
      <w:color w:val="0000FF"/>
      <w:u w:val="single"/>
    </w:rPr>
  </w:style>
  <w:style w:type="paragraph" w:customStyle="1" w:styleId="BodyText1">
    <w:name w:val="Body Text1"/>
    <w:rsid w:val="00C53CE8"/>
    <w:pPr>
      <w:ind w:firstLine="312"/>
      <w:jc w:val="both"/>
    </w:pPr>
    <w:rPr>
      <w:rFonts w:ascii="TimesLT" w:hAnsi="TimesLT"/>
      <w:snapToGrid w:val="0"/>
      <w:lang w:val="en-US" w:eastAsia="en-US"/>
    </w:rPr>
  </w:style>
  <w:style w:type="paragraph" w:styleId="Title">
    <w:name w:val="Title"/>
    <w:basedOn w:val="Normal"/>
    <w:qFormat/>
    <w:rsid w:val="00C53CE8"/>
    <w:pPr>
      <w:spacing w:before="160"/>
      <w:jc w:val="center"/>
    </w:pPr>
    <w:rPr>
      <w:caps/>
      <w:color w:val="000000"/>
    </w:rPr>
  </w:style>
  <w:style w:type="paragraph" w:styleId="BalloonText">
    <w:name w:val="Balloon Text"/>
    <w:basedOn w:val="Normal"/>
    <w:link w:val="BalloonTextChar"/>
    <w:uiPriority w:val="99"/>
    <w:semiHidden/>
    <w:unhideWhenUsed/>
    <w:rsid w:val="00855819"/>
    <w:rPr>
      <w:rFonts w:ascii="Tahoma" w:hAnsi="Tahoma" w:cs="Tahoma"/>
      <w:sz w:val="16"/>
      <w:szCs w:val="16"/>
    </w:rPr>
  </w:style>
  <w:style w:type="character" w:customStyle="1" w:styleId="BalloonTextChar">
    <w:name w:val="Balloon Text Char"/>
    <w:basedOn w:val="DefaultParagraphFont"/>
    <w:link w:val="BalloonText"/>
    <w:uiPriority w:val="99"/>
    <w:semiHidden/>
    <w:rsid w:val="00855819"/>
    <w:rPr>
      <w:rFonts w:ascii="Tahoma" w:hAnsi="Tahoma" w:cs="Tahoma"/>
      <w:b/>
      <w:color w:val="FF0000"/>
      <w:sz w:val="16"/>
      <w:szCs w:val="16"/>
      <w:lang w:eastAsia="en-US"/>
    </w:rPr>
  </w:style>
  <w:style w:type="character" w:styleId="UnresolvedMention">
    <w:name w:val="Unresolved Mention"/>
    <w:basedOn w:val="DefaultParagraphFont"/>
    <w:uiPriority w:val="99"/>
    <w:semiHidden/>
    <w:unhideWhenUsed/>
    <w:rsid w:val="00C82CCA"/>
    <w:rPr>
      <w:color w:val="605E5C"/>
      <w:shd w:val="clear" w:color="auto" w:fill="E1DFDD"/>
    </w:rPr>
  </w:style>
  <w:style w:type="paragraph" w:styleId="ListParagraph">
    <w:name w:val="List Paragraph"/>
    <w:basedOn w:val="Normal"/>
    <w:uiPriority w:val="34"/>
    <w:qFormat/>
    <w:rsid w:val="009445E4"/>
    <w:pPr>
      <w:ind w:left="720"/>
      <w:contextualSpacing/>
    </w:pPr>
  </w:style>
  <w:style w:type="paragraph" w:customStyle="1" w:styleId="doc-ti">
    <w:name w:val="doc-ti"/>
    <w:basedOn w:val="Normal"/>
    <w:rsid w:val="0000619D"/>
    <w:pPr>
      <w:spacing w:before="240" w:after="120"/>
      <w:jc w:val="center"/>
    </w:pPr>
    <w:rPr>
      <w:bCs/>
      <w:lang w:eastAsia="lt-LT"/>
    </w:rPr>
  </w:style>
  <w:style w:type="paragraph" w:customStyle="1" w:styleId="ti-art">
    <w:name w:val="ti-art"/>
    <w:basedOn w:val="Normal"/>
    <w:rsid w:val="00774BBC"/>
    <w:pPr>
      <w:spacing w:before="100" w:beforeAutospacing="1" w:after="100" w:afterAutospacing="1"/>
      <w:jc w:val="left"/>
    </w:pPr>
    <w:rPr>
      <w:b w:val="0"/>
      <w:lang w:val="en-US"/>
    </w:rPr>
  </w:style>
  <w:style w:type="paragraph" w:customStyle="1" w:styleId="sti-art">
    <w:name w:val="sti-art"/>
    <w:basedOn w:val="Normal"/>
    <w:rsid w:val="00774BBC"/>
    <w:pPr>
      <w:spacing w:before="100" w:beforeAutospacing="1" w:after="100" w:afterAutospacing="1"/>
      <w:jc w:val="left"/>
    </w:pPr>
    <w:rPr>
      <w:b w:val="0"/>
      <w:lang w:val="en-US"/>
    </w:rPr>
  </w:style>
  <w:style w:type="paragraph" w:customStyle="1" w:styleId="Normal1">
    <w:name w:val="Normal1"/>
    <w:basedOn w:val="Normal"/>
    <w:rsid w:val="00774BBC"/>
    <w:pPr>
      <w:spacing w:before="100" w:beforeAutospacing="1" w:after="100" w:afterAutospacing="1"/>
      <w:jc w:val="left"/>
    </w:pPr>
    <w:rPr>
      <w:b w:val="0"/>
      <w:lang w:val="en-US"/>
    </w:rPr>
  </w:style>
  <w:style w:type="character" w:styleId="CommentReference">
    <w:name w:val="annotation reference"/>
    <w:basedOn w:val="DefaultParagraphFont"/>
    <w:uiPriority w:val="99"/>
    <w:semiHidden/>
    <w:unhideWhenUsed/>
    <w:rsid w:val="00DE0357"/>
    <w:rPr>
      <w:sz w:val="16"/>
      <w:szCs w:val="16"/>
    </w:rPr>
  </w:style>
  <w:style w:type="paragraph" w:styleId="CommentText">
    <w:name w:val="annotation text"/>
    <w:basedOn w:val="Normal"/>
    <w:link w:val="CommentTextChar"/>
    <w:uiPriority w:val="99"/>
    <w:semiHidden/>
    <w:unhideWhenUsed/>
    <w:rsid w:val="00DE0357"/>
    <w:rPr>
      <w:sz w:val="20"/>
      <w:szCs w:val="20"/>
    </w:rPr>
  </w:style>
  <w:style w:type="character" w:customStyle="1" w:styleId="CommentTextChar">
    <w:name w:val="Comment Text Char"/>
    <w:basedOn w:val="DefaultParagraphFont"/>
    <w:link w:val="CommentText"/>
    <w:uiPriority w:val="99"/>
    <w:semiHidden/>
    <w:rsid w:val="00DE0357"/>
    <w:rPr>
      <w:b/>
      <w:lang w:eastAsia="en-US"/>
    </w:rPr>
  </w:style>
  <w:style w:type="paragraph" w:styleId="CommentSubject">
    <w:name w:val="annotation subject"/>
    <w:basedOn w:val="CommentText"/>
    <w:next w:val="CommentText"/>
    <w:link w:val="CommentSubjectChar"/>
    <w:uiPriority w:val="99"/>
    <w:semiHidden/>
    <w:unhideWhenUsed/>
    <w:rsid w:val="00DE0357"/>
    <w:rPr>
      <w:bCs/>
    </w:rPr>
  </w:style>
  <w:style w:type="character" w:customStyle="1" w:styleId="CommentSubjectChar">
    <w:name w:val="Comment Subject Char"/>
    <w:basedOn w:val="CommentTextChar"/>
    <w:link w:val="CommentSubject"/>
    <w:uiPriority w:val="99"/>
    <w:semiHidden/>
    <w:rsid w:val="00DE0357"/>
    <w:rPr>
      <w:b/>
      <w:bCs/>
      <w:lang w:eastAsia="en-US"/>
    </w:rPr>
  </w:style>
  <w:style w:type="paragraph" w:customStyle="1" w:styleId="xmsonormal">
    <w:name w:val="x_msonormal"/>
    <w:basedOn w:val="Normal"/>
    <w:rsid w:val="006D3D32"/>
    <w:pPr>
      <w:spacing w:before="100" w:beforeAutospacing="1" w:after="100" w:afterAutospacing="1"/>
      <w:jc w:val="left"/>
    </w:pPr>
    <w:rPr>
      <w:b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040626">
      <w:bodyDiv w:val="1"/>
      <w:marLeft w:val="0"/>
      <w:marRight w:val="0"/>
      <w:marTop w:val="0"/>
      <w:marBottom w:val="0"/>
      <w:divBdr>
        <w:top w:val="none" w:sz="0" w:space="0" w:color="auto"/>
        <w:left w:val="none" w:sz="0" w:space="0" w:color="auto"/>
        <w:bottom w:val="none" w:sz="0" w:space="0" w:color="auto"/>
        <w:right w:val="none" w:sz="0" w:space="0" w:color="auto"/>
      </w:divBdr>
    </w:div>
    <w:div w:id="345863528">
      <w:bodyDiv w:val="1"/>
      <w:marLeft w:val="0"/>
      <w:marRight w:val="0"/>
      <w:marTop w:val="0"/>
      <w:marBottom w:val="0"/>
      <w:divBdr>
        <w:top w:val="none" w:sz="0" w:space="0" w:color="auto"/>
        <w:left w:val="none" w:sz="0" w:space="0" w:color="auto"/>
        <w:bottom w:val="none" w:sz="0" w:space="0" w:color="auto"/>
        <w:right w:val="none" w:sz="0" w:space="0" w:color="auto"/>
      </w:divBdr>
    </w:div>
    <w:div w:id="400326043">
      <w:bodyDiv w:val="1"/>
      <w:marLeft w:val="0"/>
      <w:marRight w:val="0"/>
      <w:marTop w:val="0"/>
      <w:marBottom w:val="0"/>
      <w:divBdr>
        <w:top w:val="none" w:sz="0" w:space="0" w:color="auto"/>
        <w:left w:val="none" w:sz="0" w:space="0" w:color="auto"/>
        <w:bottom w:val="none" w:sz="0" w:space="0" w:color="auto"/>
        <w:right w:val="none" w:sz="0" w:space="0" w:color="auto"/>
      </w:divBdr>
      <w:divsChild>
        <w:div w:id="311570163">
          <w:marLeft w:val="0"/>
          <w:marRight w:val="0"/>
          <w:marTop w:val="0"/>
          <w:marBottom w:val="0"/>
          <w:divBdr>
            <w:top w:val="none" w:sz="0" w:space="0" w:color="auto"/>
            <w:left w:val="none" w:sz="0" w:space="0" w:color="auto"/>
            <w:bottom w:val="none" w:sz="0" w:space="0" w:color="auto"/>
            <w:right w:val="none" w:sz="0" w:space="0" w:color="auto"/>
          </w:divBdr>
          <w:divsChild>
            <w:div w:id="30489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602569">
      <w:bodyDiv w:val="1"/>
      <w:marLeft w:val="0"/>
      <w:marRight w:val="0"/>
      <w:marTop w:val="0"/>
      <w:marBottom w:val="0"/>
      <w:divBdr>
        <w:top w:val="none" w:sz="0" w:space="0" w:color="auto"/>
        <w:left w:val="none" w:sz="0" w:space="0" w:color="auto"/>
        <w:bottom w:val="none" w:sz="0" w:space="0" w:color="auto"/>
        <w:right w:val="none" w:sz="0" w:space="0" w:color="auto"/>
      </w:divBdr>
    </w:div>
    <w:div w:id="782073765">
      <w:bodyDiv w:val="1"/>
      <w:marLeft w:val="0"/>
      <w:marRight w:val="0"/>
      <w:marTop w:val="0"/>
      <w:marBottom w:val="0"/>
      <w:divBdr>
        <w:top w:val="none" w:sz="0" w:space="0" w:color="auto"/>
        <w:left w:val="none" w:sz="0" w:space="0" w:color="auto"/>
        <w:bottom w:val="none" w:sz="0" w:space="0" w:color="auto"/>
        <w:right w:val="none" w:sz="0" w:space="0" w:color="auto"/>
      </w:divBdr>
    </w:div>
    <w:div w:id="1211262441">
      <w:bodyDiv w:val="1"/>
      <w:marLeft w:val="0"/>
      <w:marRight w:val="0"/>
      <w:marTop w:val="0"/>
      <w:marBottom w:val="0"/>
      <w:divBdr>
        <w:top w:val="none" w:sz="0" w:space="0" w:color="auto"/>
        <w:left w:val="none" w:sz="0" w:space="0" w:color="auto"/>
        <w:bottom w:val="none" w:sz="0" w:space="0" w:color="auto"/>
        <w:right w:val="none" w:sz="0" w:space="0" w:color="auto"/>
      </w:divBdr>
    </w:div>
    <w:div w:id="1342002942">
      <w:bodyDiv w:val="1"/>
      <w:marLeft w:val="0"/>
      <w:marRight w:val="0"/>
      <w:marTop w:val="0"/>
      <w:marBottom w:val="0"/>
      <w:divBdr>
        <w:top w:val="none" w:sz="0" w:space="0" w:color="auto"/>
        <w:left w:val="none" w:sz="0" w:space="0" w:color="auto"/>
        <w:bottom w:val="none" w:sz="0" w:space="0" w:color="auto"/>
        <w:right w:val="none" w:sz="0" w:space="0" w:color="auto"/>
      </w:divBdr>
    </w:div>
    <w:div w:id="196781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ailto:birute.jagminiene@vert.lt" TargetMode="External"
                 Type="http://schemas.openxmlformats.org/officeDocument/2006/relationships/hyperlink"/>
   <Relationship Id="rId13" Target="media/image2.png"
                 Type="http://schemas.openxmlformats.org/officeDocument/2006/relationships/image"/>
   <Relationship Id="rId14" Target="media/image3.png"
                 Type="http://schemas.openxmlformats.org/officeDocument/2006/relationships/image"/>
   <Relationship Id="rId15" Target="footer1.xml"
                 Type="http://schemas.openxmlformats.org/officeDocument/2006/relationships/footer"/>
   <Relationship Id="rId16" Target="footer2.xml"
                 Type="http://schemas.openxmlformats.org/officeDocument/2006/relationships/foot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x0069_523 xmlns="29e7eb3f-155a-450d-904e-359070550a65" xsi:nil="true"/>
    <Ataskaita xmlns="29e7eb3f-155a-450d-904e-359070550a65">
      <Url xsi:nil="true"/>
      <Description xsi:nil="true"/>
    </Ataskaita>
    <Renginys xmlns="29e7eb3f-155a-450d-904e-359070550a65" xsi:nil="true"/>
    <h xmlns="29e7eb3f-155a-450d-904e-359070550a65">
      <Url xsi:nil="true"/>
      <Description xsi:nil="true"/>
    </h>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54E5161A3754A4196E2DB03BACB7F16" ma:contentTypeVersion="17" ma:contentTypeDescription="Kurkite naują dokumentą." ma:contentTypeScope="" ma:versionID="27b2b7015d7b1d1ceee3a240eb1e6289">
  <xsd:schema xmlns:xsd="http://www.w3.org/2001/XMLSchema" xmlns:xs="http://www.w3.org/2001/XMLSchema" xmlns:p="http://schemas.microsoft.com/office/2006/metadata/properties" xmlns:ns1="http://schemas.microsoft.com/sharepoint/v3" xmlns:ns2="29e7eb3f-155a-450d-904e-359070550a65" xmlns:ns3="5dea7bed-63bd-4b8d-9669-0b4599cc90e9" targetNamespace="http://schemas.microsoft.com/office/2006/metadata/properties" ma:root="true" ma:fieldsID="da9c5f658ef824c778c800254cdd7dcc" ns1:_="" ns2:_="" ns3:_="">
    <xsd:import namespace="http://schemas.microsoft.com/sharepoint/v3"/>
    <xsd:import namespace="29e7eb3f-155a-450d-904e-359070550a65"/>
    <xsd:import namespace="5dea7bed-63bd-4b8d-9669-0b4599cc90e9"/>
    <xsd:element name="properties">
      <xsd:complexType>
        <xsd:sequence>
          <xsd:element name="documentManagement">
            <xsd:complexType>
              <xsd:all>
                <xsd:element ref="ns1:PublishingStartDate" minOccurs="0"/>
                <xsd:element ref="ns1:PublishingExpirationDate" minOccurs="0"/>
                <xsd:element ref="ns2:Ataskaita" minOccurs="0"/>
                <xsd:element ref="ns2:Renginys" minOccurs="0"/>
                <xsd:element ref="ns2:_x0069_523" minOccurs="0"/>
                <xsd:element ref="ns3:SharedWithUsers" minOccurs="0"/>
                <xsd:element ref="ns3:SharedWithDetails" minOccurs="0"/>
                <xsd:element ref="ns2:MediaServiceMetadata" minOccurs="0"/>
                <xsd:element ref="ns2:MediaServiceFastMetadata" minOccurs="0"/>
                <xsd:element ref="ns2:h"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hidden="true" ma:internalName="PublishingStartDate" ma:readOnly="fals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7eb3f-155a-450d-904e-359070550a65" elementFormDefault="qualified">
    <xsd:import namespace="http://schemas.microsoft.com/office/2006/documentManagement/types"/>
    <xsd:import namespace="http://schemas.microsoft.com/office/infopath/2007/PartnerControls"/>
    <xsd:element name="Ataskaita" ma:index="10" nillable="true" ma:displayName="Ataskaita" ma:format="Image" ma:internalName="Ataskaita">
      <xsd:complexType>
        <xsd:complexContent>
          <xsd:extension base="dms:URL">
            <xsd:sequence>
              <xsd:element name="Url" type="dms:ValidUrl" minOccurs="0" nillable="true"/>
              <xsd:element name="Description" type="xsd:string" nillable="true"/>
            </xsd:sequence>
          </xsd:extension>
        </xsd:complexContent>
      </xsd:complexType>
    </xsd:element>
    <xsd:element name="Renginys" ma:index="11" nillable="true" ma:displayName="Renginys" ma:internalName="Renginys">
      <xsd:simpleType>
        <xsd:restriction base="dms:Note">
          <xsd:maxLength value="255"/>
        </xsd:restriction>
      </xsd:simpleType>
    </xsd:element>
    <xsd:element name="_x0069_523" ma:index="12" nillable="true" ma:displayName="Tekstas" ma:internalName="_x0069_523">
      <xsd:simpleType>
        <xsd:restriction base="dms:Text"/>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h" ma:index="17" nillable="true" ma:displayName="h" ma:format="Image" ma:internalName="h">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ea7bed-63bd-4b8d-9669-0b4599cc90e9"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818F9-30D6-4DCF-884F-8C0D075C09FE}">
  <ds:schemaRefs>
    <ds:schemaRef ds:uri="http://schemas.openxmlformats.org/officeDocument/2006/bibliography"/>
  </ds:schemaRefs>
</ds:datastoreItem>
</file>

<file path=customXml/itemProps2.xml><?xml version="1.0" encoding="utf-8"?>
<ds:datastoreItem xmlns:ds="http://schemas.openxmlformats.org/officeDocument/2006/customXml" ds:itemID="{DD9C1147-33B1-48D4-A483-C94B3CAA77BF}">
  <ds:schemaRefs>
    <ds:schemaRef ds:uri="http://schemas.microsoft.com/sharepoint/v3/contenttype/forms"/>
  </ds:schemaRefs>
</ds:datastoreItem>
</file>

<file path=customXml/itemProps3.xml><?xml version="1.0" encoding="utf-8"?>
<ds:datastoreItem xmlns:ds="http://schemas.openxmlformats.org/officeDocument/2006/customXml" ds:itemID="{A6EC58BB-1702-47A1-8405-6E9BFD2B971C}">
  <ds:schemaRefs>
    <ds:schemaRef ds:uri="http://schemas.microsoft.com/office/2006/metadata/properties"/>
    <ds:schemaRef ds:uri="http://schemas.microsoft.com/office/infopath/2007/PartnerControls"/>
    <ds:schemaRef ds:uri="http://schemas.microsoft.com/sharepoint/v3"/>
    <ds:schemaRef ds:uri="29e7eb3f-155a-450d-904e-359070550a65"/>
  </ds:schemaRefs>
</ds:datastoreItem>
</file>

<file path=customXml/itemProps4.xml><?xml version="1.0" encoding="utf-8"?>
<ds:datastoreItem xmlns:ds="http://schemas.openxmlformats.org/officeDocument/2006/customXml" ds:itemID="{6FE4F22D-DB01-4579-9D46-C2B272014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7eb3f-155a-450d-904e-359070550a65"/>
    <ds:schemaRef ds:uri="5dea7bed-63bd-4b8d-9669-0b4599cc9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6169</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 KAINŲ IR ENERGETIKOS KONTROLĖS KOMISIJA</vt:lpstr>
      <vt:lpstr>VALSTYBINĖ KAINŲ IR ENERGETIKOS KONTROLĖS KOMISIJA</vt:lpstr>
    </vt:vector>
  </TitlesOfParts>
  <Company>KPC</Company>
  <LinksUpToDate>false</LinksUpToDate>
  <CharactersWithSpaces>7003</CharactersWithSpaces>
  <SharedDoc>false</SharedDoc>
  <HLinks>
    <vt:vector size="6" baseType="variant">
      <vt:variant>
        <vt:i4>4980844</vt:i4>
      </vt:variant>
      <vt:variant>
        <vt:i4>0</vt:i4>
      </vt:variant>
      <vt:variant>
        <vt:i4>0</vt:i4>
      </vt:variant>
      <vt:variant>
        <vt:i4>5</vt:i4>
      </vt:variant>
      <vt:variant>
        <vt:lpwstr>mailto:rastine@regula.lt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2020-09-11T10:10:00Z</dcterms:created>
  <dc:creator>Eglė Petraitienė</dc:creator>
  <cp:lastModifiedBy>Sandra Romienė</cp:lastModifiedBy>
  <cp:lastPrinted>2014-07-29T11:28:00Z</cp:lastPrinted>
  <dcterms:modified xsi:type="dcterms:W3CDTF">2020-09-11T10:10:00Z</dcterms:modified>
  <cp:revision>2</cp:revision>
  <dc:title>VALSTYBINĖ KAINŲ IR ENERGETIKOS KONTROLĖS KOMISIJA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0x010100054E5161A3754A4196E2DB03BACB7F16</vt:lpwstr>
  </property>
</Properties>
</file>