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CE" w:rsidRPr="00B6034C" w:rsidRDefault="000E35CE" w:rsidP="001507F0">
      <w:pPr>
        <w:spacing w:after="0" w:line="240" w:lineRule="auto"/>
        <w:jc w:val="center"/>
        <w:rPr>
          <w:rFonts w:ascii="Times New Roman" w:hAnsi="Times New Roman" w:cs="Times New Roman"/>
          <w:b/>
          <w:bCs/>
        </w:rPr>
      </w:pPr>
      <w:r w:rsidRPr="00B6034C">
        <w:rPr>
          <w:rFonts w:ascii="Times New Roman" w:hAnsi="Times New Roman" w:cs="Times New Roman"/>
          <w:b/>
        </w:rPr>
        <w:t xml:space="preserve">LIETUVOS RESPUBLIKOS </w:t>
      </w:r>
      <w:r w:rsidRPr="00B6034C">
        <w:rPr>
          <w:rFonts w:ascii="Times New Roman" w:hAnsi="Times New Roman" w:cs="Times New Roman"/>
          <w:b/>
          <w:caps/>
        </w:rPr>
        <w:t xml:space="preserve">indėlių ir įsipareigojimų investuotojams draudimo įstatymo Nr. IX-975 2, 3, 6, 7, 8, 10, 11, 12, 13, 14, 15, 16, 18, 19, 20, 23, 26, 28, 32, 33, 35, 40, 41, 42, 46 STRAIPSNIŲ, ŠEŠTOJO SKIRSNIO PAVADINIMO IR PRIEDO PAKEITIMO IR 5, 47 STRAIPSNIŲ PRIPAŽINIMO NETEKUSIAIS GALIOS </w:t>
      </w:r>
      <w:r w:rsidRPr="00B6034C">
        <w:rPr>
          <w:rFonts w:ascii="Times New Roman" w:hAnsi="Times New Roman" w:cs="Times New Roman"/>
          <w:b/>
          <w:bCs/>
          <w:caps/>
        </w:rPr>
        <w:t>ĮSTATYMO, LIETUVOS RESPUBLIKOS BANKŲ ĮSTATYMO NR.</w:t>
      </w:r>
      <w:r w:rsidRPr="00B6034C">
        <w:rPr>
          <w:rFonts w:ascii="Times New Roman" w:hAnsi="Times New Roman" w:cs="Times New Roman"/>
          <w:b/>
          <w:caps/>
        </w:rPr>
        <w:t xml:space="preserve"> IX</w:t>
      </w:r>
      <w:r w:rsidRPr="00B6034C">
        <w:rPr>
          <w:rFonts w:ascii="Times New Roman" w:hAnsi="Times New Roman" w:cs="Times New Roman"/>
          <w:b/>
          <w:bCs/>
          <w:caps/>
        </w:rPr>
        <w:t xml:space="preserve"> 2085 </w:t>
      </w:r>
      <w:r w:rsidR="00A76E45">
        <w:rPr>
          <w:rFonts w:ascii="Times New Roman" w:hAnsi="Times New Roman" w:cs="Times New Roman"/>
          <w:b/>
          <w:bCs/>
          <w:caps/>
        </w:rPr>
        <w:t xml:space="preserve">67 ir </w:t>
      </w:r>
      <w:r w:rsidRPr="00B6034C">
        <w:rPr>
          <w:rFonts w:ascii="Times New Roman" w:hAnsi="Times New Roman" w:cs="Times New Roman"/>
          <w:b/>
          <w:bCs/>
          <w:caps/>
        </w:rPr>
        <w:t>73</w:t>
      </w:r>
      <w:r w:rsidR="00231FC7" w:rsidRPr="00B6034C">
        <w:rPr>
          <w:rFonts w:ascii="Times New Roman" w:hAnsi="Times New Roman" w:cs="Times New Roman"/>
          <w:b/>
          <w:bCs/>
          <w:caps/>
        </w:rPr>
        <w:t xml:space="preserve"> </w:t>
      </w:r>
      <w:r w:rsidRPr="00B6034C">
        <w:rPr>
          <w:rFonts w:ascii="Times New Roman" w:hAnsi="Times New Roman" w:cs="Times New Roman"/>
          <w:b/>
          <w:bCs/>
          <w:caps/>
        </w:rPr>
        <w:t>straipsni</w:t>
      </w:r>
      <w:r w:rsidR="00231FC7" w:rsidRPr="00B6034C">
        <w:rPr>
          <w:rFonts w:ascii="Times New Roman" w:hAnsi="Times New Roman" w:cs="Times New Roman"/>
          <w:b/>
          <w:bCs/>
          <w:caps/>
        </w:rPr>
        <w:t>ų</w:t>
      </w:r>
      <w:r w:rsidRPr="00B6034C">
        <w:rPr>
          <w:rFonts w:ascii="Times New Roman" w:hAnsi="Times New Roman" w:cs="Times New Roman"/>
          <w:b/>
          <w:bCs/>
          <w:caps/>
        </w:rPr>
        <w:t xml:space="preserve"> pakeitimo įstatymo, lietuvos respublikos centrinių kredito unijų įstatymo nr. viii-1682 </w:t>
      </w:r>
      <w:r w:rsidR="00A76E45">
        <w:rPr>
          <w:rFonts w:ascii="Times New Roman" w:hAnsi="Times New Roman" w:cs="Times New Roman"/>
          <w:b/>
          <w:bCs/>
          <w:caps/>
        </w:rPr>
        <w:t xml:space="preserve">49 ir </w:t>
      </w:r>
      <w:r w:rsidRPr="00B6034C">
        <w:rPr>
          <w:rFonts w:ascii="Times New Roman" w:hAnsi="Times New Roman" w:cs="Times New Roman"/>
          <w:b/>
          <w:bCs/>
          <w:caps/>
        </w:rPr>
        <w:t>55</w:t>
      </w:r>
      <w:r w:rsidR="00231FC7" w:rsidRPr="00B6034C">
        <w:rPr>
          <w:rFonts w:ascii="Times New Roman" w:hAnsi="Times New Roman" w:cs="Times New Roman"/>
          <w:b/>
          <w:bCs/>
          <w:caps/>
        </w:rPr>
        <w:t xml:space="preserve"> </w:t>
      </w:r>
      <w:r w:rsidRPr="00B6034C">
        <w:rPr>
          <w:rFonts w:ascii="Times New Roman" w:hAnsi="Times New Roman" w:cs="Times New Roman"/>
          <w:b/>
          <w:bCs/>
          <w:caps/>
        </w:rPr>
        <w:t>straipsni</w:t>
      </w:r>
      <w:r w:rsidR="00231FC7" w:rsidRPr="00B6034C">
        <w:rPr>
          <w:rFonts w:ascii="Times New Roman" w:hAnsi="Times New Roman" w:cs="Times New Roman"/>
          <w:b/>
          <w:bCs/>
          <w:caps/>
        </w:rPr>
        <w:t>ų</w:t>
      </w:r>
      <w:r w:rsidRPr="00B6034C">
        <w:rPr>
          <w:rFonts w:ascii="Times New Roman" w:hAnsi="Times New Roman" w:cs="Times New Roman"/>
          <w:b/>
          <w:bCs/>
          <w:caps/>
        </w:rPr>
        <w:t xml:space="preserve"> pakeitimo įstatymo, lietuvos respublikos kredito unijų įstatymo nr. i-796 </w:t>
      </w:r>
      <w:r w:rsidR="00A76E45">
        <w:rPr>
          <w:rFonts w:ascii="Times New Roman" w:hAnsi="Times New Roman" w:cs="Times New Roman"/>
          <w:b/>
          <w:bCs/>
          <w:caps/>
        </w:rPr>
        <w:t xml:space="preserve">57 ir </w:t>
      </w:r>
      <w:r w:rsidRPr="00B6034C">
        <w:rPr>
          <w:rFonts w:ascii="Times New Roman" w:hAnsi="Times New Roman" w:cs="Times New Roman"/>
          <w:b/>
          <w:bCs/>
          <w:caps/>
        </w:rPr>
        <w:t>61</w:t>
      </w:r>
      <w:r w:rsidR="00231FC7" w:rsidRPr="00B6034C">
        <w:rPr>
          <w:rFonts w:ascii="Times New Roman" w:hAnsi="Times New Roman" w:cs="Times New Roman"/>
          <w:b/>
          <w:bCs/>
          <w:caps/>
        </w:rPr>
        <w:t xml:space="preserve"> </w:t>
      </w:r>
      <w:r w:rsidRPr="00B6034C">
        <w:rPr>
          <w:rFonts w:ascii="Times New Roman" w:hAnsi="Times New Roman" w:cs="Times New Roman"/>
          <w:b/>
          <w:bCs/>
          <w:caps/>
        </w:rPr>
        <w:t>straipsni</w:t>
      </w:r>
      <w:r w:rsidR="00231FC7" w:rsidRPr="00B6034C">
        <w:rPr>
          <w:rFonts w:ascii="Times New Roman" w:hAnsi="Times New Roman" w:cs="Times New Roman"/>
          <w:b/>
          <w:bCs/>
          <w:caps/>
        </w:rPr>
        <w:t>ų</w:t>
      </w:r>
      <w:r w:rsidRPr="00B6034C">
        <w:rPr>
          <w:rFonts w:ascii="Times New Roman" w:hAnsi="Times New Roman" w:cs="Times New Roman"/>
          <w:b/>
          <w:bCs/>
          <w:caps/>
        </w:rPr>
        <w:t xml:space="preserve"> pakeitimo įstatymo, Lietuvos Respublikos lietuvos banko įstatymo nr. i-</w:t>
      </w:r>
      <w:r w:rsidRPr="00B6034C">
        <w:rPr>
          <w:rFonts w:ascii="Times New Roman" w:hAnsi="Times New Roman" w:cs="Times New Roman"/>
          <w:b/>
          <w:bCs/>
          <w:caps/>
          <w:lang w:val="en-US"/>
        </w:rPr>
        <w:t xml:space="preserve">678 8, 38 straipsnių IR šeštojo skirsnio pavadinimo pakeitimo įstatymo </w:t>
      </w:r>
      <w:r w:rsidRPr="00B6034C">
        <w:rPr>
          <w:rFonts w:ascii="Times New Roman" w:hAnsi="Times New Roman" w:cs="Times New Roman"/>
          <w:b/>
          <w:bCs/>
          <w:caps/>
        </w:rPr>
        <w:t xml:space="preserve">ir </w:t>
      </w:r>
      <w:r w:rsidRPr="00B6034C">
        <w:rPr>
          <w:rFonts w:ascii="Times New Roman" w:hAnsi="Times New Roman" w:cs="Times New Roman"/>
          <w:b/>
          <w:caps/>
        </w:rPr>
        <w:t>Lietuvos Respublikos finansinio tvarumo įstatymo Nr. XI-</w:t>
      </w:r>
      <w:r w:rsidRPr="00B6034C">
        <w:rPr>
          <w:rFonts w:ascii="Times New Roman" w:hAnsi="Times New Roman" w:cs="Times New Roman"/>
          <w:b/>
          <w:caps/>
          <w:lang w:val="en-US"/>
        </w:rPr>
        <w:t xml:space="preserve">393 46 </w:t>
      </w:r>
      <w:r w:rsidRPr="00B6034C">
        <w:rPr>
          <w:rFonts w:ascii="Times New Roman" w:hAnsi="Times New Roman" w:cs="Times New Roman"/>
          <w:b/>
          <w:caps/>
        </w:rPr>
        <w:t>straipsnio pakeitimo įstatymo</w:t>
      </w:r>
      <w:r w:rsidRPr="00B6034C">
        <w:rPr>
          <w:rFonts w:ascii="Times New Roman" w:hAnsi="Times New Roman" w:cs="Times New Roman"/>
          <w:b/>
          <w:bCs/>
          <w:caps/>
          <w:lang w:val="en-US"/>
        </w:rPr>
        <w:t xml:space="preserve"> </w:t>
      </w:r>
      <w:r w:rsidRPr="00B6034C">
        <w:rPr>
          <w:rFonts w:ascii="Times New Roman" w:hAnsi="Times New Roman" w:cs="Times New Roman"/>
          <w:b/>
          <w:bCs/>
          <w:caps/>
        </w:rPr>
        <w:t>projektų</w:t>
      </w:r>
    </w:p>
    <w:p w:rsidR="000E35CE" w:rsidRPr="00B6034C" w:rsidRDefault="000E35CE" w:rsidP="001507F0">
      <w:pPr>
        <w:spacing w:after="0" w:line="240" w:lineRule="auto"/>
        <w:jc w:val="center"/>
        <w:rPr>
          <w:rFonts w:ascii="Times New Roman" w:hAnsi="Times New Roman" w:cs="Times New Roman"/>
          <w:b/>
          <w:bCs/>
        </w:rPr>
      </w:pPr>
      <w:r w:rsidRPr="00B6034C">
        <w:rPr>
          <w:rFonts w:ascii="Times New Roman" w:hAnsi="Times New Roman" w:cs="Times New Roman"/>
          <w:b/>
          <w:bCs/>
        </w:rPr>
        <w:t>DERINIMO PAŽYMA</w:t>
      </w:r>
    </w:p>
    <w:p w:rsidR="001507F0" w:rsidRPr="00B6034C" w:rsidRDefault="001507F0" w:rsidP="001507F0">
      <w:pPr>
        <w:spacing w:after="0" w:line="240" w:lineRule="auto"/>
        <w:jc w:val="center"/>
        <w:rPr>
          <w:rFonts w:ascii="Times New Roman" w:hAnsi="Times New Roman" w:cs="Times New Roman"/>
          <w:b/>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6128"/>
        <w:gridCol w:w="7550"/>
      </w:tblGrid>
      <w:tr w:rsidR="000E35CE" w:rsidRPr="00B6034C" w:rsidTr="007F7486">
        <w:tc>
          <w:tcPr>
            <w:tcW w:w="1598" w:type="dxa"/>
            <w:shd w:val="clear" w:color="auto" w:fill="auto"/>
          </w:tcPr>
          <w:p w:rsidR="000E35CE" w:rsidRPr="00B6034C" w:rsidRDefault="000E35CE" w:rsidP="001507F0">
            <w:pPr>
              <w:spacing w:after="0" w:line="240" w:lineRule="auto"/>
              <w:rPr>
                <w:rFonts w:ascii="Times New Roman" w:hAnsi="Times New Roman" w:cs="Times New Roman"/>
              </w:rPr>
            </w:pPr>
            <w:r w:rsidRPr="00B6034C">
              <w:rPr>
                <w:rFonts w:ascii="Times New Roman" w:hAnsi="Times New Roman" w:cs="Times New Roman"/>
                <w:b/>
              </w:rPr>
              <w:t>Institucijos pavadinimas, rašto data ir numeris</w:t>
            </w:r>
          </w:p>
        </w:tc>
        <w:tc>
          <w:tcPr>
            <w:tcW w:w="6128" w:type="dxa"/>
            <w:shd w:val="clear" w:color="auto" w:fill="auto"/>
          </w:tcPr>
          <w:p w:rsidR="000E35CE" w:rsidRPr="00B6034C" w:rsidRDefault="000E35CE" w:rsidP="001507F0">
            <w:pPr>
              <w:spacing w:after="0" w:line="240" w:lineRule="auto"/>
              <w:jc w:val="center"/>
              <w:rPr>
                <w:rFonts w:ascii="Times New Roman" w:hAnsi="Times New Roman" w:cs="Times New Roman"/>
              </w:rPr>
            </w:pPr>
            <w:r w:rsidRPr="00B6034C">
              <w:rPr>
                <w:rFonts w:ascii="Times New Roman" w:hAnsi="Times New Roman" w:cs="Times New Roman"/>
                <w:b/>
                <w:bCs/>
              </w:rPr>
              <w:t>Pastabos ir pasiūlymai, į kuriuos neatsižvelgta arba atsižvelgta iš dalies</w:t>
            </w:r>
          </w:p>
        </w:tc>
        <w:tc>
          <w:tcPr>
            <w:tcW w:w="7550" w:type="dxa"/>
            <w:shd w:val="clear" w:color="auto" w:fill="auto"/>
          </w:tcPr>
          <w:p w:rsidR="000E35CE" w:rsidRPr="00B6034C" w:rsidRDefault="000E35CE" w:rsidP="001507F0">
            <w:pPr>
              <w:spacing w:after="0" w:line="240" w:lineRule="auto"/>
              <w:jc w:val="center"/>
              <w:rPr>
                <w:rFonts w:ascii="Times New Roman" w:hAnsi="Times New Roman" w:cs="Times New Roman"/>
              </w:rPr>
            </w:pPr>
            <w:r w:rsidRPr="00B6034C">
              <w:rPr>
                <w:rFonts w:ascii="Times New Roman" w:hAnsi="Times New Roman" w:cs="Times New Roman"/>
                <w:b/>
                <w:bCs/>
              </w:rPr>
              <w:t>Argumentai, kodėl neatsižvelgta arba tik iš dalies atsižvelgta į pastabas ir pasiūlymus</w:t>
            </w:r>
          </w:p>
        </w:tc>
      </w:tr>
      <w:tr w:rsidR="000E35CE" w:rsidRPr="00B6034C" w:rsidTr="007F7486">
        <w:tc>
          <w:tcPr>
            <w:tcW w:w="1598" w:type="dxa"/>
            <w:shd w:val="clear" w:color="auto" w:fill="auto"/>
          </w:tcPr>
          <w:p w:rsidR="000E35CE" w:rsidRPr="00B6034C" w:rsidRDefault="000E35CE" w:rsidP="001507F0">
            <w:pPr>
              <w:spacing w:after="0" w:line="240" w:lineRule="auto"/>
              <w:rPr>
                <w:rFonts w:ascii="Times New Roman" w:hAnsi="Times New Roman" w:cs="Times New Roman"/>
                <w:bCs/>
              </w:rPr>
            </w:pPr>
            <w:r w:rsidRPr="00B6034C">
              <w:rPr>
                <w:rFonts w:ascii="Times New Roman" w:hAnsi="Times New Roman" w:cs="Times New Roman"/>
                <w:bCs/>
              </w:rPr>
              <w:t>Valstybės įmonė „Indėlių ir investicijų draudimas“,</w:t>
            </w:r>
          </w:p>
          <w:p w:rsidR="000E35CE" w:rsidRPr="00B6034C" w:rsidRDefault="000E35CE" w:rsidP="001507F0">
            <w:pPr>
              <w:spacing w:after="0" w:line="240" w:lineRule="auto"/>
              <w:rPr>
                <w:rFonts w:ascii="Times New Roman" w:hAnsi="Times New Roman" w:cs="Times New Roman"/>
                <w:bCs/>
              </w:rPr>
            </w:pPr>
            <w:r w:rsidRPr="00B6034C">
              <w:rPr>
                <w:rFonts w:ascii="Times New Roman" w:hAnsi="Times New Roman" w:cs="Times New Roman"/>
                <w:bCs/>
              </w:rPr>
              <w:t>2020-06-02 raštas Nr. 05-148</w:t>
            </w:r>
          </w:p>
          <w:p w:rsidR="000E35CE" w:rsidRPr="00B6034C" w:rsidRDefault="000E35CE" w:rsidP="001507F0">
            <w:pPr>
              <w:spacing w:after="0" w:line="240" w:lineRule="auto"/>
              <w:rPr>
                <w:rFonts w:ascii="Times New Roman" w:hAnsi="Times New Roman" w:cs="Times New Roman"/>
                <w:b/>
                <w:bCs/>
              </w:rPr>
            </w:pPr>
          </w:p>
        </w:tc>
        <w:tc>
          <w:tcPr>
            <w:tcW w:w="6128" w:type="dxa"/>
            <w:shd w:val="clear" w:color="auto" w:fill="auto"/>
          </w:tcPr>
          <w:p w:rsidR="000E35CE" w:rsidRPr="00B6034C" w:rsidRDefault="000E35CE" w:rsidP="001507F0">
            <w:pPr>
              <w:spacing w:after="0" w:line="240" w:lineRule="auto"/>
              <w:jc w:val="both"/>
              <w:rPr>
                <w:rFonts w:ascii="Times New Roman" w:hAnsi="Times New Roman" w:cs="Times New Roman"/>
                <w:lang w:eastAsia="en-GB"/>
              </w:rPr>
            </w:pPr>
            <w:r w:rsidRPr="00B6034C">
              <w:rPr>
                <w:rFonts w:ascii="Times New Roman" w:hAnsi="Times New Roman" w:cs="Times New Roman"/>
                <w:lang w:eastAsia="en-GB"/>
              </w:rPr>
              <w:t>IĮIDĮ</w:t>
            </w:r>
            <w:r w:rsidRPr="00B6034C">
              <w:rPr>
                <w:rFonts w:ascii="Times New Roman" w:hAnsi="Times New Roman" w:cs="Times New Roman"/>
                <w:color w:val="000000"/>
                <w:lang w:eastAsia="en-GB"/>
              </w:rPr>
              <w:t xml:space="preserve"> 13 str</w:t>
            </w:r>
            <w:r w:rsidRPr="00B6034C">
              <w:rPr>
                <w:rFonts w:ascii="Times New Roman" w:hAnsi="Times New Roman" w:cs="Times New Roman"/>
                <w:lang w:eastAsia="en-GB"/>
              </w:rPr>
              <w:t>. 2 d.</w:t>
            </w:r>
            <w:r w:rsidRPr="00B6034C">
              <w:rPr>
                <w:rFonts w:ascii="Times New Roman" w:hAnsi="Times New Roman" w:cs="Times New Roman"/>
                <w:u w:val="single"/>
                <w:lang w:eastAsia="en-GB"/>
              </w:rPr>
              <w:t xml:space="preserve"> </w:t>
            </w:r>
            <w:r w:rsidRPr="00B6034C">
              <w:rPr>
                <w:rFonts w:ascii="Times New Roman" w:hAnsi="Times New Roman" w:cs="Times New Roman"/>
                <w:lang w:eastAsia="en-GB"/>
              </w:rPr>
              <w:t>būtina atsisakyti, nes ji yra perteklinė. Ši dalis neturi būti atskirai numatyta, nes IĮIDĮ 12 straipsnio 9 dalyje  aiškiai ir nedviprasmiškai pareiga nustatyti periodinių (</w:t>
            </w:r>
            <w:proofErr w:type="spellStart"/>
            <w:r w:rsidRPr="00B6034C">
              <w:rPr>
                <w:rFonts w:ascii="Times New Roman" w:hAnsi="Times New Roman" w:cs="Times New Roman"/>
                <w:i/>
                <w:iCs/>
                <w:lang w:eastAsia="en-GB"/>
              </w:rPr>
              <w:t>ex</w:t>
            </w:r>
            <w:proofErr w:type="spellEnd"/>
            <w:r w:rsidRPr="00B6034C">
              <w:rPr>
                <w:rFonts w:ascii="Times New Roman" w:hAnsi="Times New Roman" w:cs="Times New Roman"/>
                <w:i/>
                <w:iCs/>
                <w:lang w:eastAsia="en-GB"/>
              </w:rPr>
              <w:t xml:space="preserve"> </w:t>
            </w:r>
            <w:proofErr w:type="spellStart"/>
            <w:r w:rsidRPr="00B6034C">
              <w:rPr>
                <w:rFonts w:ascii="Times New Roman" w:hAnsi="Times New Roman" w:cs="Times New Roman"/>
                <w:i/>
                <w:iCs/>
                <w:lang w:eastAsia="en-GB"/>
              </w:rPr>
              <w:t>ante</w:t>
            </w:r>
            <w:proofErr w:type="spellEnd"/>
            <w:r w:rsidRPr="00B6034C">
              <w:rPr>
                <w:rFonts w:ascii="Times New Roman" w:hAnsi="Times New Roman" w:cs="Times New Roman"/>
                <w:lang w:eastAsia="en-GB"/>
              </w:rPr>
              <w:t>) ir specialiųjų (</w:t>
            </w:r>
            <w:proofErr w:type="spellStart"/>
            <w:r w:rsidRPr="00B6034C">
              <w:rPr>
                <w:rFonts w:ascii="Times New Roman" w:hAnsi="Times New Roman" w:cs="Times New Roman"/>
                <w:i/>
                <w:iCs/>
                <w:lang w:eastAsia="en-GB"/>
              </w:rPr>
              <w:t>ex</w:t>
            </w:r>
            <w:proofErr w:type="spellEnd"/>
            <w:r w:rsidRPr="00B6034C">
              <w:rPr>
                <w:rFonts w:ascii="Times New Roman" w:hAnsi="Times New Roman" w:cs="Times New Roman"/>
                <w:i/>
                <w:iCs/>
                <w:lang w:eastAsia="en-GB"/>
              </w:rPr>
              <w:t xml:space="preserve"> </w:t>
            </w:r>
            <w:proofErr w:type="spellStart"/>
            <w:r w:rsidRPr="00B6034C">
              <w:rPr>
                <w:rFonts w:ascii="Times New Roman" w:hAnsi="Times New Roman" w:cs="Times New Roman"/>
                <w:i/>
                <w:iCs/>
                <w:lang w:eastAsia="en-GB"/>
              </w:rPr>
              <w:t>post</w:t>
            </w:r>
            <w:proofErr w:type="spellEnd"/>
            <w:r w:rsidRPr="00B6034C">
              <w:rPr>
                <w:rFonts w:ascii="Times New Roman" w:hAnsi="Times New Roman" w:cs="Times New Roman"/>
                <w:lang w:eastAsia="en-GB"/>
              </w:rPr>
              <w:t>) indėlių draudimo įmokų ir pirmųjų (avansinių) draudimo įmokų apskaičiavimo ir mokėjimo tvarką bei terminus yra numatyta VĮ IID tarybai. Minėta tvarka yra detalizuojama poįstatyminiame teisės akte.</w:t>
            </w:r>
          </w:p>
          <w:p w:rsidR="000E35CE" w:rsidRPr="00B6034C" w:rsidRDefault="000E35CE" w:rsidP="001507F0">
            <w:pPr>
              <w:spacing w:after="0" w:line="240" w:lineRule="auto"/>
              <w:jc w:val="both"/>
              <w:rPr>
                <w:rFonts w:ascii="Times New Roman" w:hAnsi="Times New Roman" w:cs="Times New Roman"/>
                <w:b/>
                <w:bCs/>
              </w:rPr>
            </w:pPr>
          </w:p>
        </w:tc>
        <w:tc>
          <w:tcPr>
            <w:tcW w:w="7550" w:type="dxa"/>
            <w:shd w:val="clear" w:color="auto" w:fill="auto"/>
          </w:tcPr>
          <w:p w:rsidR="000E35CE" w:rsidRPr="00B6034C" w:rsidRDefault="000E35CE" w:rsidP="001507F0">
            <w:pPr>
              <w:spacing w:after="0" w:line="240" w:lineRule="auto"/>
              <w:rPr>
                <w:rFonts w:ascii="Times New Roman" w:hAnsi="Times New Roman" w:cs="Times New Roman"/>
                <w:b/>
              </w:rPr>
            </w:pPr>
            <w:r w:rsidRPr="00B6034C">
              <w:rPr>
                <w:rFonts w:ascii="Times New Roman" w:hAnsi="Times New Roman" w:cs="Times New Roman"/>
                <w:b/>
              </w:rPr>
              <w:t xml:space="preserve">Neatsižvelgta. </w:t>
            </w:r>
          </w:p>
          <w:p w:rsidR="000E35CE" w:rsidRPr="00B6034C" w:rsidRDefault="000E35CE" w:rsidP="001507F0">
            <w:pPr>
              <w:pStyle w:val="HTMLiankstoformatuotas"/>
              <w:tabs>
                <w:tab w:val="clear" w:pos="916"/>
              </w:tabs>
              <w:ind w:left="0" w:firstLine="71"/>
              <w:jc w:val="both"/>
              <w:rPr>
                <w:rFonts w:ascii="Times New Roman" w:hAnsi="Times New Roman" w:cs="Times New Roman"/>
                <w:sz w:val="22"/>
                <w:szCs w:val="22"/>
              </w:rPr>
            </w:pPr>
            <w:r w:rsidRPr="00B6034C">
              <w:rPr>
                <w:rFonts w:ascii="Times New Roman" w:hAnsi="Times New Roman" w:cs="Times New Roman"/>
                <w:sz w:val="22"/>
                <w:szCs w:val="22"/>
              </w:rPr>
              <w:t xml:space="preserve">2014 m. balandžio 16 d. Europos Parlamento ir Tarybos direktyvos 2014/49/ES </w:t>
            </w:r>
            <w:r w:rsidRPr="00B6034C">
              <w:rPr>
                <w:rFonts w:ascii="Times New Roman" w:hAnsi="Times New Roman" w:cs="Times New Roman"/>
                <w:bCs/>
                <w:sz w:val="22"/>
                <w:szCs w:val="22"/>
              </w:rPr>
              <w:t xml:space="preserve">dėl indėlių garantijų sistemų (toliau – Direktyva </w:t>
            </w:r>
            <w:r w:rsidRPr="00B6034C">
              <w:rPr>
                <w:rFonts w:ascii="Times New Roman" w:hAnsi="Times New Roman" w:cs="Times New Roman"/>
                <w:sz w:val="22"/>
                <w:szCs w:val="22"/>
              </w:rPr>
              <w:t>2014/49/ES) 10 straipsnio 1 dalies antra pastraipa nustato, kad įmokas indėlių draudimo sistemos dalyviai turi mokėti bent kas metus.</w:t>
            </w:r>
          </w:p>
          <w:p w:rsidR="000E35CE" w:rsidRPr="00B6034C" w:rsidRDefault="000E35CE" w:rsidP="001507F0">
            <w:pPr>
              <w:pStyle w:val="HTMLiankstoformatuotas"/>
              <w:tabs>
                <w:tab w:val="clear" w:pos="916"/>
              </w:tabs>
              <w:ind w:left="0" w:firstLine="71"/>
              <w:jc w:val="both"/>
              <w:rPr>
                <w:rFonts w:ascii="Times New Roman" w:hAnsi="Times New Roman" w:cs="Times New Roman"/>
                <w:b/>
                <w:bCs/>
                <w:sz w:val="22"/>
                <w:szCs w:val="22"/>
              </w:rPr>
            </w:pPr>
            <w:r w:rsidRPr="00B6034C">
              <w:rPr>
                <w:rFonts w:ascii="Times New Roman" w:hAnsi="Times New Roman" w:cs="Times New Roman"/>
                <w:sz w:val="22"/>
                <w:szCs w:val="22"/>
              </w:rPr>
              <w:t>Įstatymo įgyvendinamajame teisės akte neturi būti nuostatų, kurios yra įstatymo reguliavimo dalykas. Taigi</w:t>
            </w:r>
            <w:r w:rsidRPr="00B6034C">
              <w:rPr>
                <w:rFonts w:ascii="Times New Roman" w:hAnsi="Times New Roman" w:cs="Times New Roman"/>
                <w:iCs/>
                <w:sz w:val="22"/>
                <w:szCs w:val="22"/>
              </w:rPr>
              <w:t xml:space="preserve"> įstatyme tikslinga įtvirtinti direktyvinį reikalavimą, kurio būtų laikomasi įstatymo įgyvendinamajame teisės akte detalizuojant įmokų mokėjimo tvarką. </w:t>
            </w:r>
          </w:p>
        </w:tc>
      </w:tr>
      <w:tr w:rsidR="000E35CE" w:rsidRPr="00B6034C" w:rsidTr="007F7486">
        <w:tc>
          <w:tcPr>
            <w:tcW w:w="1598" w:type="dxa"/>
            <w:shd w:val="clear" w:color="auto" w:fill="auto"/>
          </w:tcPr>
          <w:p w:rsidR="000E35CE" w:rsidRPr="00B6034C" w:rsidRDefault="000E35CE" w:rsidP="001507F0">
            <w:pPr>
              <w:spacing w:after="0" w:line="240" w:lineRule="auto"/>
              <w:rPr>
                <w:rFonts w:ascii="Times New Roman" w:hAnsi="Times New Roman" w:cs="Times New Roman"/>
                <w:bCs/>
              </w:rPr>
            </w:pPr>
            <w:r w:rsidRPr="00B6034C">
              <w:rPr>
                <w:rFonts w:ascii="Times New Roman" w:hAnsi="Times New Roman" w:cs="Times New Roman"/>
                <w:bCs/>
              </w:rPr>
              <w:t>Valstybės įmonė „Indėlių ir investicijų draudimas“, 2020-06-02 raštas Nr. 05-148</w:t>
            </w:r>
          </w:p>
          <w:p w:rsidR="000E35CE" w:rsidRPr="00B6034C" w:rsidRDefault="000E35CE" w:rsidP="001507F0">
            <w:pPr>
              <w:spacing w:after="0" w:line="240" w:lineRule="auto"/>
              <w:rPr>
                <w:rFonts w:ascii="Times New Roman" w:hAnsi="Times New Roman" w:cs="Times New Roman"/>
                <w:bCs/>
              </w:rPr>
            </w:pPr>
          </w:p>
          <w:p w:rsidR="000E35CE" w:rsidRPr="00B6034C" w:rsidRDefault="000E35CE" w:rsidP="001507F0">
            <w:pPr>
              <w:spacing w:after="0" w:line="240" w:lineRule="auto"/>
              <w:rPr>
                <w:rFonts w:ascii="Times New Roman" w:hAnsi="Times New Roman" w:cs="Times New Roman"/>
                <w:bCs/>
              </w:rPr>
            </w:pPr>
          </w:p>
        </w:tc>
        <w:tc>
          <w:tcPr>
            <w:tcW w:w="6128" w:type="dxa"/>
            <w:shd w:val="clear" w:color="auto" w:fill="auto"/>
          </w:tcPr>
          <w:p w:rsidR="000E35CE" w:rsidRPr="00B6034C" w:rsidRDefault="000E35CE" w:rsidP="00E25882">
            <w:pPr>
              <w:spacing w:after="0" w:line="240" w:lineRule="auto"/>
              <w:jc w:val="both"/>
              <w:rPr>
                <w:rFonts w:ascii="Times New Roman" w:hAnsi="Times New Roman" w:cs="Times New Roman"/>
                <w:lang w:eastAsia="en-GB"/>
              </w:rPr>
            </w:pPr>
            <w:r w:rsidRPr="00B6034C">
              <w:rPr>
                <w:rFonts w:ascii="Times New Roman" w:hAnsi="Times New Roman" w:cs="Times New Roman"/>
                <w:lang w:eastAsia="en-GB"/>
              </w:rPr>
              <w:t xml:space="preserve">Atkreiptinas dėmesys, kad </w:t>
            </w:r>
            <w:r w:rsidRPr="00B6034C">
              <w:rPr>
                <w:rFonts w:ascii="Times New Roman" w:hAnsi="Times New Roman" w:cs="Times New Roman"/>
              </w:rPr>
              <w:t>IĮIDĮ 46 str. 2 d. 4 p.</w:t>
            </w:r>
            <w:r w:rsidR="00E25882">
              <w:rPr>
                <w:rFonts w:ascii="Times New Roman" w:hAnsi="Times New Roman" w:cs="Times New Roman"/>
              </w:rPr>
              <w:t xml:space="preserve"> plačiau </w:t>
            </w:r>
            <w:r w:rsidRPr="00B6034C">
              <w:rPr>
                <w:rFonts w:ascii="Times New Roman" w:hAnsi="Times New Roman" w:cs="Times New Roman"/>
                <w:lang w:eastAsia="en-GB"/>
              </w:rPr>
              <w:t>reglamentuoja IID prisidėjimą prie banko ar centrinių kredito unijų pertvarkymo finansavimo, nei leidžia galiojančios direktyvų nuostatos, nes:</w:t>
            </w:r>
          </w:p>
          <w:p w:rsidR="000E35CE" w:rsidRPr="00B6034C" w:rsidRDefault="000E35CE" w:rsidP="00E25882">
            <w:pPr>
              <w:spacing w:after="0" w:line="240" w:lineRule="auto"/>
              <w:jc w:val="both"/>
              <w:rPr>
                <w:rFonts w:ascii="Times New Roman" w:hAnsi="Times New Roman" w:cs="Times New Roman"/>
              </w:rPr>
            </w:pPr>
            <w:r w:rsidRPr="00B6034C">
              <w:rPr>
                <w:rFonts w:ascii="Times New Roman" w:hAnsi="Times New Roman" w:cs="Times New Roman"/>
                <w:lang w:eastAsia="en-GB"/>
              </w:rPr>
              <w:t xml:space="preserve">- vadovaujantis Direktyvos 2014/49/ES </w:t>
            </w:r>
            <w:r w:rsidRPr="00B6034C">
              <w:rPr>
                <w:rFonts w:ascii="Times New Roman" w:hAnsi="Times New Roman" w:cs="Times New Roman"/>
              </w:rPr>
              <w:t>11 straipsnio 2 dalimi „</w:t>
            </w:r>
            <w:r w:rsidRPr="00B6034C">
              <w:rPr>
                <w:rFonts w:ascii="Times New Roman" w:hAnsi="Times New Roman" w:cs="Times New Roman"/>
                <w:i/>
                <w:iCs/>
              </w:rPr>
              <w:t>IGS finansiniai ištekliai naudojami siekiant finansuoti kredito įstaigų pertvarkymą vadovaujantis Direktyvos 2014/59/ES 109 straipsniu. Pertvarkymo institucija, pasikonsultavusi su IGS, nustato IGS įsipareigojimų sumą</w:t>
            </w:r>
            <w:r w:rsidRPr="00B6034C">
              <w:rPr>
                <w:rFonts w:ascii="Times New Roman" w:hAnsi="Times New Roman" w:cs="Times New Roman"/>
              </w:rPr>
              <w:t>”;</w:t>
            </w:r>
          </w:p>
          <w:p w:rsidR="000E35CE" w:rsidRPr="00B6034C" w:rsidRDefault="000E35CE" w:rsidP="00E25882">
            <w:pPr>
              <w:spacing w:after="0" w:line="240" w:lineRule="auto"/>
              <w:jc w:val="both"/>
              <w:rPr>
                <w:rFonts w:ascii="Times New Roman" w:hAnsi="Times New Roman" w:cs="Times New Roman"/>
                <w:b/>
                <w:bCs/>
              </w:rPr>
            </w:pPr>
            <w:r w:rsidRPr="00B6034C">
              <w:rPr>
                <w:rFonts w:ascii="Times New Roman" w:hAnsi="Times New Roman" w:cs="Times New Roman"/>
              </w:rPr>
              <w:t>- pagal Direktyvos 2014/59/ES 109 straipsnį: „</w:t>
            </w:r>
            <w:r w:rsidRPr="00B6034C">
              <w:rPr>
                <w:rFonts w:ascii="Times New Roman" w:hAnsi="Times New Roman" w:cs="Times New Roman"/>
                <w:i/>
                <w:iCs/>
              </w:rPr>
              <w:t xml:space="preserve">Visais atvejais indėlių garantijų sistemų atsakomybė nėra didesnė už sumą, lygią 50 % jos </w:t>
            </w:r>
            <w:r w:rsidRPr="00B6034C">
              <w:rPr>
                <w:rFonts w:ascii="Times New Roman" w:hAnsi="Times New Roman" w:cs="Times New Roman"/>
                <w:b/>
                <w:bCs/>
                <w:i/>
                <w:iCs/>
              </w:rPr>
              <w:t>tikslinio</w:t>
            </w:r>
            <w:r w:rsidRPr="00B6034C">
              <w:rPr>
                <w:rFonts w:ascii="Times New Roman" w:hAnsi="Times New Roman" w:cs="Times New Roman"/>
                <w:i/>
                <w:iCs/>
              </w:rPr>
              <w:t xml:space="preserve"> indėlių garantijų sistemų lygio pagal Direktyvos 2014/49/ES 10 straipsnį. Valstybės narės, atsižvelgdamos į savo nacionalinio bankų sektoriaus ypatumus, gali nustatyti didesnį nei 50 % lygį.”</w:t>
            </w:r>
          </w:p>
        </w:tc>
        <w:tc>
          <w:tcPr>
            <w:tcW w:w="7550" w:type="dxa"/>
            <w:shd w:val="clear" w:color="auto" w:fill="auto"/>
          </w:tcPr>
          <w:p w:rsidR="000E35CE" w:rsidRPr="00B6034C" w:rsidRDefault="000E35CE" w:rsidP="001507F0">
            <w:pPr>
              <w:spacing w:after="0" w:line="240" w:lineRule="auto"/>
              <w:jc w:val="both"/>
              <w:rPr>
                <w:rFonts w:ascii="Times New Roman" w:hAnsi="Times New Roman" w:cs="Times New Roman"/>
                <w:b/>
              </w:rPr>
            </w:pPr>
            <w:r w:rsidRPr="00B6034C">
              <w:rPr>
                <w:rFonts w:ascii="Times New Roman" w:hAnsi="Times New Roman" w:cs="Times New Roman"/>
                <w:b/>
              </w:rPr>
              <w:t>Neatsižvelgta.</w:t>
            </w:r>
          </w:p>
          <w:p w:rsidR="000E35CE" w:rsidRPr="00B6034C" w:rsidRDefault="000E35CE" w:rsidP="001507F0">
            <w:pPr>
              <w:spacing w:after="0" w:line="240" w:lineRule="auto"/>
              <w:jc w:val="both"/>
              <w:rPr>
                <w:rFonts w:ascii="Times New Roman" w:hAnsi="Times New Roman" w:cs="Times New Roman"/>
              </w:rPr>
            </w:pPr>
            <w:r w:rsidRPr="00B6034C">
              <w:rPr>
                <w:rFonts w:ascii="Times New Roman" w:hAnsi="Times New Roman" w:cs="Times New Roman"/>
              </w:rPr>
              <w:t xml:space="preserve">Direktyva 2014/49/ES yra minimalaus derinimo teisės aktas, kas reiškia, kad valstybei narei nedraudžiama perkeliant jos nuostatas į nacionalinę teisę nustatyti didesnį už minimalų tikslinį lygį. Pasinaudojus šia </w:t>
            </w:r>
            <w:proofErr w:type="spellStart"/>
            <w:r w:rsidRPr="00B6034C">
              <w:rPr>
                <w:rFonts w:ascii="Times New Roman" w:hAnsi="Times New Roman" w:cs="Times New Roman"/>
              </w:rPr>
              <w:t>diskrecijos</w:t>
            </w:r>
            <w:proofErr w:type="spellEnd"/>
            <w:r w:rsidRPr="00B6034C">
              <w:rPr>
                <w:rFonts w:ascii="Times New Roman" w:hAnsi="Times New Roman" w:cs="Times New Roman"/>
              </w:rPr>
              <w:t xml:space="preserve"> galimybe, perkeliant Direktyvos 2014/49/ES nuostatas į nacionalinę teisę, </w:t>
            </w:r>
            <w:r w:rsidRPr="00B6034C">
              <w:rPr>
                <w:rFonts w:ascii="Times New Roman" w:hAnsi="Times New Roman" w:cs="Times New Roman"/>
                <w:bCs/>
              </w:rPr>
              <w:t xml:space="preserve">Lietuvos Respublikos indėlių ir įsipareigojimų investuotojams draudimo įstatyme (toliau – </w:t>
            </w:r>
            <w:r w:rsidRPr="00B6034C">
              <w:rPr>
                <w:rFonts w:ascii="Times New Roman" w:hAnsi="Times New Roman" w:cs="Times New Roman"/>
              </w:rPr>
              <w:t xml:space="preserve">IĮIDĮ) ir buvo nustatyta dviejų lygių – minimalaus ir nacionalinio tikslinio lygių – sistema. Atitinkamai perkeliant </w:t>
            </w:r>
            <w:r w:rsidRPr="00B6034C">
              <w:rPr>
                <w:rFonts w:ascii="Times New Roman" w:hAnsi="Times New Roman" w:cs="Times New Roman"/>
                <w:bCs/>
              </w:rPr>
              <w:t xml:space="preserve">2014 m. gegužės 15 d. Europos Parlamento ir Tarybos direktyvos 2014/59/ES, kuria nustatoma kredito įstaigų ir investicinių įmonių gaivinimo ir pertvarkymo sistema ir iš dalies keičiamos Tarybos direktyva 82/891/EEB, direktyvos 2001/24/EB, 2002/47/EB, 2004/25/EB, 2005/56/EB, 2007/36/EB, 2011/35/ES, 2012/30/ES bei 2013/36/ES ir Europos Parlamento ir Tarybos reglamentai (ES) Nr. 1093/2010 bei (ES) Nr. 648/2012 (toliau – Direktyva </w:t>
            </w:r>
            <w:r w:rsidRPr="00B6034C">
              <w:rPr>
                <w:rFonts w:ascii="Times New Roman" w:hAnsi="Times New Roman" w:cs="Times New Roman"/>
              </w:rPr>
              <w:t>2014/59/ES</w:t>
            </w:r>
            <w:r w:rsidRPr="00B6034C">
              <w:rPr>
                <w:rFonts w:ascii="Times New Roman" w:hAnsi="Times New Roman" w:cs="Times New Roman"/>
                <w:bCs/>
              </w:rPr>
              <w:t xml:space="preserve">), </w:t>
            </w:r>
            <w:r w:rsidRPr="00B6034C">
              <w:rPr>
                <w:rFonts w:ascii="Times New Roman" w:hAnsi="Times New Roman" w:cs="Times New Roman"/>
              </w:rPr>
              <w:t xml:space="preserve">109 straipsnio 5 dalies nuostatas ir nustatant sumos, kuria Indėlių draudimo fondas gali prisidėti prie finansų sektoriaus subjektų pertvarkymo finansavimo, viršutinę ribą (Direktyva 2014/59/ES viršutinę ribą sieja </w:t>
            </w:r>
            <w:r w:rsidRPr="00B6034C">
              <w:rPr>
                <w:rFonts w:ascii="Times New Roman" w:hAnsi="Times New Roman" w:cs="Times New Roman"/>
              </w:rPr>
              <w:lastRenderedPageBreak/>
              <w:t>su  Direktyvos 2014/49/ES 10 straipsnyje nustatytu tiksliniu lygiu), buvo apsispręsta ją sieti su nacionaliniu tiksliniu lygiu.</w:t>
            </w:r>
          </w:p>
          <w:p w:rsidR="000E35CE" w:rsidRPr="00B6034C" w:rsidRDefault="000E35CE" w:rsidP="001507F0">
            <w:pPr>
              <w:pStyle w:val="HTMLiankstoformatuotas"/>
              <w:tabs>
                <w:tab w:val="clear" w:pos="916"/>
              </w:tabs>
              <w:ind w:left="0" w:firstLine="71"/>
              <w:jc w:val="both"/>
              <w:rPr>
                <w:rFonts w:ascii="Times New Roman" w:hAnsi="Times New Roman" w:cs="Times New Roman"/>
                <w:sz w:val="22"/>
                <w:szCs w:val="22"/>
              </w:rPr>
            </w:pPr>
            <w:r w:rsidRPr="00B6034C">
              <w:rPr>
                <w:rFonts w:ascii="Times New Roman" w:hAnsi="Times New Roman" w:cs="Times New Roman"/>
                <w:sz w:val="22"/>
                <w:szCs w:val="22"/>
              </w:rPr>
              <w:t>Taip pat atkreiptinas dėmesys, kad pertvarkyto subjekto bankroto atveju, vadovaujantis IĮIDĮ 46 straipsnio 5 dalies nuostatomis, pertvarkymui finansuoti panaudota suma privaloma padidinti pertvarkyto subjekto įsipareigojimus draudimo įmonei, kas reiškia, kad Indėlių draudimo fondas, kaip kreditorius, gali šias lėšas susigrąžinti bankroto proceso metu.</w:t>
            </w:r>
          </w:p>
        </w:tc>
      </w:tr>
      <w:tr w:rsidR="000E35CE" w:rsidRPr="00B6034C" w:rsidTr="007F7486">
        <w:tc>
          <w:tcPr>
            <w:tcW w:w="1598" w:type="dxa"/>
            <w:shd w:val="clear" w:color="auto" w:fill="auto"/>
          </w:tcPr>
          <w:p w:rsidR="000E35CE" w:rsidRPr="00B6034C" w:rsidRDefault="000E35CE" w:rsidP="001507F0">
            <w:pPr>
              <w:spacing w:after="0" w:line="240" w:lineRule="auto"/>
              <w:rPr>
                <w:rFonts w:ascii="Times New Roman" w:hAnsi="Times New Roman" w:cs="Times New Roman"/>
              </w:rPr>
            </w:pPr>
            <w:r w:rsidRPr="00B6034C">
              <w:rPr>
                <w:rFonts w:ascii="Times New Roman" w:hAnsi="Times New Roman" w:cs="Times New Roman"/>
              </w:rPr>
              <w:lastRenderedPageBreak/>
              <w:t>Lietuvos bankas,</w:t>
            </w:r>
          </w:p>
          <w:p w:rsidR="000E35CE" w:rsidRPr="00B6034C" w:rsidRDefault="000E35CE" w:rsidP="001507F0">
            <w:pPr>
              <w:spacing w:after="0" w:line="240" w:lineRule="auto"/>
              <w:rPr>
                <w:rFonts w:ascii="Times New Roman" w:hAnsi="Times New Roman" w:cs="Times New Roman"/>
                <w:bCs/>
              </w:rPr>
            </w:pPr>
            <w:r w:rsidRPr="00B6034C">
              <w:rPr>
                <w:rFonts w:ascii="Times New Roman" w:hAnsi="Times New Roman" w:cs="Times New Roman"/>
              </w:rPr>
              <w:t>2020-06-04 raštas Nr. S 2020/(22.9.E-2202)-12-3638</w:t>
            </w:r>
          </w:p>
        </w:tc>
        <w:tc>
          <w:tcPr>
            <w:tcW w:w="6128" w:type="dxa"/>
            <w:shd w:val="clear" w:color="auto" w:fill="auto"/>
          </w:tcPr>
          <w:p w:rsidR="000E35CE" w:rsidRPr="00B6034C" w:rsidRDefault="000E35CE" w:rsidP="001507F0">
            <w:pPr>
              <w:widowControl w:val="0"/>
              <w:numPr>
                <w:ilvl w:val="0"/>
                <w:numId w:val="1"/>
              </w:numPr>
              <w:autoSpaceDE w:val="0"/>
              <w:autoSpaceDN w:val="0"/>
              <w:adjustRightInd w:val="0"/>
              <w:spacing w:after="0" w:line="240" w:lineRule="auto"/>
              <w:jc w:val="both"/>
              <w:rPr>
                <w:rFonts w:ascii="Times New Roman" w:hAnsi="Times New Roman" w:cs="Times New Roman"/>
              </w:rPr>
            </w:pPr>
            <w:r w:rsidRPr="00B6034C">
              <w:rPr>
                <w:rFonts w:ascii="Times New Roman" w:hAnsi="Times New Roman" w:cs="Times New Roman"/>
              </w:rPr>
              <w:t xml:space="preserve">Atsižvelgdami į tai, kad šiais metais metinė periodinių (angl. </w:t>
            </w:r>
            <w:proofErr w:type="spellStart"/>
            <w:r w:rsidRPr="00B6034C">
              <w:rPr>
                <w:rFonts w:ascii="Times New Roman" w:hAnsi="Times New Roman" w:cs="Times New Roman"/>
                <w:i/>
              </w:rPr>
              <w:t>ex</w:t>
            </w:r>
            <w:proofErr w:type="spellEnd"/>
            <w:r w:rsidRPr="00B6034C">
              <w:rPr>
                <w:rFonts w:ascii="Times New Roman" w:hAnsi="Times New Roman" w:cs="Times New Roman"/>
                <w:i/>
              </w:rPr>
              <w:t xml:space="preserve"> </w:t>
            </w:r>
            <w:proofErr w:type="spellStart"/>
            <w:r w:rsidRPr="00B6034C">
              <w:rPr>
                <w:rFonts w:ascii="Times New Roman" w:hAnsi="Times New Roman" w:cs="Times New Roman"/>
                <w:i/>
              </w:rPr>
              <w:t>ante</w:t>
            </w:r>
            <w:proofErr w:type="spellEnd"/>
            <w:r w:rsidRPr="00B6034C">
              <w:rPr>
                <w:rFonts w:ascii="Times New Roman" w:hAnsi="Times New Roman" w:cs="Times New Roman"/>
              </w:rPr>
              <w:t>) indėlių draudimo įmokų suma jau patvirtinta, siūlome IIDĮ įsigaliojimo, taikymo ir įgyvendinimo nuostatose draudimo įmonės savininko teises ir pareigas įgyvendinančiai institucijai nustatyti vienkartinę pareigą perskaičiuoti šiuo metu taikytiną metinę sumą į metinę normą pagal IIDĮ nustatomą naują tvarką. Tai leistų praktikoje taikyti naujas IIDĮ nuostatas greičiau, nelaukiant naujos metinės normos skaičiavimo 2021 m. gegužės mėn.</w:t>
            </w:r>
          </w:p>
          <w:p w:rsidR="000E35CE" w:rsidRPr="00B6034C" w:rsidRDefault="000E35CE" w:rsidP="001507F0">
            <w:pPr>
              <w:tabs>
                <w:tab w:val="left" w:pos="1276"/>
              </w:tabs>
              <w:spacing w:after="0" w:line="240" w:lineRule="auto"/>
              <w:jc w:val="both"/>
              <w:rPr>
                <w:rFonts w:ascii="Times New Roman" w:hAnsi="Times New Roman" w:cs="Times New Roman"/>
                <w:bCs/>
              </w:rPr>
            </w:pPr>
          </w:p>
        </w:tc>
        <w:tc>
          <w:tcPr>
            <w:tcW w:w="7550" w:type="dxa"/>
            <w:shd w:val="clear" w:color="auto" w:fill="auto"/>
          </w:tcPr>
          <w:p w:rsidR="000E35CE" w:rsidRPr="00B6034C" w:rsidRDefault="000E35CE" w:rsidP="001507F0">
            <w:pPr>
              <w:spacing w:after="0" w:line="240" w:lineRule="auto"/>
              <w:jc w:val="both"/>
              <w:rPr>
                <w:rFonts w:ascii="Times New Roman" w:hAnsi="Times New Roman" w:cs="Times New Roman"/>
                <w:b/>
              </w:rPr>
            </w:pPr>
            <w:r w:rsidRPr="00B6034C">
              <w:rPr>
                <w:rFonts w:ascii="Times New Roman" w:hAnsi="Times New Roman" w:cs="Times New Roman"/>
                <w:b/>
              </w:rPr>
              <w:t>Neatsižvelgta.</w:t>
            </w:r>
          </w:p>
          <w:p w:rsidR="000E35CE" w:rsidRPr="00B6034C" w:rsidRDefault="000E35CE" w:rsidP="001507F0">
            <w:pPr>
              <w:spacing w:after="0" w:line="240" w:lineRule="auto"/>
              <w:jc w:val="both"/>
              <w:rPr>
                <w:rFonts w:ascii="Times New Roman" w:hAnsi="Times New Roman" w:cs="Times New Roman"/>
                <w:color w:val="000000"/>
                <w:lang w:eastAsia="en-GB"/>
              </w:rPr>
            </w:pPr>
            <w:r w:rsidRPr="00B6034C">
              <w:rPr>
                <w:rFonts w:ascii="Times New Roman" w:hAnsi="Times New Roman" w:cs="Times New Roman"/>
                <w:lang w:eastAsia="en-GB"/>
              </w:rPr>
              <w:t xml:space="preserve">IĮIDĮ </w:t>
            </w:r>
            <w:r w:rsidRPr="00B6034C">
              <w:rPr>
                <w:rFonts w:ascii="Times New Roman" w:hAnsi="Times New Roman" w:cs="Times New Roman"/>
                <w:color w:val="000000"/>
                <w:lang w:eastAsia="en-GB"/>
              </w:rPr>
              <w:t>12 straipsnis taikomas įmokų mokėjimo ciklui</w:t>
            </w:r>
            <w:r w:rsidR="00E25882">
              <w:rPr>
                <w:rFonts w:ascii="Times New Roman" w:hAnsi="Times New Roman" w:cs="Times New Roman"/>
                <w:color w:val="000000"/>
                <w:lang w:eastAsia="en-GB"/>
              </w:rPr>
              <w:t xml:space="preserve"> </w:t>
            </w:r>
            <w:r w:rsidRPr="00B6034C">
              <w:rPr>
                <w:rFonts w:ascii="Times New Roman" w:hAnsi="Times New Roman" w:cs="Times New Roman"/>
                <w:color w:val="000000"/>
                <w:lang w:eastAsia="en-GB"/>
              </w:rPr>
              <w:t xml:space="preserve">nuo einamųjų metų liepos 1 d. iki kitų metų birželio 30 d. Lietuvos Respublikos finansų ministro 2020 m. gegužės 19 d. įsakymu Nr. 1K-141 „Dėl metinės (EX ANTE) indėlių draudimo įmokų sumos nustatymo“ jau yra nustatyta draudimo įmokų suma draudimo įmokų ciklui nuo 2020 m. liepos 1 d. iki 2021 m. birželio 30 d. Įmoka yra apskaičiuota, Lietuvos bankas nustatė rizikos koeficientus ir apie mokėtiną metinę </w:t>
            </w:r>
            <w:r w:rsidR="000F50F9">
              <w:rPr>
                <w:rFonts w:ascii="Times New Roman" w:hAnsi="Times New Roman" w:cs="Times New Roman"/>
                <w:color w:val="000000"/>
                <w:lang w:eastAsia="en-GB"/>
              </w:rPr>
              <w:t xml:space="preserve">indėlių </w:t>
            </w:r>
            <w:r w:rsidRPr="00B6034C">
              <w:rPr>
                <w:rFonts w:ascii="Times New Roman" w:hAnsi="Times New Roman" w:cs="Times New Roman"/>
                <w:color w:val="000000"/>
                <w:lang w:eastAsia="en-GB"/>
              </w:rPr>
              <w:t>draudimo įmokos sumą indėlių draudimo sistemos dalyviai</w:t>
            </w:r>
            <w:r w:rsidR="000F50F9">
              <w:rPr>
                <w:rFonts w:ascii="Times New Roman" w:hAnsi="Times New Roman" w:cs="Times New Roman"/>
                <w:color w:val="000000"/>
                <w:lang w:eastAsia="en-GB"/>
              </w:rPr>
              <w:t xml:space="preserve"> buvo </w:t>
            </w:r>
            <w:r w:rsidRPr="00B6034C">
              <w:rPr>
                <w:rFonts w:ascii="Times New Roman" w:hAnsi="Times New Roman" w:cs="Times New Roman"/>
                <w:color w:val="000000"/>
                <w:lang w:eastAsia="en-GB"/>
              </w:rPr>
              <w:t xml:space="preserve">informuoti iki </w:t>
            </w:r>
            <w:r w:rsidR="000F50F9">
              <w:rPr>
                <w:rFonts w:ascii="Times New Roman" w:hAnsi="Times New Roman" w:cs="Times New Roman"/>
                <w:color w:val="000000"/>
                <w:lang w:eastAsia="en-GB"/>
              </w:rPr>
              <w:t xml:space="preserve">2020 m. </w:t>
            </w:r>
            <w:bookmarkStart w:id="0" w:name="_GoBack"/>
            <w:bookmarkEnd w:id="0"/>
            <w:r w:rsidRPr="00B6034C">
              <w:rPr>
                <w:rFonts w:ascii="Times New Roman" w:hAnsi="Times New Roman" w:cs="Times New Roman"/>
                <w:color w:val="000000"/>
                <w:lang w:eastAsia="en-GB"/>
              </w:rPr>
              <w:t>birželio 25 d.</w:t>
            </w:r>
          </w:p>
          <w:p w:rsidR="000E35CE" w:rsidRPr="00B6034C" w:rsidRDefault="000E35CE" w:rsidP="00B6034C">
            <w:pPr>
              <w:spacing w:after="0" w:line="240" w:lineRule="auto"/>
              <w:jc w:val="both"/>
              <w:rPr>
                <w:rFonts w:ascii="Times New Roman" w:hAnsi="Times New Roman" w:cs="Times New Roman"/>
                <w:bCs/>
              </w:rPr>
            </w:pPr>
            <w:r w:rsidRPr="00B6034C">
              <w:rPr>
                <w:rFonts w:ascii="Times New Roman" w:hAnsi="Times New Roman" w:cs="Times New Roman"/>
                <w:color w:val="000000"/>
                <w:lang w:eastAsia="en-GB"/>
              </w:rPr>
              <w:t xml:space="preserve">Pažymėtina, kad </w:t>
            </w:r>
            <w:r w:rsidR="001E0DEA" w:rsidRPr="00B6034C">
              <w:rPr>
                <w:rFonts w:ascii="Times New Roman" w:hAnsi="Times New Roman" w:cs="Times New Roman"/>
                <w:color w:val="000000"/>
                <w:lang w:eastAsia="en-GB"/>
              </w:rPr>
              <w:t xml:space="preserve">siūlomoms naujoms nuostatoms </w:t>
            </w:r>
            <w:r w:rsidRPr="00B6034C">
              <w:rPr>
                <w:rFonts w:ascii="Times New Roman" w:hAnsi="Times New Roman" w:cs="Times New Roman"/>
                <w:color w:val="000000"/>
                <w:lang w:eastAsia="en-GB"/>
              </w:rPr>
              <w:t xml:space="preserve">įsigaliojus anksčiau būtų pažeisti teisėti kredito įstaigų lūkesčiai. Papildomai atkreiptinas dėmesys, kad, pasikeitus įmokų apskaičiavimo periodiškumui, reikės keisti įstatymo įgyvendinamuosius teisės aktus, prieš tai juos suderinti su suinteresuotomis šalimis, atlikti VĮ </w:t>
            </w:r>
            <w:r w:rsidRPr="00B6034C">
              <w:rPr>
                <w:rFonts w:ascii="Times New Roman" w:hAnsi="Times New Roman" w:cs="Times New Roman"/>
                <w:color w:val="000000"/>
              </w:rPr>
              <w:t xml:space="preserve">„Indėlių ir investicijų draudimas“ </w:t>
            </w:r>
            <w:r w:rsidRPr="00B6034C">
              <w:rPr>
                <w:rFonts w:ascii="Times New Roman" w:hAnsi="Times New Roman" w:cs="Times New Roman"/>
                <w:color w:val="000000"/>
                <w:lang w:eastAsia="en-GB"/>
              </w:rPr>
              <w:t xml:space="preserve">informacinių sistemų atnaujinimus, susijusius su įmokų apskaičiavimu ir kt., o tam reikia laiko. </w:t>
            </w:r>
          </w:p>
        </w:tc>
      </w:tr>
    </w:tbl>
    <w:p w:rsidR="000E35CE" w:rsidRPr="00B6034C" w:rsidRDefault="000E35CE" w:rsidP="000E35CE">
      <w:pPr>
        <w:jc w:val="center"/>
        <w:rPr>
          <w:rFonts w:ascii="Times New Roman" w:hAnsi="Times New Roman" w:cs="Times New Roman"/>
        </w:rPr>
      </w:pPr>
      <w:r w:rsidRPr="00B6034C">
        <w:rPr>
          <w:rFonts w:ascii="Times New Roman" w:hAnsi="Times New Roman" w:cs="Times New Roman"/>
        </w:rPr>
        <w:t>____________________</w:t>
      </w:r>
    </w:p>
    <w:sectPr w:rsidR="000E35CE" w:rsidRPr="00B6034C" w:rsidSect="00902969">
      <w:headerReference w:type="default" r:id="rId8"/>
      <w:pgSz w:w="16838" w:h="11906" w:orient="landscape"/>
      <w:pgMar w:top="993" w:right="1103"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00" w:rsidRDefault="001E0DEA">
      <w:pPr>
        <w:spacing w:after="0" w:line="240" w:lineRule="auto"/>
      </w:pPr>
      <w:r>
        <w:separator/>
      </w:r>
    </w:p>
  </w:endnote>
  <w:endnote w:type="continuationSeparator" w:id="0">
    <w:p w:rsidR="00BD4E00" w:rsidRDefault="001E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00" w:rsidRDefault="001E0DEA">
      <w:pPr>
        <w:spacing w:after="0" w:line="240" w:lineRule="auto"/>
      </w:pPr>
      <w:r>
        <w:separator/>
      </w:r>
    </w:p>
  </w:footnote>
  <w:footnote w:type="continuationSeparator" w:id="0">
    <w:p w:rsidR="00BD4E00" w:rsidRDefault="001E0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D8" w:rsidRDefault="001507F0">
    <w:pPr>
      <w:pStyle w:val="Antrats"/>
      <w:jc w:val="center"/>
    </w:pPr>
    <w:r>
      <w:fldChar w:fldCharType="begin"/>
    </w:r>
    <w:r>
      <w:instrText>PAGE   \* MERGEFORMAT</w:instrText>
    </w:r>
    <w:r>
      <w:fldChar w:fldCharType="separate"/>
    </w:r>
    <w:r w:rsidR="000F50F9">
      <w:rPr>
        <w:noProof/>
      </w:rPr>
      <w:t>2</w:t>
    </w:r>
    <w:r>
      <w:fldChar w:fldCharType="end"/>
    </w:r>
  </w:p>
  <w:p w:rsidR="007E55D8" w:rsidRDefault="002A2B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59E1"/>
    <w:multiLevelType w:val="hybridMultilevel"/>
    <w:tmpl w:val="4BC065A4"/>
    <w:lvl w:ilvl="0" w:tplc="487AFAFC">
      <w:start w:val="6"/>
      <w:numFmt w:val="decimal"/>
      <w:lvlText w:val="%1)"/>
      <w:lvlJc w:val="left"/>
      <w:pPr>
        <w:ind w:left="322" w:hanging="360"/>
      </w:pPr>
      <w:rPr>
        <w:rFonts w:hint="default"/>
      </w:rPr>
    </w:lvl>
    <w:lvl w:ilvl="1" w:tplc="04270019" w:tentative="1">
      <w:start w:val="1"/>
      <w:numFmt w:val="lowerLetter"/>
      <w:lvlText w:val="%2."/>
      <w:lvlJc w:val="left"/>
      <w:pPr>
        <w:ind w:left="1042" w:hanging="360"/>
      </w:pPr>
    </w:lvl>
    <w:lvl w:ilvl="2" w:tplc="0427001B" w:tentative="1">
      <w:start w:val="1"/>
      <w:numFmt w:val="lowerRoman"/>
      <w:lvlText w:val="%3."/>
      <w:lvlJc w:val="right"/>
      <w:pPr>
        <w:ind w:left="1762" w:hanging="180"/>
      </w:pPr>
    </w:lvl>
    <w:lvl w:ilvl="3" w:tplc="0427000F" w:tentative="1">
      <w:start w:val="1"/>
      <w:numFmt w:val="decimal"/>
      <w:lvlText w:val="%4."/>
      <w:lvlJc w:val="left"/>
      <w:pPr>
        <w:ind w:left="2482" w:hanging="360"/>
      </w:pPr>
    </w:lvl>
    <w:lvl w:ilvl="4" w:tplc="04270019" w:tentative="1">
      <w:start w:val="1"/>
      <w:numFmt w:val="lowerLetter"/>
      <w:lvlText w:val="%5."/>
      <w:lvlJc w:val="left"/>
      <w:pPr>
        <w:ind w:left="3202" w:hanging="360"/>
      </w:pPr>
    </w:lvl>
    <w:lvl w:ilvl="5" w:tplc="0427001B" w:tentative="1">
      <w:start w:val="1"/>
      <w:numFmt w:val="lowerRoman"/>
      <w:lvlText w:val="%6."/>
      <w:lvlJc w:val="right"/>
      <w:pPr>
        <w:ind w:left="3922" w:hanging="180"/>
      </w:pPr>
    </w:lvl>
    <w:lvl w:ilvl="6" w:tplc="0427000F" w:tentative="1">
      <w:start w:val="1"/>
      <w:numFmt w:val="decimal"/>
      <w:lvlText w:val="%7."/>
      <w:lvlJc w:val="left"/>
      <w:pPr>
        <w:ind w:left="4642" w:hanging="360"/>
      </w:pPr>
    </w:lvl>
    <w:lvl w:ilvl="7" w:tplc="04270019" w:tentative="1">
      <w:start w:val="1"/>
      <w:numFmt w:val="lowerLetter"/>
      <w:lvlText w:val="%8."/>
      <w:lvlJc w:val="left"/>
      <w:pPr>
        <w:ind w:left="5362" w:hanging="360"/>
      </w:pPr>
    </w:lvl>
    <w:lvl w:ilvl="8" w:tplc="0427001B" w:tentative="1">
      <w:start w:val="1"/>
      <w:numFmt w:val="lowerRoman"/>
      <w:lvlText w:val="%9."/>
      <w:lvlJc w:val="right"/>
      <w:pPr>
        <w:ind w:left="60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90"/>
  <w:drawingGridVerticalSpacing w:val="24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61"/>
    <w:rsid w:val="000446DC"/>
    <w:rsid w:val="000E35CE"/>
    <w:rsid w:val="000F50F9"/>
    <w:rsid w:val="001507F0"/>
    <w:rsid w:val="001E0DEA"/>
    <w:rsid w:val="00231FC7"/>
    <w:rsid w:val="002A2B0B"/>
    <w:rsid w:val="004008C7"/>
    <w:rsid w:val="00756761"/>
    <w:rsid w:val="007C0481"/>
    <w:rsid w:val="00A76E45"/>
    <w:rsid w:val="00B6034C"/>
    <w:rsid w:val="00BA50D2"/>
    <w:rsid w:val="00BD4E00"/>
    <w:rsid w:val="00BF3C71"/>
    <w:rsid w:val="00E2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E3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E35CE"/>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0E35C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0E35CE"/>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603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03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E3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E35CE"/>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0E35C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0E35CE"/>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603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0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3812</TotalTime>
  <Pages>2</Pages>
  <Words>4005</Words>
  <Characters>2284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Adlienė</dc:creator>
  <cp:lastModifiedBy>Egidija Adlienė</cp:lastModifiedBy>
  <cp:revision>6</cp:revision>
  <dcterms:created xsi:type="dcterms:W3CDTF">2020-09-25T10:58:00Z</dcterms:created>
  <dcterms:modified xsi:type="dcterms:W3CDTF">2020-09-28T06:19:00Z</dcterms:modified>
</cp:coreProperties>
</file>