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</w:tblGrid>
      <w:tr w:rsidR="007F2C9E" w:rsidRPr="007F2C9E" w:rsidTr="007F2C9E">
        <w:tc>
          <w:tcPr>
            <w:tcW w:w="2545" w:type="dxa"/>
          </w:tcPr>
          <w:p w:rsidR="007F2C9E" w:rsidRPr="007F2C9E" w:rsidRDefault="007F2C9E" w:rsidP="00835793">
            <w:pPr>
              <w:pStyle w:val="Hyperlink1"/>
              <w:tabs>
                <w:tab w:val="left" w:pos="7371"/>
              </w:tabs>
              <w:ind w:right="1303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F2C9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Projekto</w:t>
            </w:r>
          </w:p>
        </w:tc>
      </w:tr>
      <w:tr w:rsidR="007F2C9E" w:rsidRPr="007F2C9E" w:rsidTr="007F2C9E">
        <w:tc>
          <w:tcPr>
            <w:tcW w:w="2545" w:type="dxa"/>
          </w:tcPr>
          <w:p w:rsidR="007F2C9E" w:rsidRPr="007F2C9E" w:rsidRDefault="00472F68" w:rsidP="007A79A8">
            <w:pPr>
              <w:pStyle w:val="Hyperlink1"/>
              <w:tabs>
                <w:tab w:val="left" w:pos="7371"/>
              </w:tabs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7F2C9E" w:rsidRPr="007F2C9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lyginamasis variantas</w:t>
            </w:r>
          </w:p>
        </w:tc>
      </w:tr>
    </w:tbl>
    <w:p w:rsidR="00D850ED" w:rsidRPr="00E57E67" w:rsidRDefault="00D850ED" w:rsidP="00DF5EA3">
      <w:pPr>
        <w:pStyle w:val="Hyperlink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3776C2" w:rsidRPr="0095332E" w:rsidRDefault="003776C2" w:rsidP="003776C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LIETUVOS RESPUBLIKOS</w:t>
      </w:r>
    </w:p>
    <w:p w:rsidR="003776C2" w:rsidRPr="0095332E" w:rsidRDefault="003776C2" w:rsidP="003776C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ELEKTRONINIŲ RYŠIŲ ĮSTATYMO NR. IX-2135 12</w:t>
      </w:r>
      <w:r w:rsidR="00A34722">
        <w:rPr>
          <w:rFonts w:ascii="Times New Roman" w:hAnsi="Times New Roman"/>
          <w:sz w:val="24"/>
          <w:szCs w:val="24"/>
          <w:lang w:val="lt-LT"/>
        </w:rPr>
        <w:t>, 74</w:t>
      </w:r>
      <w:r w:rsidRPr="0095332E">
        <w:rPr>
          <w:rFonts w:ascii="Times New Roman" w:hAnsi="Times New Roman"/>
          <w:sz w:val="24"/>
          <w:szCs w:val="24"/>
          <w:lang w:val="lt-LT"/>
        </w:rPr>
        <w:t xml:space="preserve"> STRAIPSNI</w:t>
      </w:r>
      <w:r w:rsidR="000D7EA3">
        <w:rPr>
          <w:rFonts w:ascii="Times New Roman" w:hAnsi="Times New Roman"/>
          <w:sz w:val="24"/>
          <w:szCs w:val="24"/>
          <w:lang w:val="lt-LT"/>
        </w:rPr>
        <w:t>Ų</w:t>
      </w:r>
    </w:p>
    <w:p w:rsidR="003776C2" w:rsidRPr="0095332E" w:rsidRDefault="003776C2" w:rsidP="003776C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ir 2 priedo PAKEITIMO</w:t>
      </w:r>
    </w:p>
    <w:p w:rsidR="003776C2" w:rsidRPr="0095332E" w:rsidRDefault="003776C2" w:rsidP="003776C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ĮSTATYMAS</w:t>
      </w:r>
    </w:p>
    <w:p w:rsidR="003776C2" w:rsidRPr="0095332E" w:rsidRDefault="003776C2" w:rsidP="003776C2">
      <w:pPr>
        <w:pStyle w:val="Hyperlink1"/>
        <w:rPr>
          <w:rFonts w:ascii="Times New Roman" w:hAnsi="Times New Roman"/>
          <w:sz w:val="24"/>
          <w:szCs w:val="24"/>
          <w:lang w:val="lt-LT"/>
        </w:rPr>
      </w:pPr>
    </w:p>
    <w:p w:rsidR="003776C2" w:rsidRPr="0095332E" w:rsidRDefault="003776C2" w:rsidP="003776C2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2019 m.                           d. Nr.</w:t>
      </w:r>
    </w:p>
    <w:p w:rsidR="003776C2" w:rsidRPr="0095332E" w:rsidRDefault="003776C2" w:rsidP="003776C2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Vilnius</w:t>
      </w:r>
    </w:p>
    <w:p w:rsidR="003776C2" w:rsidRPr="0095332E" w:rsidRDefault="003776C2" w:rsidP="003776C2">
      <w:pPr>
        <w:pStyle w:val="Statja"/>
        <w:spacing w:before="0"/>
        <w:ind w:left="0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3776C2" w:rsidRPr="0095332E" w:rsidRDefault="003776C2" w:rsidP="0091302F">
      <w:pPr>
        <w:pStyle w:val="Statja"/>
        <w:tabs>
          <w:tab w:val="clear" w:pos="1304"/>
          <w:tab w:val="left" w:pos="851"/>
        </w:tabs>
        <w:spacing w:before="0"/>
        <w:ind w:left="851"/>
        <w:rPr>
          <w:rFonts w:ascii="Times New Roman" w:hAnsi="Times New Roman"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1 straipsnis. 12 straipsnio pakeitimas</w:t>
      </w:r>
    </w:p>
    <w:p w:rsidR="003776C2" w:rsidRPr="0095332E" w:rsidRDefault="003776C2">
      <w:pPr>
        <w:pStyle w:val="Statja"/>
        <w:tabs>
          <w:tab w:val="clear" w:pos="1304"/>
          <w:tab w:val="clear" w:pos="1457"/>
          <w:tab w:val="clear" w:pos="1604"/>
          <w:tab w:val="clear" w:pos="1757"/>
        </w:tabs>
        <w:spacing w:before="0"/>
        <w:ind w:left="851"/>
        <w:rPr>
          <w:rFonts w:ascii="Times New Roman" w:hAnsi="Times New Roman"/>
          <w:b w:val="0"/>
          <w:sz w:val="24"/>
          <w:szCs w:val="24"/>
          <w:lang w:val="lt-LT"/>
        </w:rPr>
      </w:pPr>
      <w:r w:rsidRPr="0095332E">
        <w:rPr>
          <w:rFonts w:ascii="Times New Roman" w:hAnsi="Times New Roman"/>
          <w:b w:val="0"/>
          <w:sz w:val="24"/>
          <w:szCs w:val="24"/>
          <w:lang w:val="lt-LT"/>
        </w:rPr>
        <w:t>Pakeisti 12 straipsnio 5 dalies 4 punktą ir jį išdėstyti taip:</w:t>
      </w:r>
    </w:p>
    <w:p w:rsidR="003776C2" w:rsidRDefault="003776C2" w:rsidP="006A1D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5332E">
        <w:rPr>
          <w:rFonts w:ascii="Times New Roman" w:hAnsi="Times New Roman"/>
          <w:sz w:val="24"/>
          <w:szCs w:val="24"/>
        </w:rPr>
        <w:t>„</w:t>
      </w:r>
      <w:r w:rsidRPr="0095332E">
        <w:rPr>
          <w:rFonts w:ascii="Times New Roman" w:eastAsia="Times New Roman" w:hAnsi="Times New Roman" w:cs="Times New Roman"/>
          <w:sz w:val="24"/>
          <w:szCs w:val="24"/>
        </w:rPr>
        <w:t xml:space="preserve">4) įgyvendina Reglamento </w:t>
      </w:r>
      <w:r w:rsidR="009326EF" w:rsidRPr="009326EF">
        <w:rPr>
          <w:rFonts w:ascii="Times New Roman" w:eastAsia="Times New Roman" w:hAnsi="Times New Roman" w:cs="Times New Roman"/>
          <w:strike/>
          <w:sz w:val="24"/>
          <w:szCs w:val="24"/>
        </w:rPr>
        <w:t>(EB) Nr. 2006/2004</w:t>
      </w:r>
      <w:r w:rsidR="009326EF" w:rsidRPr="0093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6EF">
        <w:rPr>
          <w:rFonts w:ascii="Times New Roman" w:eastAsia="Times New Roman" w:hAnsi="Times New Roman" w:cs="Times New Roman"/>
          <w:b/>
          <w:sz w:val="24"/>
          <w:szCs w:val="24"/>
        </w:rPr>
        <w:t>(ES) 2017/2394</w:t>
      </w:r>
      <w:r w:rsidRPr="009533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332E">
        <w:rPr>
          <w:rFonts w:ascii="Times New Roman" w:eastAsia="Times New Roman" w:hAnsi="Times New Roman" w:cs="Times New Roman"/>
          <w:sz w:val="24"/>
          <w:szCs w:val="24"/>
        </w:rPr>
        <w:t>nuostatas, kiek tai susiję su šio Įstatymo 69 straipsnio reguliavimo dalyku;</w:t>
      </w:r>
      <w:r w:rsidRPr="0095332E">
        <w:rPr>
          <w:rFonts w:ascii="Times New Roman" w:hAnsi="Times New Roman"/>
          <w:sz w:val="24"/>
          <w:szCs w:val="24"/>
        </w:rPr>
        <w:t>“</w:t>
      </w:r>
      <w:r w:rsidR="00835793">
        <w:rPr>
          <w:rFonts w:ascii="Times New Roman" w:hAnsi="Times New Roman"/>
          <w:sz w:val="24"/>
          <w:szCs w:val="24"/>
        </w:rPr>
        <w:t>.</w:t>
      </w:r>
    </w:p>
    <w:p w:rsidR="00A34722" w:rsidRDefault="00A34722" w:rsidP="006A1DC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34722" w:rsidRPr="00A34722" w:rsidRDefault="00A34722" w:rsidP="006A1DC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34722">
        <w:rPr>
          <w:rFonts w:ascii="Times New Roman" w:hAnsi="Times New Roman"/>
          <w:b/>
          <w:sz w:val="24"/>
          <w:szCs w:val="24"/>
        </w:rPr>
        <w:t>2 straipsnis. 74 straipsnio pakeitimas</w:t>
      </w:r>
    </w:p>
    <w:p w:rsidR="00A34722" w:rsidRPr="00E0101B" w:rsidRDefault="00A34722" w:rsidP="006A1D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101B">
        <w:rPr>
          <w:rFonts w:ascii="Times New Roman" w:hAnsi="Times New Roman"/>
          <w:sz w:val="24"/>
          <w:szCs w:val="24"/>
        </w:rPr>
        <w:t>Papildyti 74 straipsnį 7 dalimi:</w:t>
      </w:r>
    </w:p>
    <w:p w:rsidR="00A34722" w:rsidRDefault="00A34722" w:rsidP="006A1DC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503D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A34722">
        <w:rPr>
          <w:rFonts w:ascii="Times New Roman" w:hAnsi="Times New Roman"/>
          <w:b/>
          <w:sz w:val="24"/>
          <w:szCs w:val="24"/>
        </w:rPr>
        <w:t xml:space="preserve">Už šio Įstatymo 69 straipsnio pažeidimus, kurie patenka į Reglamento (ES) 2017/2394 taikymo sritį, Valstybinė duomenų apsaugos inspekcija turi teisę </w:t>
      </w:r>
      <w:r w:rsidR="000A57DE">
        <w:rPr>
          <w:rFonts w:ascii="Times New Roman" w:hAnsi="Times New Roman"/>
          <w:b/>
          <w:sz w:val="24"/>
          <w:szCs w:val="24"/>
        </w:rPr>
        <w:t xml:space="preserve">asmeniui </w:t>
      </w:r>
      <w:r w:rsidRPr="00A34722">
        <w:rPr>
          <w:rFonts w:ascii="Times New Roman" w:hAnsi="Times New Roman"/>
          <w:b/>
          <w:sz w:val="24"/>
          <w:szCs w:val="24"/>
        </w:rPr>
        <w:t>skirti ekonominę sankciją – iki 60</w:t>
      </w:r>
      <w:r w:rsidR="000D7EA3">
        <w:rPr>
          <w:rFonts w:ascii="Times New Roman" w:hAnsi="Times New Roman"/>
          <w:b/>
          <w:sz w:val="24"/>
          <w:szCs w:val="24"/>
        </w:rPr>
        <w:t> </w:t>
      </w:r>
      <w:r w:rsidRPr="00A34722">
        <w:rPr>
          <w:rFonts w:ascii="Times New Roman" w:hAnsi="Times New Roman"/>
          <w:b/>
          <w:sz w:val="24"/>
          <w:szCs w:val="24"/>
        </w:rPr>
        <w:t>000 eurų,</w:t>
      </w:r>
      <w:r w:rsidR="000D7EA3">
        <w:rPr>
          <w:rFonts w:ascii="Times New Roman" w:hAnsi="Times New Roman"/>
          <w:b/>
          <w:sz w:val="24"/>
          <w:szCs w:val="24"/>
        </w:rPr>
        <w:t xml:space="preserve"> jei tai</w:t>
      </w:r>
      <w:r w:rsidR="000A57D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0A57DE">
        <w:rPr>
          <w:rFonts w:ascii="Times New Roman" w:hAnsi="Times New Roman"/>
          <w:b/>
          <w:sz w:val="24"/>
          <w:szCs w:val="24"/>
        </w:rPr>
        <w:t>ūkio subjektas</w:t>
      </w:r>
      <w:r w:rsidR="000D7EA3">
        <w:rPr>
          <w:rFonts w:ascii="Times New Roman" w:hAnsi="Times New Roman"/>
          <w:b/>
          <w:sz w:val="24"/>
          <w:szCs w:val="24"/>
        </w:rPr>
        <w:t>,</w:t>
      </w:r>
      <w:r w:rsidRPr="00A34722">
        <w:rPr>
          <w:rFonts w:ascii="Times New Roman" w:hAnsi="Times New Roman"/>
          <w:b/>
          <w:sz w:val="24"/>
          <w:szCs w:val="24"/>
        </w:rPr>
        <w:t xml:space="preserve"> – iki 1 procento jo ankstesnių finansinių metų bendros metinės pasaulinės apyvartos, </w:t>
      </w:r>
      <w:r w:rsidR="00391260" w:rsidRPr="00391260">
        <w:rPr>
          <w:rFonts w:ascii="Times New Roman" w:hAnsi="Times New Roman"/>
          <w:b/>
          <w:sz w:val="24"/>
          <w:szCs w:val="24"/>
        </w:rPr>
        <w:t xml:space="preserve">bet ne </w:t>
      </w:r>
      <w:r w:rsidR="000D7EA3">
        <w:rPr>
          <w:rFonts w:ascii="Times New Roman" w:hAnsi="Times New Roman"/>
          <w:b/>
          <w:sz w:val="24"/>
          <w:szCs w:val="24"/>
        </w:rPr>
        <w:t>daugiau</w:t>
      </w:r>
      <w:r w:rsidR="000D7EA3" w:rsidRPr="00391260">
        <w:rPr>
          <w:rFonts w:ascii="Times New Roman" w:hAnsi="Times New Roman"/>
          <w:b/>
          <w:sz w:val="24"/>
          <w:szCs w:val="24"/>
        </w:rPr>
        <w:t xml:space="preserve"> </w:t>
      </w:r>
      <w:r w:rsidR="00391260" w:rsidRPr="00391260">
        <w:rPr>
          <w:rFonts w:ascii="Times New Roman" w:hAnsi="Times New Roman"/>
          <w:b/>
          <w:sz w:val="24"/>
          <w:szCs w:val="24"/>
        </w:rPr>
        <w:t xml:space="preserve">negu </w:t>
      </w:r>
      <w:r w:rsidR="000D7EA3">
        <w:rPr>
          <w:rFonts w:ascii="Times New Roman" w:hAnsi="Times New Roman"/>
          <w:b/>
          <w:sz w:val="24"/>
          <w:szCs w:val="24"/>
        </w:rPr>
        <w:t>60 000 </w:t>
      </w:r>
      <w:r w:rsidR="00391260" w:rsidRPr="00391260">
        <w:rPr>
          <w:rFonts w:ascii="Times New Roman" w:hAnsi="Times New Roman"/>
          <w:b/>
          <w:sz w:val="24"/>
          <w:szCs w:val="24"/>
        </w:rPr>
        <w:t>eurų.</w:t>
      </w:r>
      <w:r w:rsidRPr="00A34722">
        <w:rPr>
          <w:rFonts w:ascii="Times New Roman" w:hAnsi="Times New Roman"/>
          <w:b/>
          <w:sz w:val="24"/>
          <w:szCs w:val="24"/>
        </w:rPr>
        <w:t xml:space="preserve"> Ekonomines sankcijas Valstybinė duomenų apsaugos inspekcija skiria vadovaudamasi Asmens duomenų teisinės apsaugos įstatyme nustatyta administracinių baudų skyrimo tvarka.</w:t>
      </w:r>
      <w:r w:rsidRPr="00F503DE">
        <w:rPr>
          <w:rFonts w:ascii="Times New Roman" w:hAnsi="Times New Roman"/>
          <w:sz w:val="24"/>
          <w:szCs w:val="24"/>
        </w:rPr>
        <w:t>“</w:t>
      </w:r>
    </w:p>
    <w:p w:rsidR="00A34722" w:rsidRPr="0095332E" w:rsidRDefault="00A34722" w:rsidP="006A1DC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776C2" w:rsidRPr="0095332E" w:rsidRDefault="00A34722" w:rsidP="003776C2">
      <w:pPr>
        <w:pStyle w:val="Hyperlink1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3</w:t>
      </w:r>
      <w:r w:rsidR="003776C2" w:rsidRPr="0095332E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straipsnis. Įstatymo 2 priedo pakeitimas </w:t>
      </w:r>
    </w:p>
    <w:p w:rsidR="003776C2" w:rsidRDefault="003776C2" w:rsidP="006A1DCB">
      <w:pPr>
        <w:pStyle w:val="Hyperlink1"/>
        <w:numPr>
          <w:ilvl w:val="0"/>
          <w:numId w:val="4"/>
        </w:numPr>
        <w:tabs>
          <w:tab w:val="left" w:pos="1134"/>
        </w:tabs>
        <w:ind w:left="0" w:firstLine="851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 xml:space="preserve">Pripažinti </w:t>
      </w:r>
      <w:r w:rsidRPr="005B5CE8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netekusiu galios </w:t>
      </w:r>
      <w:r w:rsidR="0091302F">
        <w:rPr>
          <w:rFonts w:ascii="Times New Roman" w:hAnsi="Times New Roman"/>
          <w:color w:val="000000"/>
          <w:sz w:val="24"/>
          <w:szCs w:val="24"/>
          <w:lang w:val="lt-LT" w:eastAsia="lt-LT"/>
        </w:rPr>
        <w:t>į</w:t>
      </w:r>
      <w:r w:rsidR="00BF3B3E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statymo </w:t>
      </w:r>
      <w:r w:rsidRPr="005B5CE8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2 priedo </w:t>
      </w:r>
      <w:r w:rsidRPr="0095332E">
        <w:rPr>
          <w:rFonts w:ascii="Times New Roman" w:hAnsi="Times New Roman"/>
          <w:color w:val="000000"/>
          <w:sz w:val="24"/>
          <w:szCs w:val="24"/>
          <w:lang w:val="lt-LT" w:eastAsia="lt-LT"/>
        </w:rPr>
        <w:t>13</w:t>
      </w:r>
      <w:r w:rsidRPr="005B5CE8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punktą.</w:t>
      </w:r>
      <w:r w:rsidR="000F0C42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</w:p>
    <w:p w:rsidR="009326EF" w:rsidRPr="009326EF" w:rsidRDefault="009326EF" w:rsidP="009326EF">
      <w:pPr>
        <w:pStyle w:val="Hyperlink1"/>
        <w:ind w:firstLine="851"/>
        <w:rPr>
          <w:rFonts w:ascii="Times New Roman" w:hAnsi="Times New Roman"/>
          <w:strike/>
          <w:sz w:val="24"/>
          <w:szCs w:val="24"/>
          <w:lang w:val="lt-LT"/>
        </w:rPr>
      </w:pPr>
      <w:r w:rsidRPr="009326EF">
        <w:rPr>
          <w:rFonts w:ascii="Times New Roman" w:hAnsi="Times New Roman"/>
          <w:strike/>
          <w:sz w:val="24"/>
          <w:szCs w:val="24"/>
          <w:lang w:val="lt-LT"/>
        </w:rPr>
        <w:t>13. 2004 m. spalio 27 d. Europos Parlamento ir Tarybos reglamentas (EB) Nr. 2006/2004 dėl nacionalinių institucijų, atsakingų už vartotojų apsaugos teisės aktų vykdymą, bendradarbiavimo (OL 2004 L 364, p. 1).</w:t>
      </w:r>
    </w:p>
    <w:p w:rsidR="003776C2" w:rsidRPr="0095332E" w:rsidRDefault="000F0C42" w:rsidP="000F0C42">
      <w:pPr>
        <w:pStyle w:val="Hyperlink1"/>
        <w:ind w:left="851"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3776C2" w:rsidRPr="0095332E">
        <w:rPr>
          <w:rFonts w:ascii="Times New Roman" w:hAnsi="Times New Roman"/>
          <w:sz w:val="24"/>
          <w:szCs w:val="24"/>
          <w:lang w:val="lt-LT"/>
        </w:rPr>
        <w:t xml:space="preserve">Papildyti </w:t>
      </w:r>
      <w:r w:rsidR="0091302F">
        <w:rPr>
          <w:rFonts w:ascii="Times New Roman" w:hAnsi="Times New Roman"/>
          <w:sz w:val="24"/>
          <w:szCs w:val="24"/>
          <w:lang w:val="lt-LT"/>
        </w:rPr>
        <w:t>į</w:t>
      </w:r>
      <w:r w:rsidR="00BF3B3E">
        <w:rPr>
          <w:rFonts w:ascii="Times New Roman" w:hAnsi="Times New Roman"/>
          <w:sz w:val="24"/>
          <w:szCs w:val="24"/>
          <w:lang w:val="lt-LT"/>
        </w:rPr>
        <w:t xml:space="preserve">statymo </w:t>
      </w:r>
      <w:r w:rsidR="003776C2" w:rsidRPr="0095332E">
        <w:rPr>
          <w:rFonts w:ascii="Times New Roman" w:hAnsi="Times New Roman"/>
          <w:sz w:val="24"/>
          <w:szCs w:val="24"/>
          <w:lang w:val="lt-LT"/>
        </w:rPr>
        <w:t>2 priedą 21 punktu:</w:t>
      </w:r>
    </w:p>
    <w:p w:rsidR="003776C2" w:rsidRPr="0095332E" w:rsidRDefault="003776C2" w:rsidP="003776C2">
      <w:pPr>
        <w:pStyle w:val="Hyperlink1"/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95332E">
        <w:rPr>
          <w:rFonts w:ascii="Times New Roman" w:hAnsi="Times New Roman"/>
          <w:sz w:val="24"/>
          <w:szCs w:val="24"/>
          <w:lang w:val="lt-LT"/>
        </w:rPr>
        <w:t>„</w:t>
      </w:r>
      <w:r w:rsidRPr="009326EF">
        <w:rPr>
          <w:rFonts w:ascii="Times New Roman" w:hAnsi="Times New Roman"/>
          <w:b/>
          <w:sz w:val="24"/>
          <w:szCs w:val="24"/>
          <w:lang w:val="lt-LT"/>
        </w:rPr>
        <w:t xml:space="preserve">21. </w:t>
      </w:r>
      <w:r w:rsidRPr="009326EF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2017 m. gruodžio 12 d. Europos Parlamento ir Tarybos reglamentas (ES) 2017/2394 dėl nacionalinių institucijų, atsakingų už vartotojų apsaugos teisės aktų vykdymo užtikrinimą, bendradarbiavimo, kuriuo panaikinamas Reglamentas (EB) Nr. 2006/2004 (</w:t>
      </w:r>
      <w:r w:rsidRPr="009326EF">
        <w:rPr>
          <w:rFonts w:ascii="Times New Roman" w:hAnsi="Times New Roman"/>
          <w:b/>
          <w:sz w:val="24"/>
          <w:szCs w:val="24"/>
          <w:lang w:val="lt-LT"/>
        </w:rPr>
        <w:t>OL 2017 L 345, p. 1</w:t>
      </w:r>
      <w:r w:rsidRPr="009326EF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)</w:t>
      </w:r>
      <w:r w:rsidR="00A34722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,</w:t>
      </w:r>
      <w:r w:rsidR="00A34722" w:rsidRPr="00A34722">
        <w:rPr>
          <w:rFonts w:ascii="Times New Roman" w:eastAsia="Calibri" w:hAnsi="Times New Roman"/>
          <w:bCs/>
          <w:color w:val="000000"/>
          <w:sz w:val="24"/>
          <w:szCs w:val="24"/>
          <w:lang w:val="lt-LT" w:eastAsia="ar-SA"/>
        </w:rPr>
        <w:t xml:space="preserve"> </w:t>
      </w:r>
      <w:r w:rsidR="00A34722" w:rsidRPr="00A34722"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su paskutiniais pakeitimais, padarytais 2019 m. gegužės 20 d. Europos Parlamento ir Tarybos direktyva (ES) 2019/771 (OL 2019 L 136, p. 28)</w:t>
      </w:r>
      <w:r w:rsidRPr="009326EF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.</w:t>
      </w:r>
      <w:r w:rsidRPr="003776C2">
        <w:rPr>
          <w:rFonts w:ascii="Times New Roman" w:hAnsi="Times New Roman"/>
          <w:sz w:val="24"/>
          <w:szCs w:val="24"/>
          <w:lang w:val="lt-LT"/>
        </w:rPr>
        <w:t>“</w:t>
      </w:r>
    </w:p>
    <w:p w:rsidR="00835793" w:rsidRDefault="00835793" w:rsidP="003776C2">
      <w:pPr>
        <w:pStyle w:val="Pagrindiniotekstotrauka"/>
        <w:ind w:firstLine="851"/>
        <w:rPr>
          <w:b/>
          <w:szCs w:val="24"/>
        </w:rPr>
      </w:pPr>
    </w:p>
    <w:p w:rsidR="003776C2" w:rsidRPr="0095332E" w:rsidRDefault="00A34722" w:rsidP="003776C2">
      <w:pPr>
        <w:pStyle w:val="Pagrindiniotekstotrauka"/>
        <w:ind w:firstLine="851"/>
        <w:rPr>
          <w:b/>
          <w:szCs w:val="24"/>
        </w:rPr>
      </w:pPr>
      <w:r>
        <w:rPr>
          <w:b/>
          <w:szCs w:val="24"/>
        </w:rPr>
        <w:t>4</w:t>
      </w:r>
      <w:r w:rsidR="003776C2" w:rsidRPr="0095332E">
        <w:rPr>
          <w:b/>
          <w:szCs w:val="24"/>
        </w:rPr>
        <w:t xml:space="preserve"> straipsnis. Įstatymo įsigaliojimas</w:t>
      </w:r>
    </w:p>
    <w:p w:rsidR="003776C2" w:rsidRPr="0095332E" w:rsidRDefault="003776C2" w:rsidP="003776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332E">
        <w:rPr>
          <w:rFonts w:ascii="Times New Roman" w:hAnsi="Times New Roman" w:cs="Times New Roman"/>
          <w:sz w:val="24"/>
          <w:szCs w:val="24"/>
        </w:rPr>
        <w:t>Šis įstatymas įsigalioja 2020 m. sausio 17 d.</w:t>
      </w:r>
    </w:p>
    <w:p w:rsidR="00F67117" w:rsidRDefault="00F67117" w:rsidP="008874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351E" w:rsidRPr="00E57E67" w:rsidRDefault="00F0351E" w:rsidP="008874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7117" w:rsidRPr="00E57E67" w:rsidRDefault="0046732B" w:rsidP="00907940">
      <w:pPr>
        <w:pStyle w:val="Pagrindiniotekstotrauka"/>
        <w:ind w:firstLine="851"/>
        <w:rPr>
          <w:i/>
          <w:szCs w:val="24"/>
        </w:rPr>
      </w:pPr>
      <w:r w:rsidRPr="00E57E67">
        <w:rPr>
          <w:i/>
          <w:szCs w:val="24"/>
        </w:rPr>
        <w:t>Skelbiu šį Lietuvos Respublikos Seimo priimtą įstatymą.</w:t>
      </w:r>
    </w:p>
    <w:p w:rsidR="00F67117" w:rsidRDefault="00F67117" w:rsidP="00067146">
      <w:pPr>
        <w:pStyle w:val="Pagrindiniotekstotrauka"/>
        <w:ind w:firstLine="720"/>
        <w:rPr>
          <w:b/>
          <w:szCs w:val="24"/>
        </w:rPr>
      </w:pPr>
    </w:p>
    <w:p w:rsidR="00F0351E" w:rsidRPr="00E57E67" w:rsidRDefault="00F0351E" w:rsidP="00067146">
      <w:pPr>
        <w:pStyle w:val="Pagrindiniotekstotrauka"/>
        <w:ind w:firstLine="720"/>
        <w:rPr>
          <w:b/>
          <w:szCs w:val="24"/>
        </w:rPr>
      </w:pPr>
    </w:p>
    <w:p w:rsidR="000F0C42" w:rsidRDefault="00835793" w:rsidP="007F2C9E">
      <w:pPr>
        <w:pStyle w:val="Pagrindiniotekstotrauka"/>
        <w:rPr>
          <w:szCs w:val="24"/>
        </w:rPr>
      </w:pPr>
      <w:r w:rsidRPr="00E57E67">
        <w:rPr>
          <w:szCs w:val="24"/>
        </w:rPr>
        <w:t>Respublikos Prezidentas</w:t>
      </w:r>
    </w:p>
    <w:sectPr w:rsidR="000F0C42" w:rsidSect="000F0C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6951"/>
    <w:multiLevelType w:val="hybridMultilevel"/>
    <w:tmpl w:val="EF46E08A"/>
    <w:lvl w:ilvl="0" w:tplc="D98C87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660839"/>
    <w:multiLevelType w:val="hybridMultilevel"/>
    <w:tmpl w:val="44F25882"/>
    <w:lvl w:ilvl="0" w:tplc="21D8B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4131A0"/>
    <w:multiLevelType w:val="hybridMultilevel"/>
    <w:tmpl w:val="3BC45052"/>
    <w:lvl w:ilvl="0" w:tplc="CCE63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6F2C03"/>
    <w:multiLevelType w:val="hybridMultilevel"/>
    <w:tmpl w:val="A90240D0"/>
    <w:lvl w:ilvl="0" w:tplc="D0D4E6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6"/>
    <w:rsid w:val="00067146"/>
    <w:rsid w:val="000736D4"/>
    <w:rsid w:val="00084E2D"/>
    <w:rsid w:val="000A57DE"/>
    <w:rsid w:val="000C1D34"/>
    <w:rsid w:val="000D7EA3"/>
    <w:rsid w:val="000F0C42"/>
    <w:rsid w:val="000F6C43"/>
    <w:rsid w:val="00137A6D"/>
    <w:rsid w:val="00177CAB"/>
    <w:rsid w:val="00195817"/>
    <w:rsid w:val="001F032C"/>
    <w:rsid w:val="002057DC"/>
    <w:rsid w:val="00223382"/>
    <w:rsid w:val="00276163"/>
    <w:rsid w:val="003221E4"/>
    <w:rsid w:val="00374B52"/>
    <w:rsid w:val="003776C2"/>
    <w:rsid w:val="00391260"/>
    <w:rsid w:val="003D5C6C"/>
    <w:rsid w:val="00421A59"/>
    <w:rsid w:val="0046732B"/>
    <w:rsid w:val="00472F68"/>
    <w:rsid w:val="00494AC9"/>
    <w:rsid w:val="004A7379"/>
    <w:rsid w:val="004C5058"/>
    <w:rsid w:val="00573DDD"/>
    <w:rsid w:val="00592DA0"/>
    <w:rsid w:val="005F57D3"/>
    <w:rsid w:val="006253E4"/>
    <w:rsid w:val="0063494E"/>
    <w:rsid w:val="00643C65"/>
    <w:rsid w:val="006A1DCB"/>
    <w:rsid w:val="006B28B9"/>
    <w:rsid w:val="006F3832"/>
    <w:rsid w:val="006F6EB7"/>
    <w:rsid w:val="007111CC"/>
    <w:rsid w:val="007721EC"/>
    <w:rsid w:val="007F2C9E"/>
    <w:rsid w:val="00832527"/>
    <w:rsid w:val="00835793"/>
    <w:rsid w:val="00850EDC"/>
    <w:rsid w:val="00857997"/>
    <w:rsid w:val="00885A22"/>
    <w:rsid w:val="008874F8"/>
    <w:rsid w:val="008D6164"/>
    <w:rsid w:val="008F4D3A"/>
    <w:rsid w:val="00907940"/>
    <w:rsid w:val="0091302F"/>
    <w:rsid w:val="0091501E"/>
    <w:rsid w:val="009326EF"/>
    <w:rsid w:val="00957F40"/>
    <w:rsid w:val="00977A2D"/>
    <w:rsid w:val="00983D88"/>
    <w:rsid w:val="009A4964"/>
    <w:rsid w:val="009D2F16"/>
    <w:rsid w:val="00A014F9"/>
    <w:rsid w:val="00A108A6"/>
    <w:rsid w:val="00A34722"/>
    <w:rsid w:val="00A630FC"/>
    <w:rsid w:val="00B0768A"/>
    <w:rsid w:val="00B52BA7"/>
    <w:rsid w:val="00B531BC"/>
    <w:rsid w:val="00B97964"/>
    <w:rsid w:val="00BD53E5"/>
    <w:rsid w:val="00BD63E4"/>
    <w:rsid w:val="00BF3B3E"/>
    <w:rsid w:val="00C10272"/>
    <w:rsid w:val="00C866A3"/>
    <w:rsid w:val="00CA37C6"/>
    <w:rsid w:val="00CE3335"/>
    <w:rsid w:val="00D05D3D"/>
    <w:rsid w:val="00D23DE5"/>
    <w:rsid w:val="00D27073"/>
    <w:rsid w:val="00D850ED"/>
    <w:rsid w:val="00DA0DD1"/>
    <w:rsid w:val="00DF5EA3"/>
    <w:rsid w:val="00E0101B"/>
    <w:rsid w:val="00E57E67"/>
    <w:rsid w:val="00EC08A2"/>
    <w:rsid w:val="00EC1E61"/>
    <w:rsid w:val="00ED23E8"/>
    <w:rsid w:val="00F0351E"/>
    <w:rsid w:val="00F12D47"/>
    <w:rsid w:val="00F503DE"/>
    <w:rsid w:val="00F67117"/>
    <w:rsid w:val="00F865C4"/>
    <w:rsid w:val="00F87F57"/>
    <w:rsid w:val="00FA7264"/>
    <w:rsid w:val="00FD074A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5D17-6175-46CF-8380-7CB7B34F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3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rsid w:val="00EC1E61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Statja">
    <w:name w:val="Statja"/>
    <w:basedOn w:val="prastasis"/>
    <w:rsid w:val="00EC1E61"/>
    <w:pPr>
      <w:tabs>
        <w:tab w:val="left" w:pos="1304"/>
        <w:tab w:val="left" w:pos="1457"/>
        <w:tab w:val="left" w:pos="1604"/>
        <w:tab w:val="left" w:pos="1757"/>
      </w:tabs>
      <w:spacing w:before="113" w:after="0" w:line="240" w:lineRule="auto"/>
      <w:ind w:left="312"/>
      <w:jc w:val="both"/>
    </w:pPr>
    <w:rPr>
      <w:rFonts w:ascii="TimesLT" w:eastAsia="Times New Roman" w:hAnsi="TimesLT" w:cs="Times New Roman"/>
      <w:b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rsid w:val="00F671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67117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">
    <w:name w:val="CentrBold"/>
    <w:rsid w:val="00F67117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paragraph" w:customStyle="1" w:styleId="ISTATYMAS">
    <w:name w:val="ISTATYMAS"/>
    <w:rsid w:val="00F67117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semiHidden/>
    <w:rsid w:val="00D850E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66A3"/>
    <w:rPr>
      <w:rFonts w:ascii="Tahoma" w:hAnsi="Tahoma" w:cs="Tahoma"/>
      <w:sz w:val="16"/>
      <w:szCs w:val="16"/>
    </w:rPr>
  </w:style>
  <w:style w:type="paragraph" w:customStyle="1" w:styleId="Patvirtinta">
    <w:name w:val="Patvirtinta"/>
    <w:rsid w:val="000F0C42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59"/>
    <w:rsid w:val="007F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0D3D-9FD5-4409-91B6-7024262F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2019-06-14T10:34:00Z</dcterms:created>
  <dc:creator>Dijana Šinkūnienė</dc:creator>
  <cp:lastModifiedBy>Rosita Pletienė</cp:lastModifiedBy>
  <cp:lastPrinted>2019-03-04T07:43:00Z</cp:lastPrinted>
  <dcterms:modified xsi:type="dcterms:W3CDTF">2019-06-14T12:14:00Z</dcterms:modified>
  <cp:revision>3</cp:revision>
</cp:coreProperties>
</file>