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68" w:rsidRPr="00387A4E" w:rsidRDefault="00F21368" w:rsidP="00F21368">
      <w:pPr>
        <w:spacing w:after="0" w:line="2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87A4E">
        <w:rPr>
          <w:rFonts w:ascii="Times New Roman" w:hAnsi="Times New Roman" w:cs="Times New Roman"/>
          <w:sz w:val="24"/>
          <w:szCs w:val="24"/>
        </w:rPr>
        <w:t>Projektas</w:t>
      </w:r>
    </w:p>
    <w:p w:rsidR="00F21368" w:rsidRDefault="00F21368" w:rsidP="00F21368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68" w:rsidRPr="004C7997" w:rsidRDefault="00F21368" w:rsidP="00F21368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997">
        <w:rPr>
          <w:rFonts w:ascii="Times New Roman" w:hAnsi="Times New Roman" w:cs="Times New Roman"/>
          <w:b/>
          <w:sz w:val="24"/>
          <w:szCs w:val="24"/>
        </w:rPr>
        <w:t xml:space="preserve">PROBLEMINIO LOŠIMO PREVENCIJOS </w:t>
      </w:r>
      <w:r>
        <w:rPr>
          <w:rFonts w:ascii="Times New Roman" w:hAnsi="Times New Roman" w:cs="Times New Roman"/>
          <w:b/>
          <w:sz w:val="24"/>
          <w:szCs w:val="24"/>
        </w:rPr>
        <w:t>PRIEMONIŲ</w:t>
      </w:r>
      <w:r w:rsidRPr="004C79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ĮGYVENDINIMO </w:t>
      </w:r>
      <w:r w:rsidRPr="004C7997">
        <w:rPr>
          <w:rFonts w:ascii="Times New Roman" w:hAnsi="Times New Roman" w:cs="Times New Roman"/>
          <w:b/>
          <w:sz w:val="24"/>
          <w:szCs w:val="24"/>
        </w:rPr>
        <w:t>PLANAS</w:t>
      </w:r>
    </w:p>
    <w:p w:rsidR="00F21368" w:rsidRDefault="00F21368" w:rsidP="00F2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21368" w:rsidRDefault="00D20AE0" w:rsidP="00F2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1368" w:rsidRPr="00AC0A05">
        <w:rPr>
          <w:rFonts w:ascii="Times New Roman" w:hAnsi="Times New Roman" w:cs="Times New Roman"/>
          <w:sz w:val="24"/>
          <w:szCs w:val="24"/>
        </w:rPr>
        <w:t>Azartiniai lošimai, l</w:t>
      </w:r>
      <w:r w:rsidR="00F21368">
        <w:rPr>
          <w:rFonts w:ascii="Times New Roman" w:hAnsi="Times New Roman" w:cs="Times New Roman"/>
          <w:sz w:val="24"/>
          <w:szCs w:val="24"/>
        </w:rPr>
        <w:t>ažybos ir nauji kompiuteriniai žaidimai, turintys azartinių lošimų požymių, tampa</w:t>
      </w:r>
      <w:r w:rsidR="00F21368" w:rsidRPr="00AC0A05">
        <w:rPr>
          <w:rFonts w:ascii="Times New Roman" w:hAnsi="Times New Roman" w:cs="Times New Roman"/>
          <w:sz w:val="24"/>
          <w:szCs w:val="24"/>
        </w:rPr>
        <w:t xml:space="preserve"> masiniu laisvalaikio leidimo būdu</w:t>
      </w:r>
      <w:r w:rsidR="00F21368" w:rsidRPr="00AC0A05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F21368"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 w:rsidR="00F21368">
        <w:rPr>
          <w:rFonts w:ascii="Times New Roman" w:hAnsi="Times New Roman" w:cs="Times New Roman"/>
          <w:sz w:val="24"/>
          <w:szCs w:val="24"/>
        </w:rPr>
        <w:t xml:space="preserve">sichikos sveikatos specialistų teigimu, azartiniai lošimai yra specifinė pramogos rūšis, kuria piktnaudžiaujant gali susiformuoti priklausomybė. </w:t>
      </w:r>
    </w:p>
    <w:p w:rsidR="00F21368" w:rsidRDefault="006743B6" w:rsidP="00F2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1368">
        <w:rPr>
          <w:rFonts w:ascii="Times New Roman" w:hAnsi="Times New Roman" w:cs="Times New Roman"/>
          <w:sz w:val="24"/>
          <w:szCs w:val="24"/>
        </w:rPr>
        <w:t xml:space="preserve">Priklausomybė  gali sukelti įvairias socialines ir psichologines problemas ne tik lošiančiajam, bet ir jo artimiesiems. Tyrimų duomenimis nuo minėtos problemos daugiausia kenčia 18-40 metų amžiaus vyrai. </w:t>
      </w:r>
      <w:r w:rsidR="00F21368" w:rsidRPr="008772FD">
        <w:rPr>
          <w:rFonts w:ascii="Times New Roman" w:hAnsi="Times New Roman" w:cs="Times New Roman"/>
          <w:sz w:val="24"/>
          <w:szCs w:val="24"/>
        </w:rPr>
        <w:t>Azartinių lošimų būdų gausa</w:t>
      </w:r>
      <w:r w:rsidR="00F21368">
        <w:rPr>
          <w:rFonts w:ascii="Times New Roman" w:hAnsi="Times New Roman" w:cs="Times New Roman"/>
          <w:sz w:val="24"/>
          <w:szCs w:val="24"/>
        </w:rPr>
        <w:t>, technologinė pažanga</w:t>
      </w:r>
      <w:r w:rsidR="00F21368">
        <w:rPr>
          <w:rStyle w:val="shorttext"/>
          <w:rFonts w:ascii="Times New Roman" w:hAnsi="Times New Roman" w:cs="Times New Roman"/>
          <w:sz w:val="24"/>
          <w:szCs w:val="24"/>
        </w:rPr>
        <w:t xml:space="preserve">, naujų </w:t>
      </w:r>
      <w:r w:rsidR="00D20AE0">
        <w:rPr>
          <w:rStyle w:val="shorttext"/>
          <w:rFonts w:ascii="Times New Roman" w:hAnsi="Times New Roman" w:cs="Times New Roman"/>
          <w:sz w:val="24"/>
          <w:szCs w:val="24"/>
        </w:rPr>
        <w:t xml:space="preserve">azartinių </w:t>
      </w:r>
      <w:r w:rsidR="00F21368">
        <w:rPr>
          <w:rStyle w:val="shorttext"/>
          <w:rFonts w:ascii="Times New Roman" w:hAnsi="Times New Roman" w:cs="Times New Roman"/>
          <w:sz w:val="24"/>
          <w:szCs w:val="24"/>
        </w:rPr>
        <w:t>lošimų</w:t>
      </w:r>
      <w:r w:rsidR="00F21368" w:rsidRPr="008772FD">
        <w:rPr>
          <w:rStyle w:val="shorttext"/>
          <w:rFonts w:ascii="Times New Roman" w:hAnsi="Times New Roman" w:cs="Times New Roman"/>
          <w:sz w:val="24"/>
          <w:szCs w:val="24"/>
        </w:rPr>
        <w:t xml:space="preserve"> organizavimo virtualioje erdvėje galimybių atsiradimas lemia</w:t>
      </w:r>
      <w:r w:rsidR="00F21368">
        <w:rPr>
          <w:rStyle w:val="shorttext"/>
          <w:rFonts w:ascii="Times New Roman" w:hAnsi="Times New Roman" w:cs="Times New Roman"/>
          <w:sz w:val="24"/>
          <w:szCs w:val="24"/>
        </w:rPr>
        <w:t xml:space="preserve"> ir su azartiniais lošimais susijusių problemų paplitimą</w:t>
      </w:r>
      <w:r w:rsidR="00F21368">
        <w:rPr>
          <w:rFonts w:ascii="Times New Roman" w:hAnsi="Times New Roman" w:cs="Times New Roman"/>
          <w:sz w:val="24"/>
          <w:szCs w:val="24"/>
        </w:rPr>
        <w:t xml:space="preserve">. Pasaulinė statistika teigia, kad </w:t>
      </w:r>
      <w:r w:rsidR="00D20AE0">
        <w:rPr>
          <w:rFonts w:ascii="Times New Roman" w:hAnsi="Times New Roman" w:cs="Times New Roman"/>
          <w:sz w:val="24"/>
          <w:szCs w:val="24"/>
        </w:rPr>
        <w:t>nuo 0,2 iki 5,8 procento</w:t>
      </w:r>
      <w:r w:rsidR="00E83568" w:rsidRPr="00E83568">
        <w:rPr>
          <w:rFonts w:ascii="Times New Roman" w:hAnsi="Times New Roman" w:cs="Times New Roman"/>
          <w:sz w:val="24"/>
          <w:szCs w:val="24"/>
        </w:rPr>
        <w:t xml:space="preserve"> </w:t>
      </w:r>
      <w:r w:rsidR="00E83568">
        <w:rPr>
          <w:rFonts w:ascii="Times New Roman" w:hAnsi="Times New Roman" w:cs="Times New Roman"/>
          <w:sz w:val="24"/>
          <w:szCs w:val="24"/>
        </w:rPr>
        <w:t>pilnamečių</w:t>
      </w:r>
      <w:r w:rsidR="00E83568" w:rsidRPr="00E83568">
        <w:rPr>
          <w:rFonts w:ascii="Times New Roman" w:hAnsi="Times New Roman" w:cs="Times New Roman"/>
          <w:sz w:val="24"/>
          <w:szCs w:val="24"/>
        </w:rPr>
        <w:t xml:space="preserve"> </w:t>
      </w:r>
      <w:r w:rsidR="00E83568">
        <w:rPr>
          <w:rFonts w:ascii="Times New Roman" w:hAnsi="Times New Roman" w:cs="Times New Roman"/>
          <w:sz w:val="24"/>
          <w:szCs w:val="24"/>
        </w:rPr>
        <w:t>asm</w:t>
      </w:r>
      <w:r w:rsidR="00D20AE0">
        <w:rPr>
          <w:rFonts w:ascii="Times New Roman" w:hAnsi="Times New Roman" w:cs="Times New Roman"/>
          <w:sz w:val="24"/>
          <w:szCs w:val="24"/>
        </w:rPr>
        <w:t>enų ir nuo 0,2 iki 12,3 procento</w:t>
      </w:r>
      <w:r w:rsidR="00E83568" w:rsidRPr="00E83568">
        <w:rPr>
          <w:rFonts w:ascii="Times New Roman" w:hAnsi="Times New Roman" w:cs="Times New Roman"/>
          <w:sz w:val="24"/>
          <w:szCs w:val="24"/>
        </w:rPr>
        <w:t xml:space="preserve"> </w:t>
      </w:r>
      <w:r w:rsidR="00E83568">
        <w:rPr>
          <w:rFonts w:ascii="Times New Roman" w:hAnsi="Times New Roman" w:cs="Times New Roman"/>
          <w:sz w:val="24"/>
          <w:szCs w:val="24"/>
        </w:rPr>
        <w:t>paauglių</w:t>
      </w:r>
      <w:r w:rsidR="00E83568">
        <w:rPr>
          <w:rStyle w:val="Puslapioinaosnuoroda"/>
          <w:rFonts w:ascii="Times New Roman" w:hAnsi="Times New Roman" w:cs="Times New Roman"/>
          <w:sz w:val="24"/>
          <w:szCs w:val="24"/>
        </w:rPr>
        <w:t xml:space="preserve"> </w:t>
      </w:r>
      <w:r w:rsidR="00E83568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E83568">
        <w:rPr>
          <w:rFonts w:ascii="Times New Roman" w:hAnsi="Times New Roman" w:cs="Times New Roman"/>
          <w:sz w:val="24"/>
          <w:szCs w:val="24"/>
        </w:rPr>
        <w:t xml:space="preserve"> </w:t>
      </w:r>
      <w:r w:rsidR="00D20AE0">
        <w:rPr>
          <w:rFonts w:ascii="Times New Roman" w:hAnsi="Times New Roman" w:cs="Times New Roman"/>
          <w:sz w:val="24"/>
          <w:szCs w:val="24"/>
        </w:rPr>
        <w:t xml:space="preserve">su lošimu susijusi veikla </w:t>
      </w:r>
      <w:r w:rsidR="00E83568">
        <w:rPr>
          <w:rFonts w:ascii="Times New Roman" w:hAnsi="Times New Roman" w:cs="Times New Roman"/>
          <w:sz w:val="24"/>
          <w:szCs w:val="24"/>
        </w:rPr>
        <w:t xml:space="preserve">atitinka probleminio lošimo </w:t>
      </w:r>
      <w:r w:rsidR="00A225E4">
        <w:rPr>
          <w:rFonts w:ascii="Times New Roman" w:hAnsi="Times New Roman" w:cs="Times New Roman"/>
          <w:sz w:val="24"/>
          <w:szCs w:val="24"/>
        </w:rPr>
        <w:t xml:space="preserve">nustatymui taikomus </w:t>
      </w:r>
      <w:r w:rsidR="00E83568">
        <w:rPr>
          <w:rFonts w:ascii="Times New Roman" w:hAnsi="Times New Roman" w:cs="Times New Roman"/>
          <w:sz w:val="24"/>
          <w:szCs w:val="24"/>
        </w:rPr>
        <w:t>kriterijus.</w:t>
      </w:r>
    </w:p>
    <w:p w:rsidR="00F21368" w:rsidRDefault="00D20AE0" w:rsidP="00F2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1368" w:rsidRPr="0049453D">
        <w:rPr>
          <w:rFonts w:ascii="Times New Roman" w:hAnsi="Times New Roman" w:cs="Times New Roman"/>
          <w:sz w:val="24"/>
          <w:szCs w:val="24"/>
          <w:lang w:eastAsia="lt-LT"/>
        </w:rPr>
        <w:t>Septynioliktosios Lietuvos Respublikos Vyriausybės programo</w:t>
      </w:r>
      <w:r w:rsidR="00F21368">
        <w:rPr>
          <w:rFonts w:ascii="Times New Roman" w:hAnsi="Times New Roman" w:cs="Times New Roman"/>
          <w:sz w:val="24"/>
          <w:szCs w:val="24"/>
          <w:lang w:eastAsia="lt-LT"/>
        </w:rPr>
        <w:t>je</w:t>
      </w:r>
      <w:r w:rsidR="00F21368" w:rsidRPr="0049453D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10BC8">
        <w:rPr>
          <w:rFonts w:ascii="Times New Roman" w:hAnsi="Times New Roman" w:cs="Times New Roman"/>
          <w:sz w:val="24"/>
          <w:szCs w:val="24"/>
          <w:lang w:eastAsia="lt-LT"/>
        </w:rPr>
        <w:t>kuriai pritarta</w:t>
      </w:r>
      <w:bookmarkStart w:id="0" w:name="_GoBack"/>
      <w:bookmarkEnd w:id="0"/>
      <w:r w:rsidR="00F21368" w:rsidRPr="0049453D">
        <w:rPr>
          <w:rFonts w:ascii="Times New Roman" w:hAnsi="Times New Roman" w:cs="Times New Roman"/>
          <w:sz w:val="24"/>
          <w:szCs w:val="24"/>
          <w:lang w:eastAsia="lt-LT"/>
        </w:rPr>
        <w:t xml:space="preserve"> Lietuvos Respublikos Seimo 2016 m. gruodžio 13 d. nutarimu Nr. XIII-82 „Dėl Lietuvos Respublikos Vyriausybės programos“, </w:t>
      </w:r>
      <w:r w:rsidR="00F21368">
        <w:rPr>
          <w:rFonts w:ascii="Times New Roman" w:hAnsi="Times New Roman" w:cs="Times New Roman"/>
          <w:sz w:val="24"/>
          <w:szCs w:val="24"/>
          <w:lang w:eastAsia="lt-LT"/>
        </w:rPr>
        <w:t xml:space="preserve">yra numatyta </w:t>
      </w:r>
      <w:r w:rsidR="00F21368" w:rsidRPr="0049453D">
        <w:rPr>
          <w:rFonts w:ascii="Times New Roman" w:hAnsi="Times New Roman" w:cs="Times New Roman"/>
          <w:sz w:val="24"/>
          <w:szCs w:val="24"/>
        </w:rPr>
        <w:t>skatinti visuomenės supratin</w:t>
      </w:r>
      <w:r>
        <w:rPr>
          <w:rFonts w:ascii="Times New Roman" w:hAnsi="Times New Roman" w:cs="Times New Roman"/>
          <w:sz w:val="24"/>
          <w:szCs w:val="24"/>
        </w:rPr>
        <w:t>gumą apie azartinių lošimų žalą</w:t>
      </w:r>
      <w:r w:rsidR="00F21368" w:rsidRPr="0049453D">
        <w:rPr>
          <w:rFonts w:ascii="Times New Roman" w:hAnsi="Times New Roman" w:cs="Times New Roman"/>
          <w:sz w:val="24"/>
          <w:szCs w:val="24"/>
        </w:rPr>
        <w:t xml:space="preserve"> </w:t>
      </w:r>
      <w:r w:rsidR="00F21368">
        <w:rPr>
          <w:rFonts w:ascii="Times New Roman" w:hAnsi="Times New Roman" w:cs="Times New Roman"/>
          <w:sz w:val="24"/>
          <w:szCs w:val="24"/>
        </w:rPr>
        <w:t xml:space="preserve">ir </w:t>
      </w:r>
      <w:r w:rsidR="00F21368" w:rsidRPr="0049453D">
        <w:rPr>
          <w:rFonts w:ascii="Times New Roman" w:hAnsi="Times New Roman" w:cs="Times New Roman"/>
          <w:sz w:val="24"/>
          <w:szCs w:val="24"/>
        </w:rPr>
        <w:t xml:space="preserve">siekti, kad </w:t>
      </w:r>
      <w:proofErr w:type="spellStart"/>
      <w:r w:rsidR="00F21368" w:rsidRPr="0049453D">
        <w:rPr>
          <w:rFonts w:ascii="Times New Roman" w:hAnsi="Times New Roman" w:cs="Times New Roman"/>
          <w:sz w:val="24"/>
          <w:szCs w:val="24"/>
        </w:rPr>
        <w:t>pažeidžiamiausios</w:t>
      </w:r>
      <w:proofErr w:type="spellEnd"/>
      <w:r w:rsidR="00F21368" w:rsidRPr="0049453D">
        <w:rPr>
          <w:rFonts w:ascii="Times New Roman" w:hAnsi="Times New Roman" w:cs="Times New Roman"/>
          <w:sz w:val="24"/>
          <w:szCs w:val="24"/>
        </w:rPr>
        <w:t xml:space="preserve"> visuomenės grupės būtų apsaugotos nuo neigiamo lošimų poveikio. </w:t>
      </w:r>
      <w:r w:rsidR="00F21368" w:rsidRPr="0049453D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Vyriausybės programos įgyvendinimo plano, patvirtinto Lietuvos Respublikos Vyriausybės 2017 m. kovo 13 d. nutarimu Nr. 167 „Dėl Lietuvos Respublikos Vyriausybės programos įgyvendinimo plano patvirtinimo“, </w:t>
      </w:r>
      <w:r w:rsidR="00F21368">
        <w:rPr>
          <w:rFonts w:ascii="Times New Roman" w:hAnsi="Times New Roman" w:cs="Times New Roman"/>
          <w:sz w:val="24"/>
          <w:szCs w:val="24"/>
          <w:lang w:eastAsia="lt-LT"/>
        </w:rPr>
        <w:t xml:space="preserve">vienas iš </w:t>
      </w:r>
      <w:r w:rsidR="00F21368" w:rsidRPr="0049453D">
        <w:rPr>
          <w:rFonts w:ascii="Times New Roman" w:hAnsi="Times New Roman" w:cs="Times New Roman"/>
          <w:sz w:val="24"/>
          <w:szCs w:val="24"/>
          <w:lang w:eastAsia="lt-LT"/>
        </w:rPr>
        <w:t>prioritetų yra pagalbos teikimas turintiems žalingų įpročių asmenims.</w:t>
      </w:r>
    </w:p>
    <w:p w:rsidR="00D2700E" w:rsidRDefault="00D20AE0" w:rsidP="00D2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>Pastarais</w:t>
      </w:r>
      <w:r>
        <w:rPr>
          <w:rFonts w:ascii="Times New Roman" w:hAnsi="Times New Roman" w:cs="Times New Roman"/>
          <w:sz w:val="24"/>
          <w:szCs w:val="24"/>
          <w:lang w:eastAsia="lt-LT"/>
        </w:rPr>
        <w:t>iais metais Finansų ministerija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 kartu su </w:t>
      </w:r>
      <w:r w:rsidR="00D2700E" w:rsidRPr="00D2700E">
        <w:rPr>
          <w:rFonts w:ascii="Times New Roman" w:hAnsi="Times New Roman" w:cs="Times New Roman"/>
          <w:sz w:val="24"/>
          <w:szCs w:val="24"/>
          <w:lang w:eastAsia="lt-LT"/>
        </w:rPr>
        <w:t>Lošimų priežiūros tarnyba prie Lietuvos Respublikos finansų ministerijos (toliau – Priežiūros tarnyba)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pradėjo skirti daugiau dėmesio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 probleminio lošimo prevencijai</w:t>
      </w:r>
      <w:r w:rsidR="00E9504A">
        <w:rPr>
          <w:rFonts w:ascii="Times New Roman" w:hAnsi="Times New Roman" w:cs="Times New Roman"/>
          <w:sz w:val="24"/>
          <w:szCs w:val="24"/>
          <w:lang w:eastAsia="lt-LT"/>
        </w:rPr>
        <w:t>: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 buvo </w:t>
      </w:r>
      <w:r w:rsidR="001313B1">
        <w:rPr>
          <w:rFonts w:ascii="Times New Roman" w:hAnsi="Times New Roman" w:cs="Times New Roman"/>
          <w:sz w:val="24"/>
          <w:szCs w:val="24"/>
          <w:lang w:eastAsia="lt-LT"/>
        </w:rPr>
        <w:t xml:space="preserve">sustiprintas 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>bendradarbiavimas su L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ietuvos 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hAnsi="Times New Roman" w:cs="Times New Roman"/>
          <w:sz w:val="24"/>
          <w:szCs w:val="24"/>
          <w:lang w:eastAsia="lt-LT"/>
        </w:rPr>
        <w:t>espublikos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 Seimo Priklausomybių prevencijos komisija</w:t>
      </w:r>
      <w:r w:rsidR="00E9504A">
        <w:rPr>
          <w:rFonts w:ascii="Times New Roman" w:hAnsi="Times New Roman" w:cs="Times New Roman"/>
          <w:sz w:val="24"/>
          <w:szCs w:val="24"/>
          <w:lang w:eastAsia="lt-LT"/>
        </w:rPr>
        <w:t>, rengiamos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 kasmetinės konferencijos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504A">
        <w:rPr>
          <w:rFonts w:ascii="Times New Roman" w:hAnsi="Times New Roman" w:cs="Times New Roman"/>
          <w:sz w:val="24"/>
          <w:szCs w:val="24"/>
          <w:lang w:eastAsia="lt-LT"/>
        </w:rPr>
        <w:t>Seime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>, nuosekliai didinami asignavimai Priežiūros tarnybos vykdomai visuomenės informavimo kampanijai.  Paž</w:t>
      </w:r>
      <w:r>
        <w:rPr>
          <w:rFonts w:ascii="Times New Roman" w:hAnsi="Times New Roman" w:cs="Times New Roman"/>
          <w:sz w:val="24"/>
          <w:szCs w:val="24"/>
          <w:lang w:eastAsia="lt-LT"/>
        </w:rPr>
        <w:t>ymėtina</w:t>
      </w:r>
      <w:r w:rsidR="00D2700E">
        <w:rPr>
          <w:rFonts w:ascii="Times New Roman" w:hAnsi="Times New Roman" w:cs="Times New Roman"/>
          <w:sz w:val="24"/>
          <w:szCs w:val="24"/>
          <w:lang w:eastAsia="lt-LT"/>
        </w:rPr>
        <w:t xml:space="preserve">, kad </w:t>
      </w:r>
      <w:r w:rsidR="00D2700E">
        <w:rPr>
          <w:rFonts w:ascii="Times New Roman" w:hAnsi="Times New Roman" w:cs="Times New Roman"/>
          <w:sz w:val="24"/>
          <w:szCs w:val="24"/>
        </w:rPr>
        <w:t>n</w:t>
      </w:r>
      <w:r w:rsidR="00F21368" w:rsidRPr="00D31DB5">
        <w:rPr>
          <w:rFonts w:ascii="Times New Roman" w:hAnsi="Times New Roman" w:cs="Times New Roman"/>
          <w:sz w:val="24"/>
          <w:szCs w:val="24"/>
        </w:rPr>
        <w:t>uo 2010 m.</w:t>
      </w:r>
      <w:r w:rsidR="00F21368">
        <w:rPr>
          <w:rFonts w:ascii="Times New Roman" w:hAnsi="Times New Roman" w:cs="Times New Roman"/>
          <w:sz w:val="24"/>
          <w:szCs w:val="24"/>
        </w:rPr>
        <w:t>,</w:t>
      </w:r>
      <w:r w:rsidR="00F21368" w:rsidRPr="00D31DB5">
        <w:rPr>
          <w:rFonts w:ascii="Times New Roman" w:hAnsi="Times New Roman" w:cs="Times New Roman"/>
          <w:sz w:val="24"/>
          <w:szCs w:val="24"/>
        </w:rPr>
        <w:t xml:space="preserve"> inicijavus projektą „Nebenoriu</w:t>
      </w:r>
      <w:r w:rsidR="00F21368">
        <w:rPr>
          <w:rFonts w:ascii="Times New Roman" w:hAnsi="Times New Roman" w:cs="Times New Roman"/>
          <w:sz w:val="24"/>
          <w:szCs w:val="24"/>
        </w:rPr>
        <w:t xml:space="preserve"> </w:t>
      </w:r>
      <w:r w:rsidR="00F21368" w:rsidRPr="00D31DB5">
        <w:rPr>
          <w:rFonts w:ascii="Times New Roman" w:hAnsi="Times New Roman" w:cs="Times New Roman"/>
          <w:sz w:val="24"/>
          <w:szCs w:val="24"/>
        </w:rPr>
        <w:t>lošti“, Priežiūros tarnybos specialistai teikia konsultacijas problemini</w:t>
      </w:r>
      <w:r w:rsidR="00F21368">
        <w:rPr>
          <w:rFonts w:ascii="Times New Roman" w:hAnsi="Times New Roman" w:cs="Times New Roman"/>
          <w:sz w:val="24"/>
          <w:szCs w:val="24"/>
        </w:rPr>
        <w:t>o lošimo klausimais. Taip pat Pr</w:t>
      </w:r>
      <w:r>
        <w:rPr>
          <w:rFonts w:ascii="Times New Roman" w:hAnsi="Times New Roman" w:cs="Times New Roman"/>
          <w:sz w:val="24"/>
          <w:szCs w:val="24"/>
        </w:rPr>
        <w:t xml:space="preserve">iežiūros tarnyba administruoja </w:t>
      </w:r>
      <w:r w:rsidR="00F21368">
        <w:rPr>
          <w:rFonts w:ascii="Times New Roman" w:hAnsi="Times New Roman" w:cs="Times New Roman"/>
          <w:sz w:val="24"/>
          <w:szCs w:val="24"/>
        </w:rPr>
        <w:t xml:space="preserve">interneto svetainę </w:t>
      </w:r>
      <w:r w:rsidR="00F21368" w:rsidRPr="005E38FA">
        <w:rPr>
          <w:rFonts w:ascii="Times New Roman" w:hAnsi="Times New Roman" w:cs="Times New Roman"/>
          <w:i/>
          <w:sz w:val="24"/>
          <w:szCs w:val="24"/>
        </w:rPr>
        <w:t>nebenoriu-</w:t>
      </w:r>
      <w:proofErr w:type="spellStart"/>
      <w:r w:rsidR="00F21368" w:rsidRPr="005E38FA">
        <w:rPr>
          <w:rFonts w:ascii="Times New Roman" w:hAnsi="Times New Roman" w:cs="Times New Roman"/>
          <w:i/>
          <w:sz w:val="24"/>
          <w:szCs w:val="24"/>
        </w:rPr>
        <w:t>losti.lt</w:t>
      </w:r>
      <w:proofErr w:type="spellEnd"/>
      <w:r w:rsidR="00F21368">
        <w:rPr>
          <w:rFonts w:ascii="Times New Roman" w:hAnsi="Times New Roman" w:cs="Times New Roman"/>
          <w:sz w:val="24"/>
          <w:szCs w:val="24"/>
        </w:rPr>
        <w:t>, skelbdama aktualius straipsnius azartinių lošimų tema, informaciją apie teikiamą pagalbą turintiems problemų dėl lošimų asmenims bei specialistų ir institucijų, dirbančių probleminio lošimo klausimais, kontaktus.</w:t>
      </w:r>
      <w:r w:rsidR="00F21368" w:rsidRPr="0049453D">
        <w:rPr>
          <w:rFonts w:ascii="Times New Roman" w:hAnsi="Times New Roman" w:cs="Times New Roman"/>
          <w:sz w:val="24"/>
          <w:szCs w:val="24"/>
        </w:rPr>
        <w:t xml:space="preserve"> Nuo 2015 m. Priežiūros tarnyb</w:t>
      </w:r>
      <w:r w:rsidR="00F21368">
        <w:rPr>
          <w:rFonts w:ascii="Times New Roman" w:hAnsi="Times New Roman" w:cs="Times New Roman"/>
          <w:sz w:val="24"/>
          <w:szCs w:val="24"/>
        </w:rPr>
        <w:t>a</w:t>
      </w:r>
      <w:r w:rsidR="00F21368" w:rsidRPr="0049453D">
        <w:rPr>
          <w:rFonts w:ascii="Times New Roman" w:hAnsi="Times New Roman" w:cs="Times New Roman"/>
          <w:sz w:val="24"/>
          <w:szCs w:val="24"/>
        </w:rPr>
        <w:t xml:space="preserve"> </w:t>
      </w:r>
      <w:r w:rsidR="00F21368">
        <w:rPr>
          <w:rFonts w:ascii="Times New Roman" w:hAnsi="Times New Roman" w:cs="Times New Roman"/>
          <w:sz w:val="24"/>
          <w:szCs w:val="24"/>
        </w:rPr>
        <w:t xml:space="preserve">rengia </w:t>
      </w:r>
      <w:r w:rsidR="00F21368" w:rsidRPr="00D25FDE">
        <w:rPr>
          <w:rFonts w:ascii="Times New Roman" w:hAnsi="Times New Roman" w:cs="Times New Roman"/>
          <w:sz w:val="24"/>
          <w:szCs w:val="24"/>
        </w:rPr>
        <w:t>reprezentatyvias apklausas</w:t>
      </w:r>
      <w:r w:rsidR="00F21368">
        <w:rPr>
          <w:rFonts w:ascii="Times New Roman" w:hAnsi="Times New Roman" w:cs="Times New Roman"/>
          <w:sz w:val="24"/>
          <w:szCs w:val="24"/>
        </w:rPr>
        <w:t xml:space="preserve"> bei užsiima visuomenės informavimo apie probleminį lošimą ir jo pasekmes asmeniui ir visuomenei veikla</w:t>
      </w:r>
      <w:r w:rsidR="00F21368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1368">
        <w:rPr>
          <w:rFonts w:ascii="Times New Roman" w:hAnsi="Times New Roman" w:cs="Times New Roman"/>
          <w:sz w:val="24"/>
          <w:szCs w:val="24"/>
        </w:rPr>
        <w:t>organizuoja lošėjų artimųjų savitarpio pagalbos grupes, skaito paskaitas pedagogams, psichinės sveikatos specialistams, vyresniųjų klasių moksleiviams.</w:t>
      </w:r>
    </w:p>
    <w:p w:rsidR="00D2700E" w:rsidRDefault="00D20AE0" w:rsidP="00D2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6604">
        <w:rPr>
          <w:rFonts w:ascii="Times New Roman" w:hAnsi="Times New Roman" w:cs="Times New Roman"/>
          <w:sz w:val="24"/>
          <w:szCs w:val="24"/>
        </w:rPr>
        <w:t>Įgyvendinant šias iniciatyvas,</w:t>
      </w:r>
      <w:r w:rsidR="00D2700E" w:rsidRPr="00D2700E">
        <w:rPr>
          <w:rFonts w:ascii="Times New Roman" w:hAnsi="Times New Roman" w:cs="Times New Roman"/>
          <w:sz w:val="24"/>
          <w:szCs w:val="24"/>
        </w:rPr>
        <w:t xml:space="preserve"> išryškėjo poreikis </w:t>
      </w:r>
      <w:r w:rsidR="00D2700E">
        <w:rPr>
          <w:rFonts w:ascii="Times New Roman" w:hAnsi="Times New Roman" w:cs="Times New Roman"/>
          <w:sz w:val="24"/>
          <w:szCs w:val="24"/>
        </w:rPr>
        <w:t xml:space="preserve">parengti </w:t>
      </w:r>
      <w:r w:rsidR="00D2700E" w:rsidRPr="00D2700E">
        <w:rPr>
          <w:rFonts w:ascii="Times New Roman" w:hAnsi="Times New Roman" w:cs="Times New Roman"/>
          <w:sz w:val="24"/>
          <w:szCs w:val="24"/>
        </w:rPr>
        <w:t>kompleksinę probleminio lošimo prevencijos programą</w:t>
      </w:r>
      <w:r w:rsidR="001313B1">
        <w:rPr>
          <w:rFonts w:ascii="Times New Roman" w:hAnsi="Times New Roman" w:cs="Times New Roman"/>
          <w:sz w:val="24"/>
          <w:szCs w:val="24"/>
        </w:rPr>
        <w:t>, į kurios įgyvendinimą būtų įtrauktos visos suinteresuotos valstybinės institucijos</w:t>
      </w:r>
      <w:r w:rsidR="00326604">
        <w:rPr>
          <w:rFonts w:ascii="Times New Roman" w:hAnsi="Times New Roman" w:cs="Times New Roman"/>
          <w:sz w:val="24"/>
          <w:szCs w:val="24"/>
        </w:rPr>
        <w:t>,</w:t>
      </w:r>
      <w:r w:rsidR="001313B1">
        <w:rPr>
          <w:rFonts w:ascii="Times New Roman" w:hAnsi="Times New Roman" w:cs="Times New Roman"/>
          <w:sz w:val="24"/>
          <w:szCs w:val="24"/>
        </w:rPr>
        <w:t xml:space="preserve"> akademi</w:t>
      </w:r>
      <w:r w:rsidR="00326604">
        <w:rPr>
          <w:rFonts w:ascii="Times New Roman" w:hAnsi="Times New Roman" w:cs="Times New Roman"/>
          <w:sz w:val="24"/>
          <w:szCs w:val="24"/>
        </w:rPr>
        <w:t>nės visuomenės</w:t>
      </w:r>
      <w:r w:rsidR="001313B1">
        <w:rPr>
          <w:rFonts w:ascii="Times New Roman" w:hAnsi="Times New Roman" w:cs="Times New Roman"/>
          <w:sz w:val="24"/>
          <w:szCs w:val="24"/>
        </w:rPr>
        <w:t xml:space="preserve"> ir verslo atstovai.   </w:t>
      </w:r>
    </w:p>
    <w:p w:rsidR="00F21368" w:rsidRDefault="00F21368" w:rsidP="00F2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Finansų ministro 2018 m. liepos 18 d. įs</w:t>
      </w:r>
      <w:r w:rsidR="00D20AE0">
        <w:rPr>
          <w:rFonts w:ascii="Times New Roman" w:hAnsi="Times New Roman" w:cs="Times New Roman"/>
          <w:sz w:val="24"/>
          <w:szCs w:val="24"/>
        </w:rPr>
        <w:t>akymu Nr. 1K-264 buvo sudaryta d</w:t>
      </w:r>
      <w:r>
        <w:rPr>
          <w:rFonts w:ascii="Times New Roman" w:hAnsi="Times New Roman" w:cs="Times New Roman"/>
          <w:sz w:val="24"/>
          <w:szCs w:val="24"/>
        </w:rPr>
        <w:t>arbo grupė probleminio lošimo prevencijos veiksmų planui parengti (toliau – darbo grupė). Įvyko keturi darbo grupės posėdžiai, k</w:t>
      </w:r>
      <w:r w:rsidR="00D20AE0">
        <w:rPr>
          <w:rFonts w:ascii="Times New Roman" w:hAnsi="Times New Roman" w:cs="Times New Roman"/>
          <w:sz w:val="24"/>
          <w:szCs w:val="24"/>
        </w:rPr>
        <w:t xml:space="preserve">uriuose valstybės institucijų, </w:t>
      </w:r>
      <w:r>
        <w:rPr>
          <w:rFonts w:ascii="Times New Roman" w:hAnsi="Times New Roman" w:cs="Times New Roman"/>
          <w:sz w:val="24"/>
          <w:szCs w:val="24"/>
        </w:rPr>
        <w:t>mokslo ir nevyriausybinių organizacij</w:t>
      </w:r>
      <w:r w:rsidR="00D20AE0">
        <w:rPr>
          <w:rFonts w:ascii="Times New Roman" w:hAnsi="Times New Roman" w:cs="Times New Roman"/>
          <w:sz w:val="24"/>
          <w:szCs w:val="24"/>
        </w:rPr>
        <w:t xml:space="preserve">ų atstovai bei rinkos dalyviai </w:t>
      </w:r>
      <w:r>
        <w:rPr>
          <w:rFonts w:ascii="Times New Roman" w:hAnsi="Times New Roman" w:cs="Times New Roman"/>
          <w:sz w:val="24"/>
          <w:szCs w:val="24"/>
        </w:rPr>
        <w:t>svarstė pasiūlymus dėl probleminio lošimo prevencijos priem</w:t>
      </w:r>
      <w:r w:rsidR="00D20AE0">
        <w:rPr>
          <w:rFonts w:ascii="Times New Roman" w:hAnsi="Times New Roman" w:cs="Times New Roman"/>
          <w:sz w:val="24"/>
          <w:szCs w:val="24"/>
        </w:rPr>
        <w:t>onių ir valstybės institucijų bei</w:t>
      </w:r>
      <w:r>
        <w:rPr>
          <w:rFonts w:ascii="Times New Roman" w:hAnsi="Times New Roman" w:cs="Times New Roman"/>
          <w:sz w:val="24"/>
          <w:szCs w:val="24"/>
        </w:rPr>
        <w:t xml:space="preserve"> nevyriausybinių organizacijų veiklos įgyvendinant šias priemones. </w:t>
      </w:r>
    </w:p>
    <w:p w:rsidR="00E30866" w:rsidRDefault="00F21368" w:rsidP="00247937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4876">
        <w:rPr>
          <w:rFonts w:ascii="Times New Roman" w:hAnsi="Times New Roman" w:cs="Times New Roman"/>
          <w:sz w:val="24"/>
          <w:szCs w:val="24"/>
        </w:rPr>
        <w:t xml:space="preserve">          Darbo grupė parengė p</w:t>
      </w:r>
      <w:r>
        <w:rPr>
          <w:rFonts w:ascii="Times New Roman" w:hAnsi="Times New Roman" w:cs="Times New Roman"/>
          <w:sz w:val="24"/>
          <w:szCs w:val="24"/>
        </w:rPr>
        <w:t>riemonių planą, kuriame 12 priemonių yra suskirstytos  į tr</w:t>
      </w:r>
      <w:r w:rsidR="000F4876">
        <w:rPr>
          <w:rFonts w:ascii="Times New Roman" w:hAnsi="Times New Roman" w:cs="Times New Roman"/>
          <w:sz w:val="24"/>
          <w:szCs w:val="24"/>
        </w:rPr>
        <w:t>is probleminio lošimo mažėjimą lemiančias priemonių grupes: šviečiamosios veiklos skatinimas</w:t>
      </w:r>
      <w:r>
        <w:rPr>
          <w:rFonts w:ascii="Times New Roman" w:hAnsi="Times New Roman" w:cs="Times New Roman"/>
          <w:sz w:val="24"/>
          <w:szCs w:val="24"/>
        </w:rPr>
        <w:t xml:space="preserve"> ir sąmoningumo ugdymas (7 priemonės), </w:t>
      </w:r>
      <w:r w:rsidR="000F4876">
        <w:rPr>
          <w:rFonts w:ascii="Times New Roman" w:hAnsi="Times New Roman" w:cs="Times New Roman"/>
          <w:sz w:val="24"/>
          <w:szCs w:val="24"/>
        </w:rPr>
        <w:t xml:space="preserve">pagalbos </w:t>
      </w:r>
      <w:r>
        <w:rPr>
          <w:rFonts w:ascii="Times New Roman" w:hAnsi="Times New Roman" w:cs="Times New Roman"/>
          <w:sz w:val="24"/>
          <w:szCs w:val="24"/>
        </w:rPr>
        <w:t xml:space="preserve">probleminiams lošėjams prieinamumo užtikrinimas (2 priemonės), probleminio lošimo paplitimo mažinimas (3 priemonės). Taip pat </w:t>
      </w:r>
      <w:r w:rsidR="000F4876">
        <w:rPr>
          <w:rFonts w:ascii="Times New Roman" w:hAnsi="Times New Roman" w:cs="Times New Roman"/>
          <w:sz w:val="24"/>
          <w:szCs w:val="24"/>
        </w:rPr>
        <w:t xml:space="preserve">paskirtos už </w:t>
      </w:r>
      <w:r>
        <w:rPr>
          <w:rFonts w:ascii="Times New Roman" w:hAnsi="Times New Roman" w:cs="Times New Roman"/>
          <w:sz w:val="24"/>
          <w:szCs w:val="24"/>
        </w:rPr>
        <w:t>ki</w:t>
      </w:r>
      <w:r w:rsidR="000F4876">
        <w:rPr>
          <w:rFonts w:ascii="Times New Roman" w:hAnsi="Times New Roman" w:cs="Times New Roman"/>
          <w:sz w:val="24"/>
          <w:szCs w:val="24"/>
        </w:rPr>
        <w:t>ekvienos priemonės įgyvendinimo užtikrinimą</w:t>
      </w:r>
      <w:r>
        <w:rPr>
          <w:rFonts w:ascii="Times New Roman" w:hAnsi="Times New Roman" w:cs="Times New Roman"/>
          <w:sz w:val="24"/>
          <w:szCs w:val="24"/>
        </w:rPr>
        <w:t xml:space="preserve"> atsakingos inst</w:t>
      </w:r>
      <w:r w:rsidR="000F4876">
        <w:rPr>
          <w:rFonts w:ascii="Times New Roman" w:hAnsi="Times New Roman" w:cs="Times New Roman"/>
          <w:sz w:val="24"/>
          <w:szCs w:val="24"/>
        </w:rPr>
        <w:t xml:space="preserve">itucijos ir nurodyti priemonių </w:t>
      </w:r>
      <w:r>
        <w:rPr>
          <w:rFonts w:ascii="Times New Roman" w:hAnsi="Times New Roman" w:cs="Times New Roman"/>
          <w:sz w:val="24"/>
          <w:szCs w:val="24"/>
        </w:rPr>
        <w:t xml:space="preserve">įgyvendinimo terminai. </w:t>
      </w:r>
    </w:p>
    <w:p w:rsidR="00F21368" w:rsidRDefault="00F21368" w:rsidP="0073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1368" w:rsidSect="00F21368">
          <w:pgSz w:w="11906" w:h="16838"/>
          <w:pgMar w:top="1134" w:right="1418" w:bottom="993" w:left="567" w:header="567" w:footer="567" w:gutter="0"/>
          <w:cols w:space="1296"/>
          <w:docGrid w:linePitch="360"/>
        </w:sectPr>
      </w:pPr>
    </w:p>
    <w:p w:rsidR="00E30866" w:rsidRDefault="00E30866" w:rsidP="00437B8B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866" w:rsidRDefault="00E30866" w:rsidP="00E30866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866" w:rsidRPr="004C7997" w:rsidRDefault="00E30866" w:rsidP="00437B8B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8B5770" w:rsidRPr="004C7997" w:rsidRDefault="008B5770" w:rsidP="00681C37">
      <w:pPr>
        <w:spacing w:after="0" w:line="280" w:lineRule="exact"/>
        <w:jc w:val="both"/>
      </w:pPr>
    </w:p>
    <w:tbl>
      <w:tblPr>
        <w:tblW w:w="13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6959"/>
        <w:gridCol w:w="1937"/>
        <w:gridCol w:w="2444"/>
      </w:tblGrid>
      <w:tr w:rsidR="00747C7B" w:rsidRPr="004C7997" w:rsidTr="00747C7B">
        <w:trPr>
          <w:jc w:val="center"/>
        </w:trPr>
        <w:tc>
          <w:tcPr>
            <w:tcW w:w="25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C7B" w:rsidRPr="004C7997" w:rsidRDefault="00747C7B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Uždaviniai</w:t>
            </w:r>
          </w:p>
        </w:tc>
        <w:tc>
          <w:tcPr>
            <w:tcW w:w="6959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C7B" w:rsidRPr="004C7997" w:rsidRDefault="00747C7B" w:rsidP="00A87FA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7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Probleminio lošimo prevencijos priemonės</w:t>
            </w:r>
          </w:p>
        </w:tc>
        <w:tc>
          <w:tcPr>
            <w:tcW w:w="1937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C7B" w:rsidRPr="004C7997" w:rsidRDefault="00747C7B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Įgyvendinimo terminai</w:t>
            </w:r>
          </w:p>
        </w:tc>
        <w:tc>
          <w:tcPr>
            <w:tcW w:w="2444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C7B" w:rsidRPr="004C7997" w:rsidRDefault="00747C7B" w:rsidP="00A87FA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  <w:r w:rsidR="00B82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*</w:t>
            </w:r>
          </w:p>
        </w:tc>
      </w:tr>
      <w:tr w:rsidR="00842D11" w:rsidRPr="00842D11" w:rsidTr="00DC5A52">
        <w:trPr>
          <w:trHeight w:val="1762"/>
          <w:jc w:val="center"/>
        </w:trPr>
        <w:tc>
          <w:tcPr>
            <w:tcW w:w="2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D11" w:rsidRPr="00842D11" w:rsidRDefault="00437B8B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1.Šviečiamosios</w:t>
            </w:r>
            <w:r w:rsidR="00842D11" w:rsidRPr="00842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veiklos skatinimas ir sąmoningumo ugdymas</w:t>
            </w:r>
          </w:p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D11" w:rsidRPr="00842D11" w:rsidRDefault="00842D11" w:rsidP="00AA7A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 Parengti mokymo programą lektoriams</w:t>
            </w:r>
            <w:r w:rsidRPr="00842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paruošti lekt</w:t>
            </w:r>
            <w:r w:rsidR="00437B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orius, kurie skaitys paskaitas ir (ar)</w:t>
            </w:r>
            <w:r w:rsidRPr="00842D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ves mokymus azartinių lošimų problematikos ir probleminio lošimo prevencijos tema švietimo, sveikatos priežiūros įstaigų,  </w:t>
            </w:r>
            <w:r w:rsidR="00AA7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socialinių paslaugų </w:t>
            </w:r>
            <w:r w:rsidRPr="00842D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įstaigų ir organizacijų specialistams.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1A7155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</w:t>
            </w:r>
            <w:r w:rsidR="008E24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LPT  </w:t>
            </w:r>
          </w:p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</w:t>
            </w:r>
          </w:p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ŠMM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SADM</w:t>
            </w:r>
          </w:p>
          <w:p w:rsidR="00842D11" w:rsidRPr="00842D11" w:rsidRDefault="00842D11" w:rsidP="00DC5A5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842D11" w:rsidRPr="00842D11" w:rsidTr="00747C7B">
        <w:trPr>
          <w:trHeight w:val="785"/>
          <w:jc w:val="center"/>
        </w:trPr>
        <w:tc>
          <w:tcPr>
            <w:tcW w:w="2510" w:type="dxa"/>
            <w:vMerge/>
            <w:vAlign w:val="center"/>
            <w:hideMark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D11" w:rsidRPr="00842D11" w:rsidRDefault="00842D11" w:rsidP="006D689B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Įtraukti azartinių lošimų prevencijos temas į bendrojo ugdymo ir bendrąjį ugdymą papildančias  programas.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C70BB0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2021m. 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4329C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ŠMM</w:t>
            </w:r>
          </w:p>
          <w:p w:rsidR="00842D11" w:rsidRPr="00842D11" w:rsidRDefault="00842D11" w:rsidP="00F96FF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2D11" w:rsidRPr="00842D11" w:rsidTr="00747C7B">
        <w:trPr>
          <w:trHeight w:val="924"/>
          <w:jc w:val="center"/>
        </w:trPr>
        <w:tc>
          <w:tcPr>
            <w:tcW w:w="2510" w:type="dxa"/>
            <w:vMerge/>
            <w:vAlign w:val="center"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FC607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Parengti metodinės medžiagos paketą bendrojo ugdymo mokyklų  švietimo pagalbos specialistams, mokytojams, kaip vykdyti </w:t>
            </w:r>
            <w:r w:rsidR="009E43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mokiniams </w:t>
            </w:r>
            <w:r w:rsidR="00FC60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9E43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FC60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mokinių tėvams skirtas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azartinių lošimų prevencij</w:t>
            </w:r>
            <w:r w:rsidR="00FC60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priemones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C70BB0" w:rsidP="00C70BB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2020m. 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F96FF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ŠMM</w:t>
            </w:r>
          </w:p>
        </w:tc>
      </w:tr>
      <w:tr w:rsidR="00842D11" w:rsidRPr="00842D11" w:rsidTr="00747C7B">
        <w:trPr>
          <w:jc w:val="center"/>
        </w:trPr>
        <w:tc>
          <w:tcPr>
            <w:tcW w:w="2510" w:type="dxa"/>
            <w:vMerge/>
            <w:vAlign w:val="center"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2713D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Rekomenduoti aukštosioms mokykloms įtraukti azartinių lošimų problematikos temą į studijų programas (psichologija, medicina, visuomenės sveikata, socialinis darbas, pedagogika, kūno kultūra ir kt.) ir vykdyti  probleminio lošimo prevencijos sklaidą studentams.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D20FB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2019 m. II </w:t>
            </w:r>
            <w:proofErr w:type="spellStart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4B0CC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ŠMM</w:t>
            </w:r>
          </w:p>
        </w:tc>
      </w:tr>
      <w:tr w:rsidR="00842D11" w:rsidRPr="00842D11" w:rsidTr="00747C7B">
        <w:trPr>
          <w:jc w:val="center"/>
        </w:trPr>
        <w:tc>
          <w:tcPr>
            <w:tcW w:w="2510" w:type="dxa"/>
            <w:vMerge/>
            <w:vAlign w:val="center"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AE0B0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Parengti atsakingo lošimo </w:t>
            </w:r>
            <w:r w:rsidR="00230A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organizavimo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rekomendacijas</w:t>
            </w:r>
            <w:r w:rsidR="004B7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lošimų organizatorių atstovams bei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personalui ir, siekiant supažindinti su probleminio lošimo rizikos ženklais ir pagalbos būdais, kartą per metus skaityti jiems parengtą (atnaujintą pagal poreikį) paskaitų ciklą. 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1A7155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II</w:t>
            </w:r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2D11" w:rsidRPr="00842D11" w:rsidTr="00747C7B">
        <w:trPr>
          <w:trHeight w:val="1002"/>
          <w:jc w:val="center"/>
        </w:trPr>
        <w:tc>
          <w:tcPr>
            <w:tcW w:w="2510" w:type="dxa"/>
            <w:vMerge/>
            <w:vAlign w:val="center"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842D1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1.6. Išnagrinėti probleminio lošimo prevencijos socialinės reklamos kriterijus, veiksnius, tikslines grupes, sąnaudas. 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2019 m. II </w:t>
            </w:r>
            <w:proofErr w:type="spellStart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842D11" w:rsidRPr="00842D11" w:rsidRDefault="00842D11" w:rsidP="00842D1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4769C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  <w:p w:rsidR="00842D11" w:rsidRPr="00842D11" w:rsidRDefault="00842D11" w:rsidP="005B2A0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42D11" w:rsidRPr="00842D11" w:rsidTr="00747C7B">
        <w:trPr>
          <w:trHeight w:val="1002"/>
          <w:jc w:val="center"/>
        </w:trPr>
        <w:tc>
          <w:tcPr>
            <w:tcW w:w="2510" w:type="dxa"/>
            <w:vMerge/>
            <w:vAlign w:val="center"/>
          </w:tcPr>
          <w:p w:rsidR="00842D11" w:rsidRPr="00842D11" w:rsidRDefault="00842D11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842D1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1.7 </w:t>
            </w:r>
            <w:r w:rsidR="00E87F1A" w:rsidRPr="00DB4027">
              <w:rPr>
                <w:rFonts w:ascii="Times New Roman" w:hAnsi="Times New Roman" w:cs="Times New Roman"/>
                <w:sz w:val="24"/>
                <w:szCs w:val="24"/>
              </w:rPr>
              <w:t>Organizuoti ir vykdyti socialines informacines kampanijas azartinių lošimų prevencijos tema</w:t>
            </w:r>
            <w:r w:rsidRPr="00DB40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Kasmet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11" w:rsidRPr="00842D11" w:rsidRDefault="00842D11" w:rsidP="004769C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</w:tc>
      </w:tr>
      <w:tr w:rsidR="00747C7B" w:rsidRPr="00842D11" w:rsidTr="00747C7B">
        <w:trPr>
          <w:trHeight w:val="2173"/>
          <w:jc w:val="center"/>
        </w:trPr>
        <w:tc>
          <w:tcPr>
            <w:tcW w:w="2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E1547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747C7B" w:rsidRPr="00842D11" w:rsidRDefault="00747C7B" w:rsidP="00E1547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 Pagalbos probleminiams lošėjams prieinamumo užtikrinimas</w:t>
            </w:r>
          </w:p>
          <w:p w:rsidR="00747C7B" w:rsidRPr="00842D11" w:rsidRDefault="00747C7B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FE3DB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Parengti m</w:t>
            </w:r>
            <w:r w:rsidRPr="00842D11">
              <w:rPr>
                <w:rFonts w:ascii="Times New Roman" w:hAnsi="Times New Roman" w:cs="Times New Roman"/>
                <w:sz w:val="24"/>
                <w:szCs w:val="24"/>
              </w:rPr>
              <w:t>etodinės pagalbos gaires (veiksmų algoritmus) švietimo, sveikatos priežiūros įstaigų specialistams, socialini</w:t>
            </w:r>
            <w:r w:rsidR="00FE3DB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42D11">
              <w:t xml:space="preserve"> </w:t>
            </w:r>
            <w:r w:rsidR="00FE3DB8">
              <w:rPr>
                <w:rFonts w:ascii="Times New Roman" w:hAnsi="Times New Roman" w:cs="Times New Roman"/>
                <w:sz w:val="24"/>
                <w:szCs w:val="24"/>
              </w:rPr>
              <w:t xml:space="preserve"> paslaugų įstaigų ir organizacijų specialistams</w:t>
            </w:r>
            <w:r w:rsidRPr="00842D11">
              <w:rPr>
                <w:rFonts w:ascii="Times New Roman" w:hAnsi="Times New Roman" w:cs="Times New Roman"/>
                <w:sz w:val="24"/>
                <w:szCs w:val="24"/>
              </w:rPr>
              <w:t xml:space="preserve">, siekiant </w:t>
            </w:r>
            <w:r w:rsidR="00CE2F43">
              <w:rPr>
                <w:rFonts w:ascii="Times New Roman" w:hAnsi="Times New Roman" w:cs="Times New Roman"/>
                <w:sz w:val="24"/>
                <w:szCs w:val="24"/>
              </w:rPr>
              <w:t xml:space="preserve">laiku </w:t>
            </w:r>
            <w:r w:rsidRPr="00842D11">
              <w:rPr>
                <w:rFonts w:ascii="Times New Roman" w:hAnsi="Times New Roman" w:cs="Times New Roman"/>
                <w:sz w:val="24"/>
                <w:szCs w:val="24"/>
              </w:rPr>
              <w:t>atpažinti ir</w:t>
            </w:r>
            <w:r w:rsidR="00CE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43" w:rsidRPr="00CE2F43">
              <w:rPr>
                <w:rFonts w:ascii="Times New Roman" w:hAnsi="Times New Roman" w:cs="Times New Roman"/>
                <w:bCs/>
                <w:sz w:val="24"/>
                <w:szCs w:val="24"/>
              </w:rPr>
              <w:t>nukreipti asmenį gauti individualius asmens poreikius tenkinančią ankstyvosios intervencijos, gydymo, socialinės psichologinės reabilitacijos dėl  priklausomybės nuo azartinių lošimų ar rizikingo elgesio, susijusio su lošimu</w:t>
            </w:r>
            <w:r w:rsidR="009C68F9">
              <w:rPr>
                <w:rFonts w:ascii="Times New Roman" w:hAnsi="Times New Roman" w:cs="Times New Roman"/>
                <w:bCs/>
                <w:sz w:val="24"/>
                <w:szCs w:val="24"/>
              </w:rPr>
              <w:t>, paslaugas ir (ar)</w:t>
            </w:r>
            <w:r w:rsidR="00CE2F43" w:rsidRPr="00CE2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kitas reikalingas paslaugas ir pagalbą</w:t>
            </w:r>
            <w:r w:rsidR="00CE2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DD3802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II</w:t>
            </w:r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AA4E6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  <w:p w:rsidR="00747C7B" w:rsidRPr="00842D11" w:rsidRDefault="00747C7B" w:rsidP="00AA4E6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</w:t>
            </w:r>
          </w:p>
          <w:p w:rsidR="00747C7B" w:rsidRPr="00842D11" w:rsidRDefault="00747C7B" w:rsidP="00AA4E6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747C7B" w:rsidP="00FD343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747C7B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ŠMM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747C7B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747C7B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NVO</w:t>
            </w:r>
          </w:p>
        </w:tc>
      </w:tr>
      <w:tr w:rsidR="00747C7B" w:rsidRPr="00842D11" w:rsidTr="00747C7B">
        <w:trPr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C74FA7">
            <w:pPr>
              <w:pStyle w:val="Sraopastraipa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655B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</w:t>
            </w:r>
            <w:r w:rsidR="001F44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Parengti Lietuvos Respublikos</w:t>
            </w:r>
            <w:r w:rsidR="002C7D0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4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655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igos ir motinystės socialinio draudimo</w:t>
            </w:r>
            <w:r w:rsidR="001F44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įstatymo Nr. IX-110 9 straipsnio ir šio įstatymo įgyvendinamųjų teisės aktų pataisas</w:t>
            </w:r>
            <w:r w:rsidR="00655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7D6E0D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užtikrinant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asmenų, kuriems nustatyta diagnozė pagal TLK-10 F63.0 kodą</w:t>
            </w:r>
            <w:r w:rsidR="007D6E0D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D6E0D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teises į laikiną nedarbingumą gydymosi</w:t>
            </w:r>
            <w:r w:rsidR="00655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specializuotame</w:t>
            </w:r>
            <w:r w:rsidR="007D6E0D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stacionare metu</w:t>
            </w:r>
            <w:r w:rsidR="00F41FB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7D6E0D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lygiavertes kitų psichikos sutrikimų turinčių asmenų teisėms.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221A3E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</w:t>
            </w:r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I</w:t>
            </w:r>
            <w:r w:rsidR="00655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221A3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47C7B" w:rsidRPr="00842D11" w:rsidRDefault="00747C7B" w:rsidP="002826A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221A3E" w:rsidP="002826A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</w:t>
            </w:r>
          </w:p>
        </w:tc>
      </w:tr>
      <w:tr w:rsidR="00747C7B" w:rsidRPr="00842D11" w:rsidTr="00747C7B">
        <w:trPr>
          <w:trHeight w:val="769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AB6F9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 Probleminio lošimo paplitimo mažinimas </w:t>
            </w: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842D1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3.1. Sukurti </w:t>
            </w:r>
            <w:proofErr w:type="spellStart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įtraukties</w:t>
            </w:r>
            <w:proofErr w:type="spellEnd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 lošimus </w:t>
            </w:r>
            <w:proofErr w:type="spellStart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sistemą</w:t>
            </w:r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B32A6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D38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IV </w:t>
            </w:r>
            <w:proofErr w:type="spellStart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747C7B" w:rsidRPr="00842D11" w:rsidRDefault="00747C7B" w:rsidP="00B32A6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B32A6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  <w:p w:rsidR="00747C7B" w:rsidRPr="00842D11" w:rsidRDefault="00747C7B" w:rsidP="00B32A6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47C7B" w:rsidRPr="00842D11" w:rsidRDefault="00747C7B" w:rsidP="00B32A6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47C7B" w:rsidRPr="00842D11" w:rsidTr="00747C7B">
        <w:trPr>
          <w:jc w:val="center"/>
        </w:trPr>
        <w:tc>
          <w:tcPr>
            <w:tcW w:w="2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9C081A" w:rsidP="00842D1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</w:t>
            </w:r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Atsižvelgiant į </w:t>
            </w:r>
            <w:proofErr w:type="spellStart"/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rodiklius, v</w:t>
            </w:r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ertinti azartinių lošimų teisinio reglamentavimo </w:t>
            </w:r>
            <w:r w:rsidR="00301AC9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tobulinimo</w:t>
            </w:r>
            <w:r w:rsidR="00747C7B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01AC9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poreikį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tikslingumą</w:t>
            </w:r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DE6549" w:rsidP="002C7D0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842D1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asmet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AB6F9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FM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747C7B" w:rsidRPr="00842D11" w:rsidRDefault="00747C7B" w:rsidP="00AB6F9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LPT</w:t>
            </w:r>
          </w:p>
        </w:tc>
      </w:tr>
      <w:tr w:rsidR="00747C7B" w:rsidRPr="004C7997" w:rsidTr="00747C7B">
        <w:trPr>
          <w:jc w:val="center"/>
        </w:trPr>
        <w:tc>
          <w:tcPr>
            <w:tcW w:w="2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C74FA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747C7B" w:rsidP="002C7D0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</w:t>
            </w:r>
            <w:r w:rsidR="009C68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Siekti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vykdyti socialiai atsakingą verslą, įsitraukiant į </w:t>
            </w:r>
            <w:r w:rsidR="008E0AE8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probleminio lošimo 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prevencijos priemonių</w:t>
            </w:r>
            <w:r w:rsidR="008E0AE8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veiklų</w:t>
            </w: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įgyvendinimą</w:t>
            </w:r>
            <w:r w:rsidR="002C7D01"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Pr="00842D11" w:rsidRDefault="00DE6549" w:rsidP="00AE0D8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Kasmet</w:t>
            </w:r>
          </w:p>
        </w:tc>
        <w:tc>
          <w:tcPr>
            <w:tcW w:w="24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C7B" w:rsidRDefault="00747C7B" w:rsidP="00AB6F9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2D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Lošimų organizatoriai</w:t>
            </w:r>
          </w:p>
          <w:p w:rsidR="00747C7B" w:rsidRPr="004C7997" w:rsidRDefault="00747C7B" w:rsidP="002C7D0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D1FFB" w:rsidRDefault="00DD1FFB" w:rsidP="000F467B">
      <w:pPr>
        <w:spacing w:after="0" w:line="280" w:lineRule="exact"/>
        <w:jc w:val="center"/>
      </w:pPr>
    </w:p>
    <w:p w:rsidR="00BF4F12" w:rsidRDefault="000F467B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softHyphen/>
      </w:r>
      <w:r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softHyphen/>
      </w:r>
      <w:r w:rsidR="00706CDA">
        <w:tab/>
      </w:r>
      <w:r w:rsidR="00FA1AA2">
        <w:t>*</w:t>
      </w:r>
      <w:r w:rsidR="00706CDA">
        <w:rPr>
          <w:rFonts w:ascii="Times New Roman" w:hAnsi="Times New Roman" w:cs="Times New Roman"/>
          <w:sz w:val="24"/>
          <w:szCs w:val="24"/>
        </w:rPr>
        <w:t>Trumpinių sąrašas</w:t>
      </w:r>
      <w:r w:rsidR="00BF4F12">
        <w:rPr>
          <w:rFonts w:ascii="Times New Roman" w:hAnsi="Times New Roman" w:cs="Times New Roman"/>
          <w:sz w:val="24"/>
          <w:szCs w:val="24"/>
        </w:rPr>
        <w:t>:</w:t>
      </w:r>
    </w:p>
    <w:p w:rsidR="00BF4F12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LPT – Lošimų priežiūros tarnyba prie Lietuvos Respublikos finansų ministerijos;</w:t>
      </w:r>
    </w:p>
    <w:p w:rsidR="00BF4F12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FM – Lietuvos Respublikos finansų ministerija;</w:t>
      </w:r>
    </w:p>
    <w:p w:rsidR="00BF4F12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NVO – Nevyriausybinės organizacijos;</w:t>
      </w:r>
    </w:p>
    <w:p w:rsidR="00BF4F12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 – Savivaldybių asociacija;</w:t>
      </w:r>
    </w:p>
    <w:p w:rsidR="00BF4F12" w:rsidRDefault="00BF4F12" w:rsidP="00BF4F12">
      <w:pPr>
        <w:spacing w:after="0" w:line="280" w:lineRule="exact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SADM – Lietuvos Respublikos socialinės apsaugos ir darbo ministerija;</w:t>
      </w:r>
    </w:p>
    <w:p w:rsidR="00BF4F12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SAM – Lietuvos Respublikos sveikatos apsaugos ministerija;</w:t>
      </w:r>
    </w:p>
    <w:p w:rsidR="00A4309A" w:rsidRDefault="00BF4F12" w:rsidP="000F467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ŠMM – Lietuvos Respublikos švietimo ir mokslo ministerija.</w:t>
      </w:r>
    </w:p>
    <w:p w:rsidR="000F467B" w:rsidRPr="000F467B" w:rsidRDefault="000F467B" w:rsidP="00A4309A">
      <w:pPr>
        <w:spacing w:after="0" w:line="280" w:lineRule="exact"/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u w:val="single"/>
        </w:rPr>
        <w:t>__________</w:t>
      </w:r>
      <w:r w:rsidR="00464D5E">
        <w:rPr>
          <w:u w:val="single"/>
        </w:rPr>
        <w:t>____________________</w:t>
      </w:r>
    </w:p>
    <w:sectPr w:rsidR="000F467B" w:rsidRPr="000F467B" w:rsidSect="00F21368">
      <w:pgSz w:w="16838" w:h="11906" w:orient="landscape"/>
      <w:pgMar w:top="567" w:right="1134" w:bottom="1418" w:left="992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5B80CD" w15:done="0"/>
  <w15:commentEx w15:paraId="1995B6BA" w15:done="0"/>
  <w15:commentEx w15:paraId="65D2EA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C9B79B" w16cid:durableId="1F560D8B"/>
  <w16cid:commentId w16cid:paraId="103B76C3" w16cid:durableId="1F560D8C"/>
  <w16cid:commentId w16cid:paraId="1E7FEDAB" w16cid:durableId="1F560D8D"/>
  <w16cid:commentId w16cid:paraId="30F7F43D" w16cid:durableId="1F560D8E"/>
  <w16cid:commentId w16cid:paraId="7D435C4D" w16cid:durableId="1F560D90"/>
  <w16cid:commentId w16cid:paraId="651BE245" w16cid:durableId="1F560D91"/>
  <w16cid:commentId w16cid:paraId="3C725888" w16cid:durableId="1F560D92"/>
  <w16cid:commentId w16cid:paraId="22A6F686" w16cid:durableId="1F560D93"/>
  <w16cid:commentId w16cid:paraId="79960794" w16cid:durableId="1F560D94"/>
  <w16cid:commentId w16cid:paraId="3BCC0DBA" w16cid:durableId="1F560DB6"/>
  <w16cid:commentId w16cid:paraId="766B108F" w16cid:durableId="1F560D95"/>
  <w16cid:commentId w16cid:paraId="252A8F8B" w16cid:durableId="1F560D96"/>
  <w16cid:commentId w16cid:paraId="5DED4BF8" w16cid:durableId="1F560D97"/>
  <w16cid:commentId w16cid:paraId="2C66BB8B" w16cid:durableId="1F560D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6F" w:rsidRDefault="0043436F" w:rsidP="007B7140">
      <w:pPr>
        <w:spacing w:after="0" w:line="240" w:lineRule="auto"/>
      </w:pPr>
      <w:r>
        <w:separator/>
      </w:r>
    </w:p>
  </w:endnote>
  <w:endnote w:type="continuationSeparator" w:id="0">
    <w:p w:rsidR="0043436F" w:rsidRDefault="0043436F" w:rsidP="007B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6F" w:rsidRDefault="0043436F" w:rsidP="007B7140">
      <w:pPr>
        <w:spacing w:after="0" w:line="240" w:lineRule="auto"/>
      </w:pPr>
      <w:r>
        <w:separator/>
      </w:r>
    </w:p>
  </w:footnote>
  <w:footnote w:type="continuationSeparator" w:id="0">
    <w:p w:rsidR="0043436F" w:rsidRDefault="0043436F" w:rsidP="007B7140">
      <w:pPr>
        <w:spacing w:after="0" w:line="240" w:lineRule="auto"/>
      </w:pPr>
      <w:r>
        <w:continuationSeparator/>
      </w:r>
    </w:p>
  </w:footnote>
  <w:footnote w:id="1">
    <w:p w:rsidR="00E83568" w:rsidRDefault="00E83568" w:rsidP="00E8356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6214E7">
          <w:rPr>
            <w:rStyle w:val="Hipersaitas"/>
          </w:rPr>
          <w:t>https://www.ncbi.nlm.nih.gov/pmc/articles/PMC5445143/</w:t>
        </w:r>
      </w:hyperlink>
      <w:r>
        <w:t xml:space="preserve"> </w:t>
      </w:r>
    </w:p>
    <w:p w:rsidR="00E83568" w:rsidRDefault="00E83568" w:rsidP="00E83568">
      <w:pPr>
        <w:pStyle w:val="Puslapioinaostekstas"/>
      </w:pPr>
      <w:r>
        <w:t xml:space="preserve">  </w:t>
      </w:r>
      <w:hyperlink r:id="rId2" w:history="1">
        <w:r w:rsidRPr="006214E7">
          <w:rPr>
            <w:rStyle w:val="Hipersaitas"/>
          </w:rPr>
          <w:t>https://www.ncbi.nlm.nih.gov/pmc/articles/PMC5370365/</w:t>
        </w:r>
      </w:hyperlink>
      <w:r>
        <w:t xml:space="preserve"> </w:t>
      </w:r>
    </w:p>
  </w:footnote>
  <w:footnote w:id="2">
    <w:p w:rsidR="00F21368" w:rsidRDefault="00F21368" w:rsidP="00F2136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history="1">
        <w:r w:rsidRPr="006214E7">
          <w:rPr>
            <w:rStyle w:val="Hipersaitas"/>
          </w:rPr>
          <w:t>http://lpt.lrv.lt/lt/administracine-informacija/veiklos-ataskaitos</w:t>
        </w:r>
      </w:hyperlink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E67"/>
    <w:multiLevelType w:val="hybridMultilevel"/>
    <w:tmpl w:val="12EA1168"/>
    <w:lvl w:ilvl="0" w:tplc="0BC86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6E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21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42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AF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08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4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407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0F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8B5C15"/>
    <w:multiLevelType w:val="hybridMultilevel"/>
    <w:tmpl w:val="E4EE1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138C"/>
    <w:multiLevelType w:val="hybridMultilevel"/>
    <w:tmpl w:val="029EC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93569"/>
    <w:multiLevelType w:val="hybridMultilevel"/>
    <w:tmpl w:val="47D2D1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26219"/>
    <w:multiLevelType w:val="multilevel"/>
    <w:tmpl w:val="51E89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F0E24E3"/>
    <w:multiLevelType w:val="hybridMultilevel"/>
    <w:tmpl w:val="ABD6DC4A"/>
    <w:lvl w:ilvl="0" w:tplc="BF9EB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01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67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60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EA3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965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48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CE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AB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5B71499"/>
    <w:multiLevelType w:val="multilevel"/>
    <w:tmpl w:val="900A378C"/>
    <w:lvl w:ilvl="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6" w:hanging="1800"/>
      </w:pPr>
      <w:rPr>
        <w:rFonts w:hint="default"/>
      </w:rPr>
    </w:lvl>
  </w:abstractNum>
  <w:abstractNum w:abstractNumId="7">
    <w:nsid w:val="652E6942"/>
    <w:multiLevelType w:val="multilevel"/>
    <w:tmpl w:val="1B8C0E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83F1219"/>
    <w:multiLevelType w:val="hybridMultilevel"/>
    <w:tmpl w:val="8E4C9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523AB"/>
    <w:multiLevelType w:val="hybridMultilevel"/>
    <w:tmpl w:val="334EA9E8"/>
    <w:lvl w:ilvl="0" w:tplc="A1F6C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C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4EB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26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AF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23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A7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128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2C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AED2824"/>
    <w:multiLevelType w:val="hybridMultilevel"/>
    <w:tmpl w:val="1FAC8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C5"/>
    <w:rsid w:val="00001F8E"/>
    <w:rsid w:val="000056ED"/>
    <w:rsid w:val="0001241A"/>
    <w:rsid w:val="0001336B"/>
    <w:rsid w:val="00016BE5"/>
    <w:rsid w:val="00036554"/>
    <w:rsid w:val="000437F7"/>
    <w:rsid w:val="0005148A"/>
    <w:rsid w:val="00052F11"/>
    <w:rsid w:val="0005335E"/>
    <w:rsid w:val="00070B58"/>
    <w:rsid w:val="000758F3"/>
    <w:rsid w:val="00091630"/>
    <w:rsid w:val="00092E9A"/>
    <w:rsid w:val="00093127"/>
    <w:rsid w:val="00095C36"/>
    <w:rsid w:val="000A18B4"/>
    <w:rsid w:val="000A61EF"/>
    <w:rsid w:val="000A65C9"/>
    <w:rsid w:val="000B1965"/>
    <w:rsid w:val="000C3DD7"/>
    <w:rsid w:val="000D7A22"/>
    <w:rsid w:val="000E1298"/>
    <w:rsid w:val="000E23BD"/>
    <w:rsid w:val="000E2E85"/>
    <w:rsid w:val="000E3173"/>
    <w:rsid w:val="000E42E6"/>
    <w:rsid w:val="000E4B63"/>
    <w:rsid w:val="000E6436"/>
    <w:rsid w:val="000F2EA7"/>
    <w:rsid w:val="000F37AD"/>
    <w:rsid w:val="000F467B"/>
    <w:rsid w:val="000F4876"/>
    <w:rsid w:val="000F60DB"/>
    <w:rsid w:val="00106172"/>
    <w:rsid w:val="001105E8"/>
    <w:rsid w:val="001132EA"/>
    <w:rsid w:val="00115590"/>
    <w:rsid w:val="00121AFB"/>
    <w:rsid w:val="00130B53"/>
    <w:rsid w:val="00130CB9"/>
    <w:rsid w:val="001313B1"/>
    <w:rsid w:val="00142D9A"/>
    <w:rsid w:val="00144AA8"/>
    <w:rsid w:val="00146FD1"/>
    <w:rsid w:val="0015176F"/>
    <w:rsid w:val="00154E33"/>
    <w:rsid w:val="00161695"/>
    <w:rsid w:val="00163860"/>
    <w:rsid w:val="0018501A"/>
    <w:rsid w:val="001921F5"/>
    <w:rsid w:val="001947CF"/>
    <w:rsid w:val="00194EB6"/>
    <w:rsid w:val="00196FFA"/>
    <w:rsid w:val="001A246A"/>
    <w:rsid w:val="001A3C8F"/>
    <w:rsid w:val="001A7155"/>
    <w:rsid w:val="001B5C07"/>
    <w:rsid w:val="001C27AC"/>
    <w:rsid w:val="001C2C33"/>
    <w:rsid w:val="001C5EAD"/>
    <w:rsid w:val="001D6583"/>
    <w:rsid w:val="001D74AA"/>
    <w:rsid w:val="001D7763"/>
    <w:rsid w:val="001E1047"/>
    <w:rsid w:val="001E48D4"/>
    <w:rsid w:val="001F445A"/>
    <w:rsid w:val="001F6EFA"/>
    <w:rsid w:val="001F7718"/>
    <w:rsid w:val="001F799E"/>
    <w:rsid w:val="00201C9C"/>
    <w:rsid w:val="00202BAB"/>
    <w:rsid w:val="00210031"/>
    <w:rsid w:val="00210ABC"/>
    <w:rsid w:val="0021443C"/>
    <w:rsid w:val="002164B8"/>
    <w:rsid w:val="00220872"/>
    <w:rsid w:val="00221A3E"/>
    <w:rsid w:val="00222FD6"/>
    <w:rsid w:val="00230AD7"/>
    <w:rsid w:val="0024453B"/>
    <w:rsid w:val="00247937"/>
    <w:rsid w:val="00251449"/>
    <w:rsid w:val="00253501"/>
    <w:rsid w:val="002544AA"/>
    <w:rsid w:val="00254D19"/>
    <w:rsid w:val="00266245"/>
    <w:rsid w:val="002713D0"/>
    <w:rsid w:val="002716DE"/>
    <w:rsid w:val="002751E6"/>
    <w:rsid w:val="002826A6"/>
    <w:rsid w:val="002912C4"/>
    <w:rsid w:val="002A7399"/>
    <w:rsid w:val="002B1FAF"/>
    <w:rsid w:val="002B4283"/>
    <w:rsid w:val="002B5FDE"/>
    <w:rsid w:val="002B6719"/>
    <w:rsid w:val="002C7D01"/>
    <w:rsid w:val="002D5C5F"/>
    <w:rsid w:val="002D77F4"/>
    <w:rsid w:val="002E3332"/>
    <w:rsid w:val="002F77E4"/>
    <w:rsid w:val="003006E1"/>
    <w:rsid w:val="0030113D"/>
    <w:rsid w:val="00301AC9"/>
    <w:rsid w:val="00301E1A"/>
    <w:rsid w:val="00305BC8"/>
    <w:rsid w:val="0031247E"/>
    <w:rsid w:val="00314114"/>
    <w:rsid w:val="003246F8"/>
    <w:rsid w:val="003253F0"/>
    <w:rsid w:val="00326604"/>
    <w:rsid w:val="00333448"/>
    <w:rsid w:val="003357FA"/>
    <w:rsid w:val="00335D9D"/>
    <w:rsid w:val="00336D98"/>
    <w:rsid w:val="003478DF"/>
    <w:rsid w:val="0035338F"/>
    <w:rsid w:val="00353EF1"/>
    <w:rsid w:val="00360250"/>
    <w:rsid w:val="003647F5"/>
    <w:rsid w:val="00367E63"/>
    <w:rsid w:val="003708C9"/>
    <w:rsid w:val="00377659"/>
    <w:rsid w:val="00387A4E"/>
    <w:rsid w:val="0039469C"/>
    <w:rsid w:val="0039782D"/>
    <w:rsid w:val="003A03AC"/>
    <w:rsid w:val="003A7417"/>
    <w:rsid w:val="003B1724"/>
    <w:rsid w:val="003B4110"/>
    <w:rsid w:val="003B5D3E"/>
    <w:rsid w:val="003B7C5D"/>
    <w:rsid w:val="003C4651"/>
    <w:rsid w:val="003C60C5"/>
    <w:rsid w:val="003C63E6"/>
    <w:rsid w:val="003D0CB6"/>
    <w:rsid w:val="003D16A2"/>
    <w:rsid w:val="003D561A"/>
    <w:rsid w:val="003E0DE4"/>
    <w:rsid w:val="003E6EC7"/>
    <w:rsid w:val="003E7B92"/>
    <w:rsid w:val="003F0A57"/>
    <w:rsid w:val="003F2B08"/>
    <w:rsid w:val="003F3404"/>
    <w:rsid w:val="003F3A10"/>
    <w:rsid w:val="00400D18"/>
    <w:rsid w:val="00401EF4"/>
    <w:rsid w:val="00403A20"/>
    <w:rsid w:val="004070E4"/>
    <w:rsid w:val="00411084"/>
    <w:rsid w:val="004129B8"/>
    <w:rsid w:val="00414742"/>
    <w:rsid w:val="0042413D"/>
    <w:rsid w:val="00425636"/>
    <w:rsid w:val="004329CF"/>
    <w:rsid w:val="0043436F"/>
    <w:rsid w:val="00437B8B"/>
    <w:rsid w:val="00442C3D"/>
    <w:rsid w:val="0044784E"/>
    <w:rsid w:val="00451833"/>
    <w:rsid w:val="00452EF6"/>
    <w:rsid w:val="00452F8D"/>
    <w:rsid w:val="0045341D"/>
    <w:rsid w:val="00456DB8"/>
    <w:rsid w:val="00464D5E"/>
    <w:rsid w:val="00472D58"/>
    <w:rsid w:val="0047584F"/>
    <w:rsid w:val="004769C6"/>
    <w:rsid w:val="004866F0"/>
    <w:rsid w:val="004A6991"/>
    <w:rsid w:val="004B0CCC"/>
    <w:rsid w:val="004B5512"/>
    <w:rsid w:val="004B7E1B"/>
    <w:rsid w:val="004C5FA2"/>
    <w:rsid w:val="004C7997"/>
    <w:rsid w:val="004C7DE6"/>
    <w:rsid w:val="004D12B8"/>
    <w:rsid w:val="004D1759"/>
    <w:rsid w:val="004D5E41"/>
    <w:rsid w:val="004E5E31"/>
    <w:rsid w:val="004E64F7"/>
    <w:rsid w:val="004F218A"/>
    <w:rsid w:val="004F7C0B"/>
    <w:rsid w:val="004F7E66"/>
    <w:rsid w:val="00503828"/>
    <w:rsid w:val="005070BE"/>
    <w:rsid w:val="00507C5B"/>
    <w:rsid w:val="00510943"/>
    <w:rsid w:val="0051129E"/>
    <w:rsid w:val="005125C6"/>
    <w:rsid w:val="005210A3"/>
    <w:rsid w:val="00526ADB"/>
    <w:rsid w:val="005309DE"/>
    <w:rsid w:val="005325E0"/>
    <w:rsid w:val="00534684"/>
    <w:rsid w:val="0053583B"/>
    <w:rsid w:val="00543319"/>
    <w:rsid w:val="005439BF"/>
    <w:rsid w:val="00555382"/>
    <w:rsid w:val="005701A9"/>
    <w:rsid w:val="0057498E"/>
    <w:rsid w:val="00577734"/>
    <w:rsid w:val="00586F48"/>
    <w:rsid w:val="00591CDD"/>
    <w:rsid w:val="00592417"/>
    <w:rsid w:val="005A43A2"/>
    <w:rsid w:val="005B2A00"/>
    <w:rsid w:val="005B6206"/>
    <w:rsid w:val="005C08A0"/>
    <w:rsid w:val="005C1264"/>
    <w:rsid w:val="005C172F"/>
    <w:rsid w:val="005C6C94"/>
    <w:rsid w:val="005E5D9A"/>
    <w:rsid w:val="005F129F"/>
    <w:rsid w:val="005F26F1"/>
    <w:rsid w:val="005F3768"/>
    <w:rsid w:val="005F540D"/>
    <w:rsid w:val="005F66AB"/>
    <w:rsid w:val="00602436"/>
    <w:rsid w:val="00606CAF"/>
    <w:rsid w:val="0061677A"/>
    <w:rsid w:val="00624B21"/>
    <w:rsid w:val="00625D01"/>
    <w:rsid w:val="00636E2F"/>
    <w:rsid w:val="006421B5"/>
    <w:rsid w:val="00642293"/>
    <w:rsid w:val="00655BF4"/>
    <w:rsid w:val="00661EE1"/>
    <w:rsid w:val="006628C0"/>
    <w:rsid w:val="00670D0A"/>
    <w:rsid w:val="00671412"/>
    <w:rsid w:val="006743B6"/>
    <w:rsid w:val="00681C37"/>
    <w:rsid w:val="006909F1"/>
    <w:rsid w:val="006910B0"/>
    <w:rsid w:val="006918A2"/>
    <w:rsid w:val="006A4D77"/>
    <w:rsid w:val="006A5F08"/>
    <w:rsid w:val="006B44E9"/>
    <w:rsid w:val="006C2D5E"/>
    <w:rsid w:val="006C4D45"/>
    <w:rsid w:val="006C63B3"/>
    <w:rsid w:val="006D689B"/>
    <w:rsid w:val="006D6CA3"/>
    <w:rsid w:val="006E2C8E"/>
    <w:rsid w:val="0070496D"/>
    <w:rsid w:val="00706CDA"/>
    <w:rsid w:val="00721A38"/>
    <w:rsid w:val="00734E8B"/>
    <w:rsid w:val="00745AE2"/>
    <w:rsid w:val="00746C22"/>
    <w:rsid w:val="00747C7B"/>
    <w:rsid w:val="00750F37"/>
    <w:rsid w:val="0075375B"/>
    <w:rsid w:val="007628B8"/>
    <w:rsid w:val="00764522"/>
    <w:rsid w:val="007648D3"/>
    <w:rsid w:val="00771AB1"/>
    <w:rsid w:val="0077698F"/>
    <w:rsid w:val="007803CB"/>
    <w:rsid w:val="00781C9D"/>
    <w:rsid w:val="00787FFC"/>
    <w:rsid w:val="007911F2"/>
    <w:rsid w:val="00797D4F"/>
    <w:rsid w:val="007A1196"/>
    <w:rsid w:val="007A6B07"/>
    <w:rsid w:val="007A7A9E"/>
    <w:rsid w:val="007B7140"/>
    <w:rsid w:val="007C389B"/>
    <w:rsid w:val="007D6E0D"/>
    <w:rsid w:val="007D7458"/>
    <w:rsid w:val="007D74DF"/>
    <w:rsid w:val="007E74E1"/>
    <w:rsid w:val="007E7884"/>
    <w:rsid w:val="007F04B1"/>
    <w:rsid w:val="007F2BBC"/>
    <w:rsid w:val="007F79B5"/>
    <w:rsid w:val="00801B0C"/>
    <w:rsid w:val="00811C2E"/>
    <w:rsid w:val="008133AD"/>
    <w:rsid w:val="0082022B"/>
    <w:rsid w:val="00824139"/>
    <w:rsid w:val="008241FC"/>
    <w:rsid w:val="00824ABC"/>
    <w:rsid w:val="00830173"/>
    <w:rsid w:val="00835D1A"/>
    <w:rsid w:val="00836FE0"/>
    <w:rsid w:val="00842D11"/>
    <w:rsid w:val="008476D0"/>
    <w:rsid w:val="00847A05"/>
    <w:rsid w:val="008547EC"/>
    <w:rsid w:val="00861759"/>
    <w:rsid w:val="00887322"/>
    <w:rsid w:val="00893DBE"/>
    <w:rsid w:val="0089403A"/>
    <w:rsid w:val="00896F96"/>
    <w:rsid w:val="008A07AE"/>
    <w:rsid w:val="008A3E6D"/>
    <w:rsid w:val="008B38C7"/>
    <w:rsid w:val="008B5770"/>
    <w:rsid w:val="008B60F0"/>
    <w:rsid w:val="008C1292"/>
    <w:rsid w:val="008D297A"/>
    <w:rsid w:val="008D3490"/>
    <w:rsid w:val="008E0AE8"/>
    <w:rsid w:val="008E24E3"/>
    <w:rsid w:val="008E387E"/>
    <w:rsid w:val="008E48F4"/>
    <w:rsid w:val="008E544B"/>
    <w:rsid w:val="008E5931"/>
    <w:rsid w:val="008F235E"/>
    <w:rsid w:val="008F46A5"/>
    <w:rsid w:val="008F4D2C"/>
    <w:rsid w:val="008F6F3A"/>
    <w:rsid w:val="0090044E"/>
    <w:rsid w:val="009073DB"/>
    <w:rsid w:val="00913B2B"/>
    <w:rsid w:val="00931292"/>
    <w:rsid w:val="00937B82"/>
    <w:rsid w:val="00940A6D"/>
    <w:rsid w:val="00944AD1"/>
    <w:rsid w:val="00947E12"/>
    <w:rsid w:val="009634B0"/>
    <w:rsid w:val="00964569"/>
    <w:rsid w:val="0096723B"/>
    <w:rsid w:val="009673F7"/>
    <w:rsid w:val="00976205"/>
    <w:rsid w:val="009904D4"/>
    <w:rsid w:val="00992E6B"/>
    <w:rsid w:val="009944A6"/>
    <w:rsid w:val="00997E12"/>
    <w:rsid w:val="009B43A0"/>
    <w:rsid w:val="009B4E6B"/>
    <w:rsid w:val="009C081A"/>
    <w:rsid w:val="009C3568"/>
    <w:rsid w:val="009C68F9"/>
    <w:rsid w:val="009D011C"/>
    <w:rsid w:val="009E14B7"/>
    <w:rsid w:val="009E159A"/>
    <w:rsid w:val="009E4371"/>
    <w:rsid w:val="009F520B"/>
    <w:rsid w:val="00A00049"/>
    <w:rsid w:val="00A10637"/>
    <w:rsid w:val="00A12E05"/>
    <w:rsid w:val="00A14AB5"/>
    <w:rsid w:val="00A14BD8"/>
    <w:rsid w:val="00A1681A"/>
    <w:rsid w:val="00A16BDC"/>
    <w:rsid w:val="00A20508"/>
    <w:rsid w:val="00A21EC6"/>
    <w:rsid w:val="00A225E4"/>
    <w:rsid w:val="00A27043"/>
    <w:rsid w:val="00A372E4"/>
    <w:rsid w:val="00A40C6A"/>
    <w:rsid w:val="00A4309A"/>
    <w:rsid w:val="00A52C7D"/>
    <w:rsid w:val="00A55B99"/>
    <w:rsid w:val="00A6035D"/>
    <w:rsid w:val="00A60A1B"/>
    <w:rsid w:val="00A646F4"/>
    <w:rsid w:val="00A65C93"/>
    <w:rsid w:val="00A66491"/>
    <w:rsid w:val="00A70720"/>
    <w:rsid w:val="00A72DEC"/>
    <w:rsid w:val="00A745F0"/>
    <w:rsid w:val="00A74CA3"/>
    <w:rsid w:val="00A74ED8"/>
    <w:rsid w:val="00A74F0C"/>
    <w:rsid w:val="00A76B0A"/>
    <w:rsid w:val="00A844A1"/>
    <w:rsid w:val="00A87FAB"/>
    <w:rsid w:val="00A97426"/>
    <w:rsid w:val="00AA10B1"/>
    <w:rsid w:val="00AA216D"/>
    <w:rsid w:val="00AA4E63"/>
    <w:rsid w:val="00AA7AC3"/>
    <w:rsid w:val="00AB3F62"/>
    <w:rsid w:val="00AB5913"/>
    <w:rsid w:val="00AB6F9F"/>
    <w:rsid w:val="00AC2EE7"/>
    <w:rsid w:val="00AD1769"/>
    <w:rsid w:val="00AD2418"/>
    <w:rsid w:val="00AD765F"/>
    <w:rsid w:val="00AE0B01"/>
    <w:rsid w:val="00AE0D8C"/>
    <w:rsid w:val="00AE3026"/>
    <w:rsid w:val="00AE4087"/>
    <w:rsid w:val="00AE5312"/>
    <w:rsid w:val="00AF376A"/>
    <w:rsid w:val="00AF59D3"/>
    <w:rsid w:val="00AF6D91"/>
    <w:rsid w:val="00B05AD1"/>
    <w:rsid w:val="00B0741A"/>
    <w:rsid w:val="00B1068D"/>
    <w:rsid w:val="00B119B0"/>
    <w:rsid w:val="00B1338F"/>
    <w:rsid w:val="00B24522"/>
    <w:rsid w:val="00B257DE"/>
    <w:rsid w:val="00B264E7"/>
    <w:rsid w:val="00B32A64"/>
    <w:rsid w:val="00B37C80"/>
    <w:rsid w:val="00B40AD9"/>
    <w:rsid w:val="00B44797"/>
    <w:rsid w:val="00B57930"/>
    <w:rsid w:val="00B61CA9"/>
    <w:rsid w:val="00B61F62"/>
    <w:rsid w:val="00B62B41"/>
    <w:rsid w:val="00B70C9E"/>
    <w:rsid w:val="00B82C3C"/>
    <w:rsid w:val="00B85CCB"/>
    <w:rsid w:val="00B9094E"/>
    <w:rsid w:val="00B9217C"/>
    <w:rsid w:val="00B92570"/>
    <w:rsid w:val="00B95398"/>
    <w:rsid w:val="00B96A3D"/>
    <w:rsid w:val="00BA398B"/>
    <w:rsid w:val="00BA55F0"/>
    <w:rsid w:val="00BA731A"/>
    <w:rsid w:val="00BC15FE"/>
    <w:rsid w:val="00BC5178"/>
    <w:rsid w:val="00BD0ED1"/>
    <w:rsid w:val="00BD2211"/>
    <w:rsid w:val="00BD4685"/>
    <w:rsid w:val="00BE0B85"/>
    <w:rsid w:val="00BE43D4"/>
    <w:rsid w:val="00BF40E7"/>
    <w:rsid w:val="00BF4F12"/>
    <w:rsid w:val="00BF7A47"/>
    <w:rsid w:val="00C06498"/>
    <w:rsid w:val="00C20869"/>
    <w:rsid w:val="00C255E1"/>
    <w:rsid w:val="00C312A9"/>
    <w:rsid w:val="00C332C0"/>
    <w:rsid w:val="00C33B96"/>
    <w:rsid w:val="00C4266D"/>
    <w:rsid w:val="00C43D95"/>
    <w:rsid w:val="00C50D34"/>
    <w:rsid w:val="00C633BB"/>
    <w:rsid w:val="00C70BB0"/>
    <w:rsid w:val="00C72394"/>
    <w:rsid w:val="00C74FA7"/>
    <w:rsid w:val="00C82997"/>
    <w:rsid w:val="00C946E7"/>
    <w:rsid w:val="00CA0CBF"/>
    <w:rsid w:val="00CB003B"/>
    <w:rsid w:val="00CB1606"/>
    <w:rsid w:val="00CB543B"/>
    <w:rsid w:val="00CB6641"/>
    <w:rsid w:val="00CC2772"/>
    <w:rsid w:val="00CC2AF2"/>
    <w:rsid w:val="00CC48E5"/>
    <w:rsid w:val="00CC5373"/>
    <w:rsid w:val="00CC748C"/>
    <w:rsid w:val="00CD05C6"/>
    <w:rsid w:val="00CD246C"/>
    <w:rsid w:val="00CD6BC8"/>
    <w:rsid w:val="00CE2F43"/>
    <w:rsid w:val="00CE7294"/>
    <w:rsid w:val="00CF0D60"/>
    <w:rsid w:val="00CF151C"/>
    <w:rsid w:val="00CF5EF3"/>
    <w:rsid w:val="00D07545"/>
    <w:rsid w:val="00D07F77"/>
    <w:rsid w:val="00D108AB"/>
    <w:rsid w:val="00D10BC8"/>
    <w:rsid w:val="00D1397E"/>
    <w:rsid w:val="00D17482"/>
    <w:rsid w:val="00D20AE0"/>
    <w:rsid w:val="00D20FB5"/>
    <w:rsid w:val="00D21D92"/>
    <w:rsid w:val="00D2314A"/>
    <w:rsid w:val="00D2700E"/>
    <w:rsid w:val="00D34F69"/>
    <w:rsid w:val="00D41393"/>
    <w:rsid w:val="00D42BCC"/>
    <w:rsid w:val="00D4429B"/>
    <w:rsid w:val="00D46C53"/>
    <w:rsid w:val="00D52877"/>
    <w:rsid w:val="00D52FD7"/>
    <w:rsid w:val="00D622A2"/>
    <w:rsid w:val="00D64F13"/>
    <w:rsid w:val="00D7219C"/>
    <w:rsid w:val="00D77164"/>
    <w:rsid w:val="00D81909"/>
    <w:rsid w:val="00D94419"/>
    <w:rsid w:val="00D97303"/>
    <w:rsid w:val="00DA0F6A"/>
    <w:rsid w:val="00DA2E65"/>
    <w:rsid w:val="00DA3E13"/>
    <w:rsid w:val="00DA643F"/>
    <w:rsid w:val="00DB4027"/>
    <w:rsid w:val="00DB6904"/>
    <w:rsid w:val="00DC0D6E"/>
    <w:rsid w:val="00DC3A28"/>
    <w:rsid w:val="00DC5A52"/>
    <w:rsid w:val="00DC5C4E"/>
    <w:rsid w:val="00DD1FFB"/>
    <w:rsid w:val="00DD3802"/>
    <w:rsid w:val="00DD3EFC"/>
    <w:rsid w:val="00DD73BD"/>
    <w:rsid w:val="00DE1FB9"/>
    <w:rsid w:val="00DE6549"/>
    <w:rsid w:val="00DF5E96"/>
    <w:rsid w:val="00E02E18"/>
    <w:rsid w:val="00E06D2E"/>
    <w:rsid w:val="00E15472"/>
    <w:rsid w:val="00E15DC8"/>
    <w:rsid w:val="00E16897"/>
    <w:rsid w:val="00E20CD7"/>
    <w:rsid w:val="00E303C2"/>
    <w:rsid w:val="00E30866"/>
    <w:rsid w:val="00E30CE7"/>
    <w:rsid w:val="00E322E2"/>
    <w:rsid w:val="00E44245"/>
    <w:rsid w:val="00E53280"/>
    <w:rsid w:val="00E62799"/>
    <w:rsid w:val="00E6434F"/>
    <w:rsid w:val="00E71F0A"/>
    <w:rsid w:val="00E7258E"/>
    <w:rsid w:val="00E808DE"/>
    <w:rsid w:val="00E82DA9"/>
    <w:rsid w:val="00E83568"/>
    <w:rsid w:val="00E87F1A"/>
    <w:rsid w:val="00E9504A"/>
    <w:rsid w:val="00EA12BA"/>
    <w:rsid w:val="00EA40E2"/>
    <w:rsid w:val="00EA60B7"/>
    <w:rsid w:val="00EB151C"/>
    <w:rsid w:val="00EC0D77"/>
    <w:rsid w:val="00EC4E82"/>
    <w:rsid w:val="00EC664C"/>
    <w:rsid w:val="00ED21A2"/>
    <w:rsid w:val="00ED785A"/>
    <w:rsid w:val="00EE3B16"/>
    <w:rsid w:val="00F07764"/>
    <w:rsid w:val="00F13121"/>
    <w:rsid w:val="00F15FB4"/>
    <w:rsid w:val="00F21368"/>
    <w:rsid w:val="00F21A4C"/>
    <w:rsid w:val="00F224BD"/>
    <w:rsid w:val="00F24267"/>
    <w:rsid w:val="00F24D72"/>
    <w:rsid w:val="00F33C2B"/>
    <w:rsid w:val="00F36AEE"/>
    <w:rsid w:val="00F41FB1"/>
    <w:rsid w:val="00F45A2F"/>
    <w:rsid w:val="00F53A02"/>
    <w:rsid w:val="00F54EB6"/>
    <w:rsid w:val="00F57AF8"/>
    <w:rsid w:val="00F63E31"/>
    <w:rsid w:val="00F7224C"/>
    <w:rsid w:val="00F75AEA"/>
    <w:rsid w:val="00F77FFB"/>
    <w:rsid w:val="00F80BED"/>
    <w:rsid w:val="00F81C08"/>
    <w:rsid w:val="00F877B7"/>
    <w:rsid w:val="00F90676"/>
    <w:rsid w:val="00F91C03"/>
    <w:rsid w:val="00F9572C"/>
    <w:rsid w:val="00F96FF4"/>
    <w:rsid w:val="00FA1AA2"/>
    <w:rsid w:val="00FA40FE"/>
    <w:rsid w:val="00FA678A"/>
    <w:rsid w:val="00FC607C"/>
    <w:rsid w:val="00FC6E64"/>
    <w:rsid w:val="00FC709B"/>
    <w:rsid w:val="00FD3430"/>
    <w:rsid w:val="00FE02A8"/>
    <w:rsid w:val="00FE24BF"/>
    <w:rsid w:val="00FE3DB8"/>
    <w:rsid w:val="00FE5036"/>
    <w:rsid w:val="00FE5EE4"/>
    <w:rsid w:val="00FE624B"/>
    <w:rsid w:val="00FF2B0B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7A0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B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7140"/>
  </w:style>
  <w:style w:type="paragraph" w:styleId="Porat">
    <w:name w:val="footer"/>
    <w:basedOn w:val="prastasis"/>
    <w:link w:val="PoratDiagrama"/>
    <w:uiPriority w:val="99"/>
    <w:unhideWhenUsed/>
    <w:rsid w:val="007B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7140"/>
  </w:style>
  <w:style w:type="character" w:styleId="Komentaronuoroda">
    <w:name w:val="annotation reference"/>
    <w:basedOn w:val="Numatytasispastraiposriftas"/>
    <w:uiPriority w:val="99"/>
    <w:semiHidden/>
    <w:unhideWhenUsed/>
    <w:rsid w:val="00E725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25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25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25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258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258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Numatytasispastraiposriftas"/>
    <w:rsid w:val="00F2136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3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136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136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21368"/>
    <w:rPr>
      <w:color w:val="0563C1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0ED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0ED1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D0ED1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8356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7A0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B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7140"/>
  </w:style>
  <w:style w:type="paragraph" w:styleId="Porat">
    <w:name w:val="footer"/>
    <w:basedOn w:val="prastasis"/>
    <w:link w:val="PoratDiagrama"/>
    <w:uiPriority w:val="99"/>
    <w:unhideWhenUsed/>
    <w:rsid w:val="007B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7140"/>
  </w:style>
  <w:style w:type="character" w:styleId="Komentaronuoroda">
    <w:name w:val="annotation reference"/>
    <w:basedOn w:val="Numatytasispastraiposriftas"/>
    <w:uiPriority w:val="99"/>
    <w:semiHidden/>
    <w:unhideWhenUsed/>
    <w:rsid w:val="00E725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25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25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25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258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258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Numatytasispastraiposriftas"/>
    <w:rsid w:val="00F2136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3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136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136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21368"/>
    <w:rPr>
      <w:color w:val="0563C1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0ED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0ED1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D0ED1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83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pt.lrv.lt/lt/administracine-informacija/veiklos-ataskaitos" TargetMode="External"/><Relationship Id="rId2" Type="http://schemas.openxmlformats.org/officeDocument/2006/relationships/hyperlink" Target="https://www.ncbi.nlm.nih.gov/pmc/articles/PMC5370365/" TargetMode="External"/><Relationship Id="rId1" Type="http://schemas.openxmlformats.org/officeDocument/2006/relationships/hyperlink" Target="https://www.ncbi.nlm.nih.gov/pmc/articles/PMC5445143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A93E-ABBC-4F89-9F4E-18EDC0D8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4954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Pagalba</dc:creator>
  <cp:lastModifiedBy>Lina Kliukienė</cp:lastModifiedBy>
  <cp:revision>20</cp:revision>
  <cp:lastPrinted>2018-12-05T15:01:00Z</cp:lastPrinted>
  <dcterms:created xsi:type="dcterms:W3CDTF">2018-12-12T12:43:00Z</dcterms:created>
  <dcterms:modified xsi:type="dcterms:W3CDTF">2018-12-17T13:53:00Z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1652108437</vt:i4>
  </property>
  <property fmtid="{D5CDD505-2E9C-101B-9397-08002B2CF9AE}" pid="3" name="_NewReviewCycle">
    <vt:lpwstr/>
  </property>
  <property fmtid="{D5CDD505-2E9C-101B-9397-08002B2CF9AE}" pid="4" name="_EmailSubject">
    <vt:lpwstr>Probleminio lošimo prevencija</vt:lpwstr>
  </property>
  <property fmtid="{D5CDD505-2E9C-101B-9397-08002B2CF9AE}" pid="5" name="_AuthorEmail">
    <vt:lpwstr>Violeta.Murauskaite@socmin.lt</vt:lpwstr>
  </property>
  <property fmtid="{D5CDD505-2E9C-101B-9397-08002B2CF9AE}" pid="6" name="_AuthorEmailDisplayName">
    <vt:lpwstr>Violeta Murauskaitė</vt:lpwstr>
  </property>
  <property fmtid="{D5CDD505-2E9C-101B-9397-08002B2CF9AE}" pid="7" name="_ReviewingToolsShownOnce">
    <vt:lpwstr/>
  </property>
</Properties>
</file>