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652EC" w14:textId="3ED62BD6" w:rsidR="001F2F06" w:rsidRPr="00AC55EC" w:rsidRDefault="001F2F06" w:rsidP="001F2F06">
      <w:pPr>
        <w:jc w:val="center"/>
        <w:rPr>
          <w:b/>
          <w:caps/>
          <w:szCs w:val="24"/>
          <w:lang w:val="en-US"/>
        </w:rPr>
      </w:pPr>
      <w:r w:rsidRPr="00AC55EC">
        <w:rPr>
          <w:b/>
          <w:caps/>
          <w:szCs w:val="24"/>
        </w:rPr>
        <w:t xml:space="preserve">Lietuvos Respublikos Vyriausybės nutarimo „Dėl Lietuvos Respublikos Vyriausybės 2011 m. spalio </w:t>
      </w:r>
      <w:r w:rsidR="00E66B1B">
        <w:rPr>
          <w:b/>
          <w:caps/>
          <w:szCs w:val="24"/>
        </w:rPr>
        <w:br/>
      </w:r>
      <w:r w:rsidRPr="00AC55EC">
        <w:rPr>
          <w:b/>
          <w:caps/>
          <w:szCs w:val="24"/>
        </w:rPr>
        <w:t>19 d. nutarimo Nr. 1217 „Dėl įgaliojimų suteikimo įgyvendinant Lietuvos Respublikos atsinaujinančių išteklių energetikos įstatymą“ projekt</w:t>
      </w:r>
      <w:r>
        <w:rPr>
          <w:b/>
          <w:caps/>
          <w:szCs w:val="24"/>
        </w:rPr>
        <w:t xml:space="preserve">o (TAIS – </w:t>
      </w:r>
      <w:r>
        <w:rPr>
          <w:b/>
          <w:caps/>
          <w:szCs w:val="24"/>
          <w:lang w:val="en-US"/>
        </w:rPr>
        <w:t>20-6504)</w:t>
      </w:r>
    </w:p>
    <w:p w14:paraId="7137E699" w14:textId="77777777" w:rsidR="001F2F06" w:rsidRPr="00942994" w:rsidRDefault="001F2F06" w:rsidP="001F2F06">
      <w:pPr>
        <w:jc w:val="center"/>
        <w:rPr>
          <w:b/>
          <w:szCs w:val="24"/>
        </w:rPr>
      </w:pPr>
      <w:r w:rsidRPr="00942994">
        <w:rPr>
          <w:b/>
          <w:szCs w:val="24"/>
        </w:rPr>
        <w:t>DERINIMO PAŽYMA</w:t>
      </w:r>
      <w:bookmarkStart w:id="0" w:name="_GoBack"/>
      <w:bookmarkEnd w:id="0"/>
    </w:p>
    <w:p w14:paraId="089664A3" w14:textId="77777777" w:rsidR="001F2F06" w:rsidRPr="00942994" w:rsidRDefault="001F2F06" w:rsidP="001F2F06">
      <w:pPr>
        <w:jc w:val="both"/>
        <w:rPr>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119"/>
        <w:gridCol w:w="7243"/>
        <w:gridCol w:w="5344"/>
      </w:tblGrid>
      <w:tr w:rsidR="001F2F06" w:rsidRPr="00BC5F50" w14:paraId="290516BC" w14:textId="77777777" w:rsidTr="00BC5F50">
        <w:tc>
          <w:tcPr>
            <w:tcW w:w="570" w:type="dxa"/>
            <w:shd w:val="clear" w:color="auto" w:fill="auto"/>
          </w:tcPr>
          <w:p w14:paraId="0C9F67CE" w14:textId="77777777" w:rsidR="001F2F06" w:rsidRPr="00BC5F50" w:rsidRDefault="001F2F06" w:rsidP="008D1673">
            <w:pPr>
              <w:jc w:val="center"/>
              <w:rPr>
                <w:b/>
                <w:sz w:val="22"/>
              </w:rPr>
            </w:pPr>
            <w:r w:rsidRPr="00BC5F50">
              <w:rPr>
                <w:b/>
                <w:sz w:val="22"/>
              </w:rPr>
              <w:t>Eil. Nr.</w:t>
            </w:r>
          </w:p>
        </w:tc>
        <w:tc>
          <w:tcPr>
            <w:tcW w:w="2119" w:type="dxa"/>
            <w:shd w:val="clear" w:color="auto" w:fill="auto"/>
          </w:tcPr>
          <w:p w14:paraId="5A5E1237" w14:textId="77777777" w:rsidR="001F2F06" w:rsidRPr="00BC5F50" w:rsidRDefault="001F2F06" w:rsidP="008D1673">
            <w:pPr>
              <w:jc w:val="center"/>
              <w:rPr>
                <w:sz w:val="22"/>
              </w:rPr>
            </w:pPr>
            <w:r w:rsidRPr="00BC5F50">
              <w:rPr>
                <w:b/>
                <w:bCs/>
                <w:sz w:val="22"/>
              </w:rPr>
              <w:t>Institucijos pavadinimas, rašto data ir numeris</w:t>
            </w:r>
          </w:p>
        </w:tc>
        <w:tc>
          <w:tcPr>
            <w:tcW w:w="7243" w:type="dxa"/>
            <w:shd w:val="clear" w:color="auto" w:fill="auto"/>
          </w:tcPr>
          <w:p w14:paraId="65EDB3A7" w14:textId="77777777" w:rsidR="001F2F06" w:rsidRPr="00BC5F50" w:rsidRDefault="001F2F06" w:rsidP="008D1673">
            <w:pPr>
              <w:jc w:val="center"/>
              <w:rPr>
                <w:sz w:val="22"/>
              </w:rPr>
            </w:pPr>
            <w:r w:rsidRPr="00BC5F50">
              <w:rPr>
                <w:b/>
                <w:sz w:val="22"/>
              </w:rPr>
              <w:t>Pastabos ir pasiūlymai</w:t>
            </w:r>
          </w:p>
        </w:tc>
        <w:tc>
          <w:tcPr>
            <w:tcW w:w="5344" w:type="dxa"/>
            <w:shd w:val="clear" w:color="auto" w:fill="auto"/>
          </w:tcPr>
          <w:p w14:paraId="6B11E82E" w14:textId="77777777" w:rsidR="001F2F06" w:rsidRPr="00BC5F50" w:rsidRDefault="001F2F06" w:rsidP="008D1673">
            <w:pPr>
              <w:jc w:val="center"/>
              <w:rPr>
                <w:sz w:val="22"/>
              </w:rPr>
            </w:pPr>
            <w:r w:rsidRPr="00BC5F50">
              <w:rPr>
                <w:b/>
                <w:sz w:val="22"/>
              </w:rPr>
              <w:t>Žyma apie nepriimtas arba iš dalies priimtas (nurodyti motyvus) pastabas ir pasiūlymus</w:t>
            </w:r>
          </w:p>
        </w:tc>
      </w:tr>
      <w:tr w:rsidR="001F2F06" w:rsidRPr="00BC5F50" w14:paraId="483CDC02" w14:textId="77777777" w:rsidTr="00BC5F50">
        <w:tc>
          <w:tcPr>
            <w:tcW w:w="570" w:type="dxa"/>
            <w:shd w:val="clear" w:color="auto" w:fill="auto"/>
          </w:tcPr>
          <w:p w14:paraId="4922DF28" w14:textId="77777777" w:rsidR="001F2F06" w:rsidRPr="00BC5F50" w:rsidRDefault="001F2F06" w:rsidP="008D1673">
            <w:pPr>
              <w:pStyle w:val="ListParagraph"/>
              <w:tabs>
                <w:tab w:val="left" w:pos="240"/>
              </w:tabs>
              <w:ind w:left="0"/>
              <w:jc w:val="both"/>
              <w:rPr>
                <w:sz w:val="22"/>
                <w:lang w:val="en-GB"/>
              </w:rPr>
            </w:pPr>
          </w:p>
        </w:tc>
        <w:tc>
          <w:tcPr>
            <w:tcW w:w="2119" w:type="dxa"/>
            <w:shd w:val="clear" w:color="auto" w:fill="auto"/>
          </w:tcPr>
          <w:p w14:paraId="59D7CCD5" w14:textId="4F7FA905" w:rsidR="001F2F06" w:rsidRPr="008C12AD" w:rsidRDefault="001F2F06" w:rsidP="008D1673">
            <w:pPr>
              <w:rPr>
                <w:sz w:val="22"/>
              </w:rPr>
            </w:pPr>
            <w:r w:rsidRPr="00BC5F50">
              <w:rPr>
                <w:sz w:val="22"/>
              </w:rPr>
              <w:t xml:space="preserve">Lietuvos Respublikos ekonomikos ir </w:t>
            </w:r>
            <w:r w:rsidRPr="008C12AD">
              <w:rPr>
                <w:sz w:val="22"/>
              </w:rPr>
              <w:t>inovacijų ministerij</w:t>
            </w:r>
            <w:r w:rsidR="0058123A">
              <w:rPr>
                <w:sz w:val="22"/>
              </w:rPr>
              <w:t>os</w:t>
            </w:r>
          </w:p>
          <w:p w14:paraId="1E79F327" w14:textId="6F4E2804" w:rsidR="008C12AD" w:rsidRPr="008C12AD" w:rsidRDefault="001F2F06" w:rsidP="008C12AD">
            <w:pPr>
              <w:jc w:val="both"/>
              <w:rPr>
                <w:sz w:val="22"/>
              </w:rPr>
            </w:pPr>
            <w:r w:rsidRPr="008C12AD">
              <w:rPr>
                <w:sz w:val="22"/>
                <w:lang w:val="en-US"/>
              </w:rPr>
              <w:t xml:space="preserve">2020 m. </w:t>
            </w:r>
            <w:proofErr w:type="spellStart"/>
            <w:r w:rsidRPr="008C12AD">
              <w:rPr>
                <w:sz w:val="22"/>
                <w:lang w:val="en-US"/>
              </w:rPr>
              <w:t>gegužės</w:t>
            </w:r>
            <w:proofErr w:type="spellEnd"/>
            <w:r w:rsidRPr="008C12AD">
              <w:rPr>
                <w:sz w:val="22"/>
                <w:lang w:val="en-US"/>
              </w:rPr>
              <w:t xml:space="preserve"> </w:t>
            </w:r>
            <w:r w:rsidR="0058123A">
              <w:rPr>
                <w:sz w:val="22"/>
                <w:lang w:val="en-US"/>
              </w:rPr>
              <w:br/>
            </w:r>
            <w:r w:rsidRPr="008C12AD">
              <w:rPr>
                <w:sz w:val="22"/>
                <w:lang w:val="en-US"/>
              </w:rPr>
              <w:t>1</w:t>
            </w:r>
            <w:r w:rsidR="008C12AD" w:rsidRPr="008C12AD">
              <w:rPr>
                <w:sz w:val="22"/>
                <w:lang w:val="en-US"/>
              </w:rPr>
              <w:t>9</w:t>
            </w:r>
            <w:r w:rsidRPr="008C12AD">
              <w:rPr>
                <w:sz w:val="22"/>
                <w:lang w:val="en-US"/>
              </w:rPr>
              <w:t xml:space="preserve"> d. </w:t>
            </w:r>
            <w:proofErr w:type="spellStart"/>
            <w:r w:rsidRPr="008C12AD">
              <w:rPr>
                <w:sz w:val="22"/>
                <w:lang w:val="en-US"/>
              </w:rPr>
              <w:t>raštas</w:t>
            </w:r>
            <w:proofErr w:type="spellEnd"/>
            <w:r w:rsidRPr="008C12AD">
              <w:rPr>
                <w:sz w:val="22"/>
                <w:lang w:val="en-US"/>
              </w:rPr>
              <w:t xml:space="preserve"> Nr. </w:t>
            </w:r>
            <w:r w:rsidRPr="008C12AD">
              <w:rPr>
                <w:sz w:val="22"/>
              </w:rPr>
              <w:t>(4.6-82E)</w:t>
            </w:r>
            <w:r w:rsidR="008C12AD" w:rsidRPr="008C12AD">
              <w:rPr>
                <w:sz w:val="22"/>
              </w:rPr>
              <w:t xml:space="preserve"> </w:t>
            </w:r>
            <w:r w:rsidR="008C12AD" w:rsidRPr="008C12AD">
              <w:rPr>
                <w:rStyle w:val="dlxnowrap"/>
                <w:sz w:val="22"/>
              </w:rPr>
              <w:t>3-1941</w:t>
            </w:r>
          </w:p>
          <w:p w14:paraId="46D9F646" w14:textId="2C9ADD78" w:rsidR="001F2F06" w:rsidRPr="00BC5F50" w:rsidRDefault="001F2F06" w:rsidP="008D1673">
            <w:pPr>
              <w:jc w:val="both"/>
              <w:rPr>
                <w:b/>
                <w:sz w:val="22"/>
              </w:rPr>
            </w:pPr>
          </w:p>
        </w:tc>
        <w:tc>
          <w:tcPr>
            <w:tcW w:w="7243" w:type="dxa"/>
            <w:shd w:val="clear" w:color="auto" w:fill="auto"/>
          </w:tcPr>
          <w:p w14:paraId="32C9AEAD" w14:textId="77777777" w:rsidR="001F2F06" w:rsidRPr="00BC5F50" w:rsidRDefault="001F2F06" w:rsidP="008D1673">
            <w:pPr>
              <w:spacing w:line="264" w:lineRule="auto"/>
              <w:ind w:firstLine="720"/>
              <w:rPr>
                <w:sz w:val="22"/>
              </w:rPr>
            </w:pPr>
            <w:r w:rsidRPr="00BC5F50">
              <w:rPr>
                <w:sz w:val="22"/>
              </w:rPr>
              <w:t xml:space="preserve">Lietuvos Respublikos ekonomikos ir inovacijų ministerija (toliau – Ekonomikos ir inovacijų ministerija) pagal kompetenciją išnagrinėjo Lietuvos Respublikos energetikos ministerijos 2020 m. gegužės 4 d. raštu Nr. (3-648) pateiktus derinti Lietuvos Respublikos Vyriausybės nutarimo „Dėl Lietuvos Respublikos Vyriausybės 2011 m. spalio 19 d. nutarimo Nr. 1217 „Dėl įgaliojimų suteikimo įgyvendinant Lietuvos Respublikos atsinaujinančių išteklių energetikos įstatymą“ pakeitimo“ projektą (toliau – Nutarimo projektas), Lietuvos Respublikos energetikos ministro </w:t>
            </w:r>
            <w:r w:rsidRPr="00BC5F50">
              <w:rPr>
                <w:color w:val="000000"/>
                <w:sz w:val="22"/>
                <w:lang w:eastAsia="lt-LT"/>
              </w:rPr>
              <w:t xml:space="preserve">2016 m. lapkričio 14 d. įsakymo Nr. 1-298 </w:t>
            </w:r>
            <w:r w:rsidRPr="00BC5F50">
              <w:rPr>
                <w:sz w:val="22"/>
              </w:rPr>
              <w:t xml:space="preserve">„Dėl </w:t>
            </w:r>
            <w:r w:rsidRPr="00BC5F50">
              <w:rPr>
                <w:color w:val="000000"/>
                <w:sz w:val="22"/>
                <w:lang w:eastAsia="lt-LT"/>
              </w:rPr>
              <w:t>e</w:t>
            </w:r>
            <w:r w:rsidRPr="00BC5F50">
              <w:rPr>
                <w:sz w:val="22"/>
              </w:rPr>
              <w:t xml:space="preserve">lektros energijos, pagamintos iš atsinaujinančių energijos išteklių, kilmės garantijų išdavimo, perdavimo ir jų galiojimo panaikinimo ir kitose valstybėse narėse išduotų kilmės garantijų pripažinimo Lietuvos Respublikoje taisyklių patvirtinimo“ pakeitimo projektą (toliau – Taisyklių projektas) ir Lietuvos Respublikos energetikos ministro </w:t>
            </w:r>
            <w:r w:rsidRPr="00BC5F50">
              <w:rPr>
                <w:sz w:val="22"/>
                <w:lang w:val="en-US"/>
              </w:rPr>
              <w:t xml:space="preserve">2019 m. </w:t>
            </w:r>
            <w:r w:rsidRPr="00BC5F50">
              <w:rPr>
                <w:sz w:val="22"/>
              </w:rPr>
              <w:t>gegužės</w:t>
            </w:r>
            <w:r w:rsidRPr="00BC5F50">
              <w:rPr>
                <w:sz w:val="22"/>
                <w:lang w:val="en-US"/>
              </w:rPr>
              <w:t xml:space="preserve"> 21 d. </w:t>
            </w:r>
            <w:r w:rsidRPr="00BC5F50">
              <w:rPr>
                <w:sz w:val="22"/>
              </w:rPr>
              <w:t>įsakymo Nr. 1-158 „Dėl dujų, pagamintų iš atsinaujinančių energijos išteklių, kilmės garantijų išdavimo, perdavimo ir jų galiojimo panaikinimo bei kilmės garantijų naudojimo priežiūros ir kontrolės ir kitose valstybėse narėse išduotų kilmės garantijų pripažinimo Lietuvos Respublikoje taisyklių patvirtinimo“ pakeitimo projektą (toliau – Dujų taisyklių projektas) ir teikia šiuos pasiūlymus ir pastabas:</w:t>
            </w:r>
          </w:p>
          <w:p w14:paraId="7E3EF51E" w14:textId="77777777" w:rsidR="001F2F06" w:rsidRPr="00BC5F50" w:rsidRDefault="001F2F06" w:rsidP="001F2F06">
            <w:pPr>
              <w:pStyle w:val="ListParagraph"/>
              <w:numPr>
                <w:ilvl w:val="0"/>
                <w:numId w:val="1"/>
              </w:numPr>
              <w:spacing w:line="264" w:lineRule="auto"/>
              <w:ind w:left="0" w:firstLine="720"/>
              <w:jc w:val="both"/>
              <w:rPr>
                <w:color w:val="000000"/>
                <w:sz w:val="22"/>
                <w:lang w:eastAsia="lt-LT"/>
              </w:rPr>
            </w:pPr>
            <w:r w:rsidRPr="00BC5F50">
              <w:rPr>
                <w:sz w:val="22"/>
              </w:rPr>
              <w:t xml:space="preserve">Siekdami teisinio aiškumo, siūlome tikslinti Nutarimo projektu keičiamą </w:t>
            </w:r>
            <w:r w:rsidRPr="00BC5F50">
              <w:rPr>
                <w:color w:val="000000"/>
                <w:sz w:val="22"/>
                <w:lang w:eastAsia="lt-LT"/>
              </w:rPr>
              <w:t>1.15 papunktį ir jį išdėstyti taip: „1.15. pasiekus Lietuvos Respublikos teritorinėje jūroje ir (ar) Lietuvos Respublikos išskirtinėje ekonominėje zonoje Baltijos jūroje atsinaujinančius energijos išteklius naudojančių elektrinių nustatytas įrengtąsias galias ir (ar) atsiradus papildomų elektros energijos gamybos pajėgumų plėtros poreikiui, įvertinti jų įrengimo tikslingumą ir informuoti apie tai Vyriausybę;“.</w:t>
            </w:r>
          </w:p>
          <w:p w14:paraId="504E6AAC" w14:textId="77777777" w:rsidR="001F2F06" w:rsidRPr="00BC5F50" w:rsidRDefault="001F2F06" w:rsidP="008D167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706"/>
              <w:jc w:val="both"/>
              <w:rPr>
                <w:color w:val="000000"/>
                <w:sz w:val="22"/>
              </w:rPr>
            </w:pPr>
          </w:p>
        </w:tc>
        <w:tc>
          <w:tcPr>
            <w:tcW w:w="5344" w:type="dxa"/>
            <w:shd w:val="clear" w:color="auto" w:fill="auto"/>
          </w:tcPr>
          <w:p w14:paraId="6B5F1C2D" w14:textId="77777777" w:rsidR="001F2F06" w:rsidRPr="00BC5F50" w:rsidRDefault="001F2F06" w:rsidP="008D1673">
            <w:pPr>
              <w:jc w:val="both"/>
              <w:rPr>
                <w:b/>
                <w:bCs/>
                <w:sz w:val="22"/>
              </w:rPr>
            </w:pPr>
            <w:r w:rsidRPr="00BC5F50">
              <w:rPr>
                <w:b/>
                <w:bCs/>
                <w:sz w:val="22"/>
              </w:rPr>
              <w:t>Neatsižvelgta</w:t>
            </w:r>
          </w:p>
          <w:p w14:paraId="04F81C37" w14:textId="77777777" w:rsidR="001F2F06" w:rsidRDefault="001F2F06" w:rsidP="008D1673">
            <w:pPr>
              <w:jc w:val="both"/>
              <w:rPr>
                <w:color w:val="000000"/>
                <w:sz w:val="22"/>
              </w:rPr>
            </w:pPr>
            <w:r w:rsidRPr="00BC5F50">
              <w:rPr>
                <w:color w:val="000000"/>
                <w:sz w:val="22"/>
              </w:rPr>
              <w:t xml:space="preserve">Lietuvos Respublikos atsinaujinančių išteklių energetikos įstatymo </w:t>
            </w:r>
            <w:r w:rsidRPr="00BC5F50">
              <w:rPr>
                <w:color w:val="000000"/>
                <w:sz w:val="22"/>
                <w:lang w:val="en-GB"/>
              </w:rPr>
              <w:t xml:space="preserve">22 </w:t>
            </w:r>
            <w:proofErr w:type="spellStart"/>
            <w:r w:rsidRPr="00BC5F50">
              <w:rPr>
                <w:color w:val="000000"/>
                <w:sz w:val="22"/>
                <w:lang w:val="en-GB"/>
              </w:rPr>
              <w:t>straipsnio</w:t>
            </w:r>
            <w:proofErr w:type="spellEnd"/>
            <w:r w:rsidRPr="00BC5F50">
              <w:rPr>
                <w:color w:val="000000"/>
                <w:sz w:val="22"/>
                <w:lang w:val="en-GB"/>
              </w:rPr>
              <w:t xml:space="preserve"> 10 </w:t>
            </w:r>
            <w:proofErr w:type="spellStart"/>
            <w:r w:rsidRPr="00BC5F50">
              <w:rPr>
                <w:color w:val="000000"/>
                <w:sz w:val="22"/>
                <w:lang w:val="en-GB"/>
              </w:rPr>
              <w:t>dalyje</w:t>
            </w:r>
            <w:proofErr w:type="spellEnd"/>
            <w:r w:rsidRPr="00BC5F50">
              <w:rPr>
                <w:color w:val="000000"/>
                <w:sz w:val="22"/>
                <w:lang w:val="en-GB"/>
              </w:rPr>
              <w:t xml:space="preserve"> </w:t>
            </w:r>
            <w:proofErr w:type="spellStart"/>
            <w:r w:rsidRPr="00BC5F50">
              <w:rPr>
                <w:color w:val="000000"/>
                <w:sz w:val="22"/>
                <w:lang w:val="en-GB"/>
              </w:rPr>
              <w:t>numatyta</w:t>
            </w:r>
            <w:proofErr w:type="spellEnd"/>
            <w:r w:rsidRPr="00BC5F50">
              <w:rPr>
                <w:color w:val="000000"/>
                <w:sz w:val="22"/>
                <w:lang w:val="en-GB"/>
              </w:rPr>
              <w:t xml:space="preserve">, </w:t>
            </w:r>
            <w:proofErr w:type="spellStart"/>
            <w:r w:rsidRPr="00BC5F50">
              <w:rPr>
                <w:color w:val="000000"/>
                <w:sz w:val="22"/>
                <w:lang w:val="en-GB"/>
              </w:rPr>
              <w:t>kad</w:t>
            </w:r>
            <w:proofErr w:type="spellEnd"/>
            <w:r w:rsidRPr="00BC5F50">
              <w:rPr>
                <w:color w:val="000000"/>
                <w:sz w:val="22"/>
                <w:lang w:val="en-GB"/>
              </w:rPr>
              <w:t xml:space="preserve"> </w:t>
            </w:r>
            <w:proofErr w:type="spellStart"/>
            <w:r w:rsidRPr="00BC5F50">
              <w:rPr>
                <w:color w:val="000000"/>
                <w:sz w:val="22"/>
                <w:lang w:val="en-GB"/>
              </w:rPr>
              <w:t>pasiekus</w:t>
            </w:r>
            <w:proofErr w:type="spellEnd"/>
            <w:r w:rsidRPr="00BC5F50">
              <w:rPr>
                <w:color w:val="000000"/>
                <w:sz w:val="22"/>
                <w:lang w:val="en-GB"/>
              </w:rPr>
              <w:t xml:space="preserve"> </w:t>
            </w:r>
            <w:r w:rsidRPr="00BC5F50">
              <w:rPr>
                <w:color w:val="000000"/>
                <w:sz w:val="22"/>
              </w:rPr>
              <w:t>šio įstatymo 5 straipsnio 1 dalies 9 punkte nurodytame Vyriausybės nutarime  nustatytas elektrinių įrengtąsias galias ir (ar) atsiradus papildomų elektros energijos gamybos pajėgumų plėtros poreikiui, Vyriausybės įgaliota institucija įvertina jų įrengimo tikslingumą ir prireikus peržiūri ar atnaujina šio straipsnio 1 dalyje numatytų tyrimų ir kitų veiksmų rezultatus ir pateikia pasiūlymus Vyriausybei dėl šio įstatymo 5 straipsnio 1 dalies 9 punkte nurodyto Vyriausybės nutarimo pakeitimo. Nurodyto įstatymo 5 straipsnio 1 dalies 9 punkte nurodyta, kad Vyriausyb</w:t>
            </w:r>
            <w:r w:rsidR="00C1584F" w:rsidRPr="00BC5F50">
              <w:rPr>
                <w:color w:val="000000"/>
                <w:sz w:val="22"/>
              </w:rPr>
              <w:t>ė</w:t>
            </w:r>
            <w:r w:rsidRPr="00BC5F50">
              <w:rPr>
                <w:color w:val="000000"/>
                <w:sz w:val="22"/>
              </w:rPr>
              <w:t xml:space="preserve"> </w:t>
            </w:r>
            <w:r w:rsidRPr="00BC5F50">
              <w:rPr>
                <w:color w:val="000000"/>
                <w:sz w:val="22"/>
                <w:lang w:val="en-GB"/>
              </w:rPr>
              <w:t>[</w:t>
            </w:r>
            <w:proofErr w:type="spellStart"/>
            <w:r w:rsidRPr="00BC5F50">
              <w:rPr>
                <w:color w:val="000000"/>
                <w:sz w:val="22"/>
                <w:lang w:val="en-GB"/>
              </w:rPr>
              <w:t>nutarimu</w:t>
            </w:r>
            <w:proofErr w:type="spellEnd"/>
            <w:r w:rsidRPr="00BC5F50">
              <w:rPr>
                <w:color w:val="000000"/>
                <w:sz w:val="22"/>
                <w:lang w:val="en-GB"/>
              </w:rPr>
              <w:t>]</w:t>
            </w:r>
            <w:r w:rsidRPr="00BC5F50">
              <w:rPr>
                <w:color w:val="000000"/>
                <w:sz w:val="22"/>
              </w:rPr>
              <w:t xml:space="preserve"> nustato Lietuvos Respublikos teritorinės jūros ir (ar) Lietuvos Respublikos išskirtinės ekonominės zonos Baltijos jūroje dalis, kuriose tikslinga organizuoti konkursą (konkursus) atsinaujinančius energijos išteklius naudojančių elektrinių plėtrai ir eksploatacijai, ir šių elektrinių įrengtąsias galias. Atitinkamai, manytina, ka</w:t>
            </w:r>
            <w:r w:rsidR="0058123A">
              <w:rPr>
                <w:color w:val="000000"/>
                <w:sz w:val="22"/>
              </w:rPr>
              <w:t>d</w:t>
            </w:r>
            <w:r w:rsidRPr="00BC5F50">
              <w:rPr>
                <w:color w:val="000000"/>
                <w:sz w:val="22"/>
              </w:rPr>
              <w:t xml:space="preserve"> esamos formuluotės keisti nereikia.</w:t>
            </w:r>
          </w:p>
          <w:p w14:paraId="05BA7A84" w14:textId="77777777" w:rsidR="00897441" w:rsidRDefault="00897441" w:rsidP="008D1673">
            <w:pPr>
              <w:jc w:val="both"/>
              <w:rPr>
                <w:b/>
                <w:bCs/>
                <w:sz w:val="22"/>
                <w:lang w:val="en-US"/>
              </w:rPr>
            </w:pPr>
          </w:p>
          <w:p w14:paraId="3AC8E66E" w14:textId="174CC7DF" w:rsidR="00897441" w:rsidRPr="00897441" w:rsidRDefault="00897441" w:rsidP="008D1673">
            <w:pPr>
              <w:jc w:val="both"/>
              <w:rPr>
                <w:strike/>
                <w:sz w:val="22"/>
                <w:lang w:val="en-US"/>
              </w:rPr>
            </w:pPr>
          </w:p>
        </w:tc>
      </w:tr>
    </w:tbl>
    <w:p w14:paraId="3A6E3977" w14:textId="63DAF647" w:rsidR="00463A7F" w:rsidRPr="00BC5F50" w:rsidRDefault="001F2F06" w:rsidP="008C12AD">
      <w:pPr>
        <w:jc w:val="center"/>
        <w:rPr>
          <w:sz w:val="22"/>
        </w:rPr>
      </w:pPr>
      <w:r w:rsidRPr="00BC5F50">
        <w:rPr>
          <w:sz w:val="22"/>
        </w:rPr>
        <w:t>__________________</w:t>
      </w:r>
    </w:p>
    <w:sectPr w:rsidR="00463A7F" w:rsidRPr="00BC5F50" w:rsidSect="00555886">
      <w:headerReference w:type="default" r:id="rId10"/>
      <w:pgSz w:w="16838" w:h="11906" w:orient="landscape"/>
      <w:pgMar w:top="1276"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F7A32" w14:textId="77777777" w:rsidR="005D3F95" w:rsidRDefault="005D3F95" w:rsidP="001F2F06">
      <w:r>
        <w:separator/>
      </w:r>
    </w:p>
  </w:endnote>
  <w:endnote w:type="continuationSeparator" w:id="0">
    <w:p w14:paraId="2427E37A" w14:textId="77777777" w:rsidR="005D3F95" w:rsidRDefault="005D3F95" w:rsidP="001F2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24B22" w14:textId="77777777" w:rsidR="005D3F95" w:rsidRDefault="005D3F95" w:rsidP="001F2F06">
      <w:r>
        <w:separator/>
      </w:r>
    </w:p>
  </w:footnote>
  <w:footnote w:type="continuationSeparator" w:id="0">
    <w:p w14:paraId="3C1913A1" w14:textId="77777777" w:rsidR="005D3F95" w:rsidRDefault="005D3F95" w:rsidP="001F2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4941070"/>
      <w:docPartObj>
        <w:docPartGallery w:val="Page Numbers (Top of Page)"/>
        <w:docPartUnique/>
      </w:docPartObj>
    </w:sdtPr>
    <w:sdtEndPr/>
    <w:sdtContent>
      <w:p w14:paraId="6C3BFEE0" w14:textId="77777777" w:rsidR="00B37ACC" w:rsidRDefault="001F2F06">
        <w:pPr>
          <w:pStyle w:val="Header"/>
          <w:jc w:val="center"/>
        </w:pPr>
        <w:r>
          <w:fldChar w:fldCharType="begin"/>
        </w:r>
        <w:r>
          <w:instrText>PAGE   \* MERGEFORMAT</w:instrText>
        </w:r>
        <w:r>
          <w:fldChar w:fldCharType="separate"/>
        </w:r>
        <w:r>
          <w:rPr>
            <w:lang w:val="lt-LT"/>
          </w:rPr>
          <w:t>2</w:t>
        </w:r>
        <w:r>
          <w:fldChar w:fldCharType="end"/>
        </w:r>
      </w:p>
    </w:sdtContent>
  </w:sdt>
  <w:p w14:paraId="54ADCBE3" w14:textId="77777777" w:rsidR="00B37ACC" w:rsidRDefault="005D3F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74919"/>
    <w:multiLevelType w:val="hybridMultilevel"/>
    <w:tmpl w:val="4AF4FFB8"/>
    <w:lvl w:ilvl="0" w:tplc="B45247F8">
      <w:start w:val="1"/>
      <w:numFmt w:val="decimal"/>
      <w:suff w:val="space"/>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06"/>
    <w:rsid w:val="000F4A51"/>
    <w:rsid w:val="001F2F06"/>
    <w:rsid w:val="003511A0"/>
    <w:rsid w:val="00371E02"/>
    <w:rsid w:val="00454E60"/>
    <w:rsid w:val="00463A7F"/>
    <w:rsid w:val="0058123A"/>
    <w:rsid w:val="005D3F95"/>
    <w:rsid w:val="00897441"/>
    <w:rsid w:val="008C12AD"/>
    <w:rsid w:val="008F218C"/>
    <w:rsid w:val="009D1D79"/>
    <w:rsid w:val="00A44269"/>
    <w:rsid w:val="00A94D49"/>
    <w:rsid w:val="00B22E62"/>
    <w:rsid w:val="00BC386C"/>
    <w:rsid w:val="00BC5F50"/>
    <w:rsid w:val="00C1584F"/>
    <w:rsid w:val="00C33796"/>
    <w:rsid w:val="00CA63F7"/>
    <w:rsid w:val="00D021A5"/>
    <w:rsid w:val="00E66B1B"/>
    <w:rsid w:val="00ED1EEB"/>
    <w:rsid w:val="00FE13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59B6F"/>
  <w15:chartTrackingRefBased/>
  <w15:docId w15:val="{1473220A-C026-4447-815E-9EF388EC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F2F06"/>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not in Table"/>
    <w:basedOn w:val="Normal"/>
    <w:link w:val="ListParagraphChar"/>
    <w:uiPriority w:val="34"/>
    <w:qFormat/>
    <w:rsid w:val="001F2F06"/>
    <w:pPr>
      <w:ind w:left="720"/>
      <w:contextualSpacing/>
    </w:pPr>
    <w:rPr>
      <w:lang w:val="x-none"/>
    </w:rPr>
  </w:style>
  <w:style w:type="character" w:customStyle="1" w:styleId="ListParagraphChar">
    <w:name w:val="List Paragraph Char"/>
    <w:aliases w:val="List not in Table Char"/>
    <w:link w:val="ListParagraph"/>
    <w:uiPriority w:val="34"/>
    <w:locked/>
    <w:rsid w:val="001F2F06"/>
    <w:rPr>
      <w:rFonts w:ascii="Times New Roman" w:eastAsia="Calibri" w:hAnsi="Times New Roman" w:cs="Times New Roman"/>
      <w:sz w:val="24"/>
      <w:lang w:val="x-none"/>
    </w:rPr>
  </w:style>
  <w:style w:type="paragraph" w:styleId="Header">
    <w:name w:val="header"/>
    <w:basedOn w:val="Normal"/>
    <w:link w:val="HeaderChar"/>
    <w:uiPriority w:val="99"/>
    <w:rsid w:val="001F2F06"/>
    <w:pPr>
      <w:tabs>
        <w:tab w:val="center" w:pos="4153"/>
        <w:tab w:val="right" w:pos="8306"/>
      </w:tabs>
    </w:pPr>
    <w:rPr>
      <w:rFonts w:eastAsia="Times New Roman"/>
      <w:szCs w:val="24"/>
      <w:lang w:val="en-GB"/>
    </w:rPr>
  </w:style>
  <w:style w:type="character" w:customStyle="1" w:styleId="HeaderChar">
    <w:name w:val="Header Char"/>
    <w:basedOn w:val="DefaultParagraphFont"/>
    <w:link w:val="Header"/>
    <w:uiPriority w:val="99"/>
    <w:rsid w:val="001F2F06"/>
    <w:rPr>
      <w:rFonts w:ascii="Times New Roman" w:eastAsia="Times New Roman" w:hAnsi="Times New Roman" w:cs="Times New Roman"/>
      <w:sz w:val="24"/>
      <w:szCs w:val="24"/>
      <w:lang w:val="en-GB"/>
    </w:rPr>
  </w:style>
  <w:style w:type="paragraph" w:customStyle="1" w:styleId="Default">
    <w:name w:val="Default"/>
    <w:rsid w:val="001F2F0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FootnoteText">
    <w:name w:val="footnote text"/>
    <w:basedOn w:val="Normal"/>
    <w:link w:val="FootnoteTextChar"/>
    <w:semiHidden/>
    <w:unhideWhenUsed/>
    <w:rsid w:val="001F2F06"/>
    <w:rPr>
      <w:rFonts w:eastAsia="Times New Roman"/>
      <w:sz w:val="20"/>
      <w:szCs w:val="20"/>
      <w:lang w:val="en-GB"/>
    </w:rPr>
  </w:style>
  <w:style w:type="character" w:customStyle="1" w:styleId="FootnoteTextChar">
    <w:name w:val="Footnote Text Char"/>
    <w:basedOn w:val="DefaultParagraphFont"/>
    <w:link w:val="FootnoteText"/>
    <w:semiHidden/>
    <w:rsid w:val="001F2F06"/>
    <w:rPr>
      <w:rFonts w:ascii="Times New Roman" w:eastAsia="Times New Roman" w:hAnsi="Times New Roman" w:cs="Times New Roman"/>
      <w:sz w:val="20"/>
      <w:szCs w:val="20"/>
      <w:lang w:val="en-GB"/>
    </w:rPr>
  </w:style>
  <w:style w:type="character" w:styleId="FootnoteReference">
    <w:name w:val="footnote reference"/>
    <w:basedOn w:val="DefaultParagraphFont"/>
    <w:semiHidden/>
    <w:unhideWhenUsed/>
    <w:rsid w:val="001F2F06"/>
    <w:rPr>
      <w:vertAlign w:val="superscript"/>
    </w:rPr>
  </w:style>
  <w:style w:type="paragraph" w:styleId="BalloonText">
    <w:name w:val="Balloon Text"/>
    <w:basedOn w:val="Normal"/>
    <w:link w:val="BalloonTextChar"/>
    <w:uiPriority w:val="99"/>
    <w:semiHidden/>
    <w:unhideWhenUsed/>
    <w:rsid w:val="00FE13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3A2"/>
    <w:rPr>
      <w:rFonts w:ascii="Segoe UI" w:eastAsia="Calibri" w:hAnsi="Segoe UI" w:cs="Segoe UI"/>
      <w:sz w:val="18"/>
      <w:szCs w:val="18"/>
    </w:rPr>
  </w:style>
  <w:style w:type="character" w:customStyle="1" w:styleId="dlxnowrap">
    <w:name w:val="dlxnowrap"/>
    <w:basedOn w:val="DefaultParagraphFont"/>
    <w:rsid w:val="008C1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55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467A9190050DF4191C68C583E21F276" ma:contentTypeVersion="12" ma:contentTypeDescription="Kurkite naują dokumentą." ma:contentTypeScope="" ma:versionID="c45c4fb009696c6633f6ee4fd6a441dd">
  <xsd:schema xmlns:xsd="http://www.w3.org/2001/XMLSchema" xmlns:xs="http://www.w3.org/2001/XMLSchema" xmlns:p="http://schemas.microsoft.com/office/2006/metadata/properties" xmlns:ns3="31492ff9-4284-499b-9668-c586202cc9ad" xmlns:ns4="b0bdcb2b-fccd-48c8-9ccb-cef31e25f877" targetNamespace="http://schemas.microsoft.com/office/2006/metadata/properties" ma:root="true" ma:fieldsID="705db3628cef9324eaf4fab88e90d96e" ns3:_="" ns4:_="">
    <xsd:import namespace="31492ff9-4284-499b-9668-c586202cc9ad"/>
    <xsd:import namespace="b0bdcb2b-fccd-48c8-9ccb-cef31e25f8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92ff9-4284-499b-9668-c586202cc9a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dcb2b-fccd-48c8-9ccb-cef31e25f87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AC51D0-EC28-4B7D-A275-BF2F4B1393FB}">
  <ds:schemaRefs>
    <ds:schemaRef ds:uri="http://schemas.microsoft.com/sharepoint/v3/contenttype/forms"/>
  </ds:schemaRefs>
</ds:datastoreItem>
</file>

<file path=customXml/itemProps2.xml><?xml version="1.0" encoding="utf-8"?>
<ds:datastoreItem xmlns:ds="http://schemas.openxmlformats.org/officeDocument/2006/customXml" ds:itemID="{3618C091-6B69-4F9D-B3E7-9182EB40B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92ff9-4284-499b-9668-c586202cc9ad"/>
    <ds:schemaRef ds:uri="b0bdcb2b-fccd-48c8-9ccb-cef31e25f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25C994-ADB5-4C14-B8A7-66BD7EC057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2230</Words>
  <Characters>1272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2020-05-21T17:23:00Z</dcterms:created>
  <dc:creator>Vilija Tomke</dc:creator>
  <cp:lastModifiedBy>Vilija Tomke</cp:lastModifiedBy>
  <dcterms:modified xsi:type="dcterms:W3CDTF">2020-05-21T19:34:00Z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0x0101007467A9190050DF4191C68C583E21F276</vt:lpwstr>
  </property>
</Properties>
</file>